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552C7">
      <w:pPr>
        <w:spacing w:line="255" w:lineRule="auto"/>
        <w:rPr>
          <w:rFonts w:hint="default" w:ascii="Times New Roman" w:hAnsi="Times New Roman" w:cs="Times New Roman"/>
          <w:color w:val="auto"/>
          <w:sz w:val="21"/>
        </w:rPr>
      </w:pPr>
    </w:p>
    <w:p w14:paraId="52FFCBBC">
      <w:pPr>
        <w:spacing w:line="255" w:lineRule="auto"/>
        <w:rPr>
          <w:rFonts w:hint="default" w:ascii="Times New Roman" w:hAnsi="Times New Roman" w:cs="Times New Roman"/>
          <w:color w:val="auto"/>
          <w:sz w:val="21"/>
        </w:rPr>
      </w:pPr>
    </w:p>
    <w:p w14:paraId="42CACAB8">
      <w:pPr>
        <w:spacing w:line="255" w:lineRule="auto"/>
        <w:rPr>
          <w:rFonts w:hint="default" w:ascii="Times New Roman" w:hAnsi="Times New Roman" w:cs="Times New Roman"/>
          <w:color w:val="auto"/>
          <w:sz w:val="21"/>
        </w:rPr>
      </w:pPr>
    </w:p>
    <w:p w14:paraId="7CDF0242">
      <w:pPr>
        <w:spacing w:line="255" w:lineRule="auto"/>
        <w:rPr>
          <w:rFonts w:hint="default" w:ascii="Times New Roman" w:hAnsi="Times New Roman" w:cs="Times New Roman"/>
          <w:color w:val="auto"/>
          <w:sz w:val="21"/>
        </w:rPr>
      </w:pPr>
    </w:p>
    <w:p w14:paraId="7BE08A52">
      <w:pPr>
        <w:spacing w:line="256" w:lineRule="auto"/>
        <w:rPr>
          <w:rFonts w:hint="default" w:ascii="Times New Roman" w:hAnsi="Times New Roman" w:cs="Times New Roman"/>
          <w:color w:val="auto"/>
          <w:sz w:val="21"/>
        </w:rPr>
      </w:pPr>
    </w:p>
    <w:p w14:paraId="5014660C">
      <w:pPr>
        <w:spacing w:line="256" w:lineRule="auto"/>
        <w:rPr>
          <w:rFonts w:hint="default" w:ascii="Times New Roman" w:hAnsi="Times New Roman" w:cs="Times New Roman"/>
          <w:color w:val="auto"/>
          <w:sz w:val="21"/>
        </w:rPr>
      </w:pPr>
    </w:p>
    <w:p w14:paraId="41EE1FFF">
      <w:pPr>
        <w:spacing w:line="256" w:lineRule="auto"/>
        <w:rPr>
          <w:rFonts w:hint="default" w:ascii="Times New Roman" w:hAnsi="Times New Roman" w:cs="Times New Roman"/>
          <w:color w:val="auto"/>
          <w:sz w:val="21"/>
        </w:rPr>
      </w:pPr>
    </w:p>
    <w:p w14:paraId="5EABDC11">
      <w:pPr>
        <w:spacing w:line="256" w:lineRule="auto"/>
        <w:rPr>
          <w:rFonts w:hint="default" w:ascii="Times New Roman" w:hAnsi="Times New Roman" w:cs="Times New Roman"/>
          <w:color w:val="auto"/>
          <w:sz w:val="21"/>
        </w:rPr>
      </w:pPr>
    </w:p>
    <w:p w14:paraId="5F539CB2">
      <w:pPr>
        <w:spacing w:line="256" w:lineRule="auto"/>
        <w:rPr>
          <w:rFonts w:hint="default" w:ascii="Times New Roman" w:hAnsi="Times New Roman" w:cs="Times New Roman"/>
          <w:color w:val="auto"/>
          <w:sz w:val="21"/>
        </w:rPr>
      </w:pPr>
    </w:p>
    <w:p w14:paraId="5B023958">
      <w:pPr>
        <w:spacing w:line="256" w:lineRule="auto"/>
        <w:rPr>
          <w:rFonts w:hint="default" w:ascii="Times New Roman" w:hAnsi="Times New Roman" w:cs="Times New Roman"/>
          <w:color w:val="auto"/>
          <w:sz w:val="21"/>
        </w:rPr>
      </w:pPr>
    </w:p>
    <w:p w14:paraId="432C500D">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default" w:ascii="Times New Roman" w:hAnsi="Times New Roman" w:eastAsia="微软雅黑" w:cs="Times New Roman"/>
          <w:color w:val="auto"/>
          <w:sz w:val="64"/>
          <w:szCs w:val="64"/>
        </w:rPr>
      </w:pPr>
      <w:r>
        <w:rPr>
          <w:rFonts w:hint="default" w:ascii="Times New Roman" w:hAnsi="Times New Roman" w:eastAsia="宋体" w:cs="Times New Roman"/>
          <w:b/>
          <w:bCs/>
          <w:color w:val="auto"/>
          <w:spacing w:val="8"/>
          <w:sz w:val="64"/>
          <w:szCs w:val="64"/>
        </w:rPr>
        <w:t>建设项目</w:t>
      </w:r>
      <w:r>
        <w:rPr>
          <w:rFonts w:hint="eastAsia" w:cs="Times New Roman"/>
          <w:b/>
          <w:bCs/>
          <w:color w:val="auto"/>
          <w:spacing w:val="8"/>
          <w:sz w:val="64"/>
          <w:szCs w:val="64"/>
          <w:lang w:val="en-US" w:eastAsia="zh-CN"/>
        </w:rPr>
        <w:t>生态</w:t>
      </w:r>
      <w:r>
        <w:rPr>
          <w:rFonts w:hint="default" w:ascii="Times New Roman" w:hAnsi="Times New Roman" w:eastAsia="宋体" w:cs="Times New Roman"/>
          <w:b/>
          <w:bCs/>
          <w:color w:val="auto"/>
          <w:spacing w:val="8"/>
          <w:sz w:val="64"/>
          <w:szCs w:val="64"/>
        </w:rPr>
        <w:t>环境影响报告</w:t>
      </w:r>
      <w:r>
        <w:rPr>
          <w:rFonts w:hint="default" w:ascii="Times New Roman" w:hAnsi="Times New Roman" w:eastAsia="宋体" w:cs="Times New Roman"/>
          <w:b/>
          <w:bCs/>
          <w:color w:val="auto"/>
          <w:spacing w:val="6"/>
          <w:sz w:val="64"/>
          <w:szCs w:val="64"/>
        </w:rPr>
        <w:t>表</w:t>
      </w:r>
    </w:p>
    <w:p w14:paraId="699051C7">
      <w:pPr>
        <w:spacing w:before="325" w:line="227" w:lineRule="auto"/>
        <w:ind w:left="2541"/>
        <w:rPr>
          <w:rFonts w:hint="default" w:ascii="Times New Roman" w:hAnsi="Times New Roman" w:eastAsia="楷体" w:cs="Times New Roman"/>
          <w:color w:val="auto"/>
          <w:sz w:val="47"/>
          <w:szCs w:val="47"/>
        </w:rPr>
      </w:pPr>
      <w:r>
        <w:rPr>
          <w:rFonts w:hint="eastAsia" w:eastAsia="楷体" w:cs="Times New Roman"/>
          <w:color w:val="auto"/>
          <w:spacing w:val="35"/>
          <w:sz w:val="47"/>
          <w:szCs w:val="47"/>
          <w:lang w:eastAsia="zh-CN"/>
        </w:rPr>
        <w:t>（</w:t>
      </w:r>
      <w:r>
        <w:rPr>
          <w:rFonts w:hint="default" w:ascii="Times New Roman" w:hAnsi="Times New Roman" w:eastAsia="楷体" w:cs="Times New Roman"/>
          <w:color w:val="auto"/>
          <w:spacing w:val="34"/>
          <w:sz w:val="47"/>
          <w:szCs w:val="47"/>
        </w:rPr>
        <w:t>污染影响类</w:t>
      </w:r>
      <w:r>
        <w:rPr>
          <w:rFonts w:hint="eastAsia" w:eastAsia="楷体" w:cs="Times New Roman"/>
          <w:color w:val="auto"/>
          <w:spacing w:val="34"/>
          <w:sz w:val="47"/>
          <w:szCs w:val="47"/>
          <w:lang w:eastAsia="zh-CN"/>
        </w:rPr>
        <w:t>）</w:t>
      </w:r>
    </w:p>
    <w:p w14:paraId="2AB8EDE7">
      <w:pPr>
        <w:spacing w:line="252" w:lineRule="auto"/>
        <w:rPr>
          <w:rFonts w:hint="default" w:ascii="Times New Roman" w:hAnsi="Times New Roman" w:cs="Times New Roman"/>
          <w:color w:val="auto"/>
          <w:sz w:val="21"/>
        </w:rPr>
      </w:pPr>
    </w:p>
    <w:p w14:paraId="2BD9524C">
      <w:pPr>
        <w:spacing w:line="252" w:lineRule="auto"/>
        <w:rPr>
          <w:rFonts w:hint="default" w:ascii="Times New Roman" w:hAnsi="Times New Roman" w:cs="Times New Roman"/>
          <w:color w:val="auto"/>
          <w:sz w:val="21"/>
        </w:rPr>
      </w:pPr>
    </w:p>
    <w:p w14:paraId="5BBDB6B6">
      <w:pPr>
        <w:spacing w:line="252" w:lineRule="auto"/>
        <w:rPr>
          <w:rFonts w:hint="default" w:ascii="Times New Roman" w:hAnsi="Times New Roman" w:cs="Times New Roman"/>
          <w:color w:val="auto"/>
          <w:sz w:val="21"/>
        </w:rPr>
      </w:pPr>
    </w:p>
    <w:p w14:paraId="46663238">
      <w:pPr>
        <w:spacing w:line="252" w:lineRule="auto"/>
        <w:rPr>
          <w:rFonts w:hint="default" w:ascii="Times New Roman" w:hAnsi="Times New Roman" w:cs="Times New Roman"/>
          <w:color w:val="auto"/>
          <w:sz w:val="21"/>
        </w:rPr>
      </w:pPr>
    </w:p>
    <w:p w14:paraId="1A93D56A">
      <w:pPr>
        <w:spacing w:line="252" w:lineRule="auto"/>
        <w:rPr>
          <w:rFonts w:hint="default" w:ascii="Times New Roman" w:hAnsi="Times New Roman" w:cs="Times New Roman"/>
          <w:color w:val="auto"/>
          <w:sz w:val="21"/>
        </w:rPr>
      </w:pPr>
    </w:p>
    <w:p w14:paraId="68457FC2">
      <w:pPr>
        <w:spacing w:line="252" w:lineRule="auto"/>
        <w:rPr>
          <w:rFonts w:hint="default" w:ascii="Times New Roman" w:hAnsi="Times New Roman" w:cs="Times New Roman"/>
          <w:color w:val="auto"/>
          <w:sz w:val="21"/>
        </w:rPr>
      </w:pPr>
    </w:p>
    <w:p w14:paraId="75638308">
      <w:pPr>
        <w:spacing w:line="252" w:lineRule="auto"/>
        <w:rPr>
          <w:rFonts w:hint="default" w:ascii="Times New Roman" w:hAnsi="Times New Roman" w:cs="Times New Roman"/>
          <w:color w:val="auto"/>
          <w:sz w:val="21"/>
        </w:rPr>
      </w:pPr>
    </w:p>
    <w:p w14:paraId="50DEBF77">
      <w:pPr>
        <w:spacing w:line="252" w:lineRule="auto"/>
        <w:rPr>
          <w:rFonts w:hint="default" w:ascii="Times New Roman" w:hAnsi="Times New Roman" w:cs="Times New Roman"/>
          <w:color w:val="auto"/>
          <w:sz w:val="21"/>
        </w:rPr>
      </w:pPr>
    </w:p>
    <w:p w14:paraId="2E225D55">
      <w:pPr>
        <w:spacing w:line="252" w:lineRule="auto"/>
        <w:rPr>
          <w:rFonts w:hint="default" w:ascii="Times New Roman" w:hAnsi="Times New Roman" w:cs="Times New Roman"/>
          <w:color w:val="auto"/>
          <w:sz w:val="21"/>
        </w:rPr>
      </w:pPr>
    </w:p>
    <w:p w14:paraId="21F16719">
      <w:pPr>
        <w:spacing w:line="252" w:lineRule="auto"/>
        <w:rPr>
          <w:rFonts w:hint="default" w:ascii="Times New Roman" w:hAnsi="Times New Roman" w:cs="Times New Roman"/>
          <w:color w:val="auto"/>
          <w:sz w:val="21"/>
        </w:rPr>
      </w:pPr>
    </w:p>
    <w:p w14:paraId="2D5A3B81">
      <w:pPr>
        <w:spacing w:line="253" w:lineRule="auto"/>
        <w:rPr>
          <w:rFonts w:hint="default" w:ascii="Times New Roman" w:hAnsi="Times New Roman" w:cs="Times New Roman"/>
          <w:color w:val="auto"/>
          <w:sz w:val="21"/>
        </w:rPr>
      </w:pPr>
    </w:p>
    <w:p w14:paraId="650D8B01">
      <w:pPr>
        <w:spacing w:line="253" w:lineRule="auto"/>
        <w:rPr>
          <w:rFonts w:hint="default" w:ascii="Times New Roman" w:hAnsi="Times New Roman" w:cs="Times New Roman"/>
          <w:color w:val="auto"/>
          <w:sz w:val="21"/>
        </w:rPr>
      </w:pPr>
    </w:p>
    <w:p w14:paraId="4146BABE">
      <w:pPr>
        <w:spacing w:line="253" w:lineRule="auto"/>
        <w:rPr>
          <w:rFonts w:hint="default" w:ascii="Times New Roman" w:hAnsi="Times New Roman" w:cs="Times New Roman"/>
          <w:color w:val="auto"/>
          <w:sz w:val="21"/>
        </w:rPr>
      </w:pPr>
    </w:p>
    <w:p w14:paraId="07F6B22A">
      <w:pPr>
        <w:spacing w:before="114" w:line="296" w:lineRule="auto"/>
        <w:ind w:left="808" w:right="1145" w:firstLine="1"/>
        <w:jc w:val="left"/>
        <w:rPr>
          <w:rFonts w:hint="default" w:ascii="Times New Roman" w:hAnsi="Times New Roman" w:eastAsia="仿宋" w:cs="Times New Roman"/>
          <w:color w:val="auto"/>
          <w:sz w:val="35"/>
          <w:szCs w:val="35"/>
        </w:rPr>
      </w:pPr>
      <w:r>
        <w:rPr>
          <w:rFonts w:hint="default" w:ascii="Times New Roman" w:hAnsi="Times New Roman" w:eastAsia="仿宋" w:cs="Times New Roman"/>
          <w:color w:val="auto"/>
          <w:spacing w:val="-10"/>
          <w:sz w:val="35"/>
          <w:szCs w:val="35"/>
        </w:rPr>
        <w:t>项目名称</w:t>
      </w:r>
      <w:r>
        <w:rPr>
          <w:rFonts w:hint="default" w:ascii="Times New Roman" w:hAnsi="Times New Roman" w:eastAsia="仿宋" w:cs="Times New Roman"/>
          <w:color w:val="auto"/>
          <w:spacing w:val="-6"/>
          <w:sz w:val="35"/>
          <w:szCs w:val="35"/>
        </w:rPr>
        <w:t>：</w:t>
      </w:r>
      <w:r>
        <w:rPr>
          <w:rFonts w:hint="eastAsia" w:eastAsia="仿宋" w:cs="Times New Roman"/>
          <w:color w:val="auto"/>
          <w:spacing w:val="-6"/>
          <w:sz w:val="35"/>
          <w:szCs w:val="35"/>
          <w:u w:val="single" w:color="auto"/>
          <w:lang w:eastAsia="zh-CN"/>
        </w:rPr>
        <w:t>库尔勒宠爱一生老城宠物医院</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 xml:space="preserve">    </w:t>
      </w:r>
      <w:r>
        <w:rPr>
          <w:rFonts w:hint="default" w:ascii="Times New Roman" w:hAnsi="Times New Roman" w:eastAsia="仿宋" w:cs="Times New Roman"/>
          <w:color w:val="auto"/>
          <w:spacing w:val="-5"/>
          <w:sz w:val="35"/>
          <w:szCs w:val="35"/>
          <w:u w:val="single" w:color="auto"/>
        </w:rPr>
        <w:t xml:space="preserve"> </w:t>
      </w:r>
      <w:r>
        <w:rPr>
          <w:rFonts w:hint="default" w:ascii="Times New Roman" w:hAnsi="Times New Roman" w:eastAsia="仿宋" w:cs="Times New Roman"/>
          <w:color w:val="auto"/>
          <w:sz w:val="35"/>
          <w:szCs w:val="35"/>
        </w:rPr>
        <w:t xml:space="preserve"> </w:t>
      </w:r>
    </w:p>
    <w:p w14:paraId="53CA2665">
      <w:pPr>
        <w:spacing w:before="114" w:line="296" w:lineRule="auto"/>
        <w:ind w:left="808" w:right="1145" w:firstLine="1"/>
        <w:jc w:val="left"/>
        <w:rPr>
          <w:rFonts w:hint="default" w:ascii="Times New Roman" w:hAnsi="Times New Roman" w:eastAsia="仿宋" w:cs="Times New Roman"/>
          <w:color w:val="auto"/>
          <w:sz w:val="35"/>
          <w:szCs w:val="35"/>
        </w:rPr>
      </w:pPr>
      <w:r>
        <w:rPr>
          <w:rFonts w:hint="default" w:ascii="Times New Roman" w:hAnsi="Times New Roman" w:eastAsia="仿宋" w:cs="Times New Roman"/>
          <w:color w:val="auto"/>
          <w:spacing w:val="4"/>
          <w:sz w:val="35"/>
          <w:szCs w:val="35"/>
        </w:rPr>
        <w:t>建设单</w:t>
      </w:r>
      <w:r>
        <w:rPr>
          <w:rFonts w:hint="default" w:ascii="Times New Roman" w:hAnsi="Times New Roman" w:eastAsia="仿宋" w:cs="Times New Roman"/>
          <w:color w:val="auto"/>
          <w:spacing w:val="3"/>
          <w:sz w:val="35"/>
          <w:szCs w:val="35"/>
        </w:rPr>
        <w:t>位</w:t>
      </w:r>
      <w:r>
        <w:rPr>
          <w:rFonts w:hint="default" w:ascii="Times New Roman" w:hAnsi="Times New Roman" w:eastAsia="仿宋" w:cs="Times New Roman"/>
          <w:color w:val="auto"/>
          <w:spacing w:val="2"/>
          <w:sz w:val="35"/>
          <w:szCs w:val="35"/>
        </w:rPr>
        <w:t xml:space="preserve"> </w:t>
      </w:r>
      <w:r>
        <w:rPr>
          <w:rFonts w:hint="eastAsia" w:eastAsia="仿宋" w:cs="Times New Roman"/>
          <w:color w:val="auto"/>
          <w:spacing w:val="2"/>
          <w:sz w:val="35"/>
          <w:szCs w:val="35"/>
          <w:lang w:eastAsia="zh-CN"/>
        </w:rPr>
        <w:t>（</w:t>
      </w:r>
      <w:r>
        <w:rPr>
          <w:rFonts w:hint="default" w:ascii="Times New Roman" w:hAnsi="Times New Roman" w:eastAsia="仿宋" w:cs="Times New Roman"/>
          <w:color w:val="auto"/>
          <w:spacing w:val="2"/>
          <w:sz w:val="35"/>
          <w:szCs w:val="35"/>
        </w:rPr>
        <w:t>盖章</w:t>
      </w:r>
      <w:r>
        <w:rPr>
          <w:rFonts w:hint="eastAsia" w:eastAsia="仿宋" w:cs="Times New Roman"/>
          <w:color w:val="auto"/>
          <w:spacing w:val="2"/>
          <w:sz w:val="35"/>
          <w:szCs w:val="35"/>
          <w:lang w:eastAsia="zh-CN"/>
        </w:rPr>
        <w:t>）</w:t>
      </w:r>
      <w:r>
        <w:rPr>
          <w:rFonts w:hint="default" w:ascii="Times New Roman" w:hAnsi="Times New Roman" w:eastAsia="仿宋" w:cs="Times New Roman"/>
          <w:color w:val="auto"/>
          <w:spacing w:val="2"/>
          <w:sz w:val="35"/>
          <w:szCs w:val="35"/>
        </w:rPr>
        <w:t>：</w:t>
      </w:r>
      <w:r>
        <w:rPr>
          <w:rFonts w:hint="eastAsia" w:eastAsia="仿宋" w:cs="Times New Roman"/>
          <w:color w:val="auto"/>
          <w:spacing w:val="-6"/>
          <w:sz w:val="35"/>
          <w:szCs w:val="35"/>
          <w:u w:val="single" w:color="auto"/>
          <w:lang w:eastAsia="zh-CN"/>
        </w:rPr>
        <w:t>库尔勒宠爱一生老城宠物医院</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 xml:space="preserve">                              </w:t>
      </w:r>
      <w:r>
        <w:rPr>
          <w:rFonts w:hint="default" w:ascii="Times New Roman" w:hAnsi="Times New Roman" w:eastAsia="仿宋" w:cs="Times New Roman"/>
          <w:color w:val="auto"/>
          <w:sz w:val="35"/>
          <w:szCs w:val="35"/>
          <w:u w:val="single" w:color="auto"/>
        </w:rPr>
        <w:t xml:space="preserve">  </w:t>
      </w:r>
    </w:p>
    <w:p w14:paraId="6873BF80">
      <w:pPr>
        <w:spacing w:before="1" w:line="226" w:lineRule="auto"/>
        <w:ind w:left="811"/>
        <w:jc w:val="left"/>
        <w:rPr>
          <w:rFonts w:hint="eastAsia" w:ascii="Times New Roman" w:hAnsi="Times New Roman" w:eastAsia="仿宋" w:cs="Times New Roman"/>
          <w:color w:val="auto"/>
          <w:sz w:val="35"/>
          <w:szCs w:val="35"/>
          <w:lang w:val="en-US" w:eastAsia="zh-CN"/>
        </w:rPr>
      </w:pPr>
      <w:r>
        <w:rPr>
          <w:rFonts w:hint="default" w:ascii="Times New Roman" w:hAnsi="Times New Roman" w:eastAsia="仿宋" w:cs="Times New Roman"/>
          <w:color w:val="auto"/>
          <w:spacing w:val="4"/>
          <w:sz w:val="35"/>
          <w:szCs w:val="35"/>
        </w:rPr>
        <w:t>编</w:t>
      </w:r>
      <w:r>
        <w:rPr>
          <w:rFonts w:hint="default" w:ascii="Times New Roman" w:hAnsi="Times New Roman" w:eastAsia="仿宋" w:cs="Times New Roman"/>
          <w:color w:val="auto"/>
          <w:spacing w:val="3"/>
          <w:sz w:val="35"/>
          <w:szCs w:val="35"/>
        </w:rPr>
        <w:t>制</w:t>
      </w:r>
      <w:r>
        <w:rPr>
          <w:rFonts w:hint="default" w:ascii="Times New Roman" w:hAnsi="Times New Roman" w:eastAsia="仿宋" w:cs="Times New Roman"/>
          <w:color w:val="auto"/>
          <w:spacing w:val="2"/>
          <w:sz w:val="35"/>
          <w:szCs w:val="35"/>
        </w:rPr>
        <w:t>日期：</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2026年10月</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 xml:space="preserve">  </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 xml:space="preserve"> </w:t>
      </w:r>
    </w:p>
    <w:p w14:paraId="420CFD41">
      <w:pPr>
        <w:spacing w:line="254" w:lineRule="auto"/>
        <w:rPr>
          <w:rFonts w:hint="default" w:ascii="Times New Roman" w:hAnsi="Times New Roman" w:cs="Times New Roman"/>
          <w:color w:val="auto"/>
          <w:sz w:val="21"/>
        </w:rPr>
      </w:pPr>
    </w:p>
    <w:p w14:paraId="00F2EED6">
      <w:pPr>
        <w:spacing w:line="254" w:lineRule="auto"/>
        <w:rPr>
          <w:rFonts w:hint="default" w:ascii="Times New Roman" w:hAnsi="Times New Roman" w:cs="Times New Roman"/>
          <w:color w:val="auto"/>
          <w:sz w:val="21"/>
        </w:rPr>
      </w:pPr>
    </w:p>
    <w:p w14:paraId="3885547D">
      <w:pPr>
        <w:spacing w:line="254" w:lineRule="auto"/>
        <w:rPr>
          <w:rFonts w:hint="default" w:ascii="Times New Roman" w:hAnsi="Times New Roman" w:cs="Times New Roman"/>
          <w:color w:val="auto"/>
          <w:sz w:val="21"/>
        </w:rPr>
      </w:pPr>
    </w:p>
    <w:p w14:paraId="38E44D53">
      <w:pPr>
        <w:spacing w:line="254" w:lineRule="auto"/>
        <w:rPr>
          <w:rFonts w:hint="default" w:ascii="Times New Roman" w:hAnsi="Times New Roman" w:cs="Times New Roman"/>
          <w:color w:val="auto"/>
          <w:sz w:val="21"/>
        </w:rPr>
      </w:pPr>
    </w:p>
    <w:p w14:paraId="61C129B2">
      <w:pPr>
        <w:spacing w:line="254" w:lineRule="auto"/>
        <w:rPr>
          <w:rFonts w:hint="default" w:ascii="Times New Roman" w:hAnsi="Times New Roman" w:cs="Times New Roman"/>
          <w:color w:val="auto"/>
          <w:sz w:val="21"/>
        </w:rPr>
      </w:pPr>
    </w:p>
    <w:p w14:paraId="6494C86F">
      <w:pPr>
        <w:spacing w:line="255" w:lineRule="auto"/>
        <w:rPr>
          <w:rFonts w:hint="default" w:ascii="Times New Roman" w:hAnsi="Times New Roman" w:cs="Times New Roman"/>
          <w:color w:val="auto"/>
          <w:sz w:val="21"/>
        </w:rPr>
      </w:pPr>
    </w:p>
    <w:p w14:paraId="4C8EBC32">
      <w:pPr>
        <w:spacing w:line="255" w:lineRule="auto"/>
        <w:rPr>
          <w:rFonts w:hint="default" w:ascii="Times New Roman" w:hAnsi="Times New Roman" w:cs="Times New Roman"/>
          <w:color w:val="auto"/>
          <w:sz w:val="21"/>
        </w:rPr>
      </w:pPr>
    </w:p>
    <w:p w14:paraId="439153B4">
      <w:pPr>
        <w:spacing w:line="255" w:lineRule="auto"/>
        <w:rPr>
          <w:rFonts w:hint="default" w:ascii="Times New Roman" w:hAnsi="Times New Roman" w:cs="Times New Roman"/>
          <w:color w:val="auto"/>
          <w:sz w:val="21"/>
        </w:rPr>
      </w:pPr>
    </w:p>
    <w:p w14:paraId="0C4AA429">
      <w:pPr>
        <w:spacing w:line="255" w:lineRule="auto"/>
        <w:rPr>
          <w:rFonts w:hint="default" w:ascii="Times New Roman" w:hAnsi="Times New Roman" w:cs="Times New Roman"/>
          <w:color w:val="auto"/>
          <w:sz w:val="21"/>
        </w:rPr>
      </w:pPr>
    </w:p>
    <w:p w14:paraId="50948CEE">
      <w:pPr>
        <w:spacing w:line="255" w:lineRule="auto"/>
        <w:rPr>
          <w:rFonts w:hint="default" w:ascii="Times New Roman" w:hAnsi="Times New Roman" w:cs="Times New Roman"/>
          <w:color w:val="auto"/>
          <w:sz w:val="21"/>
        </w:rPr>
      </w:pPr>
    </w:p>
    <w:p w14:paraId="752F4FA7">
      <w:pPr>
        <w:spacing w:line="255" w:lineRule="auto"/>
        <w:rPr>
          <w:rFonts w:hint="default" w:ascii="Times New Roman" w:hAnsi="Times New Roman" w:cs="Times New Roman"/>
          <w:color w:val="auto"/>
          <w:sz w:val="21"/>
        </w:rPr>
      </w:pPr>
    </w:p>
    <w:p w14:paraId="4781431E">
      <w:pPr>
        <w:spacing w:before="115" w:line="230" w:lineRule="auto"/>
        <w:ind w:left="1882"/>
        <w:rPr>
          <w:rFonts w:hint="default" w:ascii="Times New Roman" w:hAnsi="Times New Roman" w:eastAsia="楷体" w:cs="Times New Roman"/>
          <w:color w:val="auto"/>
          <w:sz w:val="35"/>
          <w:szCs w:val="35"/>
        </w:rPr>
      </w:pPr>
      <w:r>
        <w:rPr>
          <w:rFonts w:hint="default" w:ascii="Times New Roman" w:hAnsi="Times New Roman" w:eastAsia="楷体" w:cs="Times New Roman"/>
          <w:color w:val="auto"/>
          <w:spacing w:val="10"/>
          <w:sz w:val="35"/>
          <w:szCs w:val="35"/>
        </w:rPr>
        <w:t>中</w:t>
      </w:r>
      <w:r>
        <w:rPr>
          <w:rFonts w:hint="default" w:ascii="Times New Roman" w:hAnsi="Times New Roman" w:eastAsia="楷体" w:cs="Times New Roman"/>
          <w:color w:val="auto"/>
          <w:spacing w:val="8"/>
          <w:sz w:val="35"/>
          <w:szCs w:val="35"/>
        </w:rPr>
        <w:t>华</w:t>
      </w:r>
      <w:r>
        <w:rPr>
          <w:rFonts w:hint="default" w:ascii="Times New Roman" w:hAnsi="Times New Roman" w:eastAsia="楷体" w:cs="Times New Roman"/>
          <w:color w:val="auto"/>
          <w:spacing w:val="5"/>
          <w:sz w:val="35"/>
          <w:szCs w:val="35"/>
        </w:rPr>
        <w:t>人民共和国生态环境部制</w:t>
      </w:r>
    </w:p>
    <w:p w14:paraId="5A11DA01">
      <w:pPr>
        <w:rPr>
          <w:rFonts w:hint="default" w:ascii="Times New Roman" w:hAnsi="Times New Roman" w:cs="Times New Roman"/>
          <w:color w:val="auto"/>
        </w:rPr>
        <w:sectPr>
          <w:footerReference r:id="rId5" w:type="default"/>
          <w:pgSz w:w="11906" w:h="16839"/>
          <w:pgMar w:top="1431" w:right="1530" w:bottom="1185" w:left="1785" w:header="0" w:footer="918" w:gutter="0"/>
          <w:pgBorders>
            <w:top w:val="none" w:sz="0" w:space="0"/>
            <w:left w:val="none" w:sz="0" w:space="0"/>
            <w:bottom w:val="none" w:sz="0" w:space="0"/>
            <w:right w:val="none" w:sz="0" w:space="0"/>
          </w:pgBorders>
          <w:cols w:space="720" w:num="1"/>
        </w:sectPr>
      </w:pPr>
    </w:p>
    <w:p w14:paraId="596BC7D0">
      <w:pPr>
        <w:pStyle w:val="18"/>
        <w:rPr>
          <w:rFonts w:hint="default"/>
        </w:rPr>
        <w:sectPr>
          <w:pgSz w:w="11906" w:h="16839"/>
          <w:pgMar w:top="1431" w:right="1530" w:bottom="1185" w:left="1785" w:header="0" w:footer="918" w:gutter="0"/>
          <w:pgBorders>
            <w:top w:val="none" w:sz="0" w:space="0"/>
            <w:left w:val="none" w:sz="0" w:space="0"/>
            <w:bottom w:val="none" w:sz="0" w:space="0"/>
            <w:right w:val="none" w:sz="0" w:space="0"/>
          </w:pgBorders>
          <w:cols w:space="720" w:num="1"/>
        </w:sectPr>
      </w:pPr>
    </w:p>
    <w:p w14:paraId="45D77B8F">
      <w:pPr>
        <w:pStyle w:val="2"/>
        <w:bidi w:val="0"/>
        <w:rPr>
          <w:rFonts w:hint="default"/>
          <w:color w:val="auto"/>
        </w:rPr>
      </w:pPr>
      <w:r>
        <w:rPr>
          <w:rFonts w:hint="default"/>
          <w:color w:val="auto"/>
        </w:rPr>
        <w:t>一、建设项目基本情况</w:t>
      </w:r>
    </w:p>
    <w:p w14:paraId="7B44A5F8">
      <w:pPr>
        <w:spacing w:line="240" w:lineRule="auto"/>
        <w:rPr>
          <w:rFonts w:hint="default" w:ascii="Times New Roman" w:hAnsi="Times New Roman" w:cs="Times New Roman"/>
          <w:color w:val="auto"/>
        </w:rPr>
      </w:pPr>
    </w:p>
    <w:tbl>
      <w:tblPr>
        <w:tblStyle w:val="27"/>
        <w:tblW w:w="887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5"/>
        <w:gridCol w:w="1818"/>
        <w:gridCol w:w="2357"/>
        <w:gridCol w:w="2614"/>
      </w:tblGrid>
      <w:tr w14:paraId="1A601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3" w:hRule="atLeast"/>
        </w:trPr>
        <w:tc>
          <w:tcPr>
            <w:tcW w:w="2085" w:type="dxa"/>
            <w:tcBorders>
              <w:left w:val="single" w:color="000000" w:sz="6" w:space="0"/>
            </w:tcBorders>
            <w:vAlign w:val="center"/>
          </w:tcPr>
          <w:p w14:paraId="5641006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建设项目名</w:t>
            </w:r>
            <w:r>
              <w:rPr>
                <w:rFonts w:hint="default" w:ascii="Times New Roman" w:hAnsi="Times New Roman" w:eastAsia="宋体" w:cs="Times New Roman"/>
                <w:color w:val="auto"/>
                <w:spacing w:val="7"/>
                <w:sz w:val="24"/>
                <w:szCs w:val="24"/>
              </w:rPr>
              <w:t>称</w:t>
            </w:r>
          </w:p>
        </w:tc>
        <w:tc>
          <w:tcPr>
            <w:tcW w:w="6789" w:type="dxa"/>
            <w:gridSpan w:val="3"/>
            <w:tcBorders>
              <w:right w:val="single" w:color="000000" w:sz="6" w:space="0"/>
            </w:tcBorders>
            <w:vAlign w:val="center"/>
          </w:tcPr>
          <w:p w14:paraId="646ADC8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库尔勒宠爱一生老城宠物医院</w:t>
            </w:r>
          </w:p>
        </w:tc>
      </w:tr>
      <w:tr w14:paraId="7714E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5118659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项</w:t>
            </w:r>
            <w:r>
              <w:rPr>
                <w:rFonts w:hint="default" w:ascii="Times New Roman" w:hAnsi="Times New Roman" w:eastAsia="宋体" w:cs="Times New Roman"/>
                <w:color w:val="auto"/>
                <w:spacing w:val="6"/>
                <w:sz w:val="24"/>
                <w:szCs w:val="24"/>
              </w:rPr>
              <w:t>目代码</w:t>
            </w:r>
          </w:p>
        </w:tc>
        <w:tc>
          <w:tcPr>
            <w:tcW w:w="6789" w:type="dxa"/>
            <w:gridSpan w:val="3"/>
            <w:tcBorders>
              <w:right w:val="single" w:color="000000" w:sz="6" w:space="0"/>
            </w:tcBorders>
            <w:vAlign w:val="center"/>
          </w:tcPr>
          <w:p w14:paraId="123C6D7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无</w:t>
            </w:r>
          </w:p>
        </w:tc>
      </w:tr>
      <w:tr w14:paraId="2A98F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67CE9CF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建</w:t>
            </w:r>
            <w:r>
              <w:rPr>
                <w:rFonts w:hint="default" w:ascii="Times New Roman" w:hAnsi="Times New Roman" w:eastAsia="宋体" w:cs="Times New Roman"/>
                <w:color w:val="auto"/>
                <w:spacing w:val="8"/>
                <w:sz w:val="24"/>
                <w:szCs w:val="24"/>
              </w:rPr>
              <w:t>设单位联系人</w:t>
            </w:r>
          </w:p>
        </w:tc>
        <w:tc>
          <w:tcPr>
            <w:tcW w:w="1818" w:type="dxa"/>
            <w:vAlign w:val="center"/>
          </w:tcPr>
          <w:p w14:paraId="79C65134">
            <w:pPr>
              <w:keepNext w:val="0"/>
              <w:keepLines w:val="0"/>
              <w:pageBreakBefore w:val="0"/>
              <w:widowControl/>
              <w:kinsoku w:val="0"/>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w:t>
            </w:r>
          </w:p>
        </w:tc>
        <w:tc>
          <w:tcPr>
            <w:tcW w:w="2357" w:type="dxa"/>
            <w:vAlign w:val="center"/>
          </w:tcPr>
          <w:p w14:paraId="281D6704">
            <w:pPr>
              <w:keepNext w:val="0"/>
              <w:keepLines w:val="0"/>
              <w:pageBreakBefore w:val="0"/>
              <w:widowControl/>
              <w:kinsoku w:val="0"/>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highlight w:val="none"/>
              </w:rPr>
              <w:t>联系方式</w:t>
            </w:r>
          </w:p>
        </w:tc>
        <w:tc>
          <w:tcPr>
            <w:tcW w:w="2614" w:type="dxa"/>
            <w:tcBorders>
              <w:right w:val="single" w:color="000000" w:sz="6" w:space="0"/>
            </w:tcBorders>
            <w:vAlign w:val="center"/>
          </w:tcPr>
          <w:p w14:paraId="7037E197">
            <w:pPr>
              <w:keepNext w:val="0"/>
              <w:keepLines w:val="0"/>
              <w:pageBreakBefore w:val="0"/>
              <w:widowControl/>
              <w:kinsoku w:val="0"/>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w:t>
            </w:r>
          </w:p>
        </w:tc>
      </w:tr>
      <w:tr w14:paraId="61792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42D45FD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建</w:t>
            </w:r>
            <w:r>
              <w:rPr>
                <w:rFonts w:hint="default" w:ascii="Times New Roman" w:hAnsi="Times New Roman" w:eastAsia="宋体" w:cs="Times New Roman"/>
                <w:color w:val="auto"/>
                <w:spacing w:val="6"/>
                <w:sz w:val="24"/>
                <w:szCs w:val="24"/>
              </w:rPr>
              <w:t>设地点</w:t>
            </w:r>
          </w:p>
        </w:tc>
        <w:tc>
          <w:tcPr>
            <w:tcW w:w="6789" w:type="dxa"/>
            <w:gridSpan w:val="3"/>
            <w:tcBorders>
              <w:right w:val="single" w:color="000000" w:sz="6" w:space="0"/>
            </w:tcBorders>
            <w:vAlign w:val="center"/>
          </w:tcPr>
          <w:p w14:paraId="4658CE3A">
            <w:pPr>
              <w:keepNext w:val="0"/>
              <w:keepLines w:val="0"/>
              <w:pageBreakBefore w:val="0"/>
              <w:widowControl/>
              <w:tabs>
                <w:tab w:val="left" w:pos="425"/>
              </w:tabs>
              <w:kinsoku w:val="0"/>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w:t>
            </w:r>
          </w:p>
        </w:tc>
      </w:tr>
      <w:tr w14:paraId="5438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18C0A5E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地</w:t>
            </w:r>
            <w:r>
              <w:rPr>
                <w:rFonts w:hint="default" w:ascii="Times New Roman" w:hAnsi="Times New Roman" w:eastAsia="宋体" w:cs="Times New Roman"/>
                <w:color w:val="auto"/>
                <w:spacing w:val="7"/>
                <w:sz w:val="24"/>
                <w:szCs w:val="24"/>
              </w:rPr>
              <w:t>理坐标</w:t>
            </w:r>
          </w:p>
        </w:tc>
        <w:tc>
          <w:tcPr>
            <w:tcW w:w="6789" w:type="dxa"/>
            <w:gridSpan w:val="3"/>
            <w:tcBorders>
              <w:right w:val="single" w:color="000000" w:sz="6" w:space="0"/>
            </w:tcBorders>
            <w:vAlign w:val="center"/>
          </w:tcPr>
          <w:p w14:paraId="25A9185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w:t>
            </w:r>
          </w:p>
        </w:tc>
      </w:tr>
      <w:tr w14:paraId="0952A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2085" w:type="dxa"/>
            <w:tcBorders>
              <w:left w:val="single" w:color="000000" w:sz="6" w:space="0"/>
            </w:tcBorders>
            <w:vAlign w:val="center"/>
          </w:tcPr>
          <w:p w14:paraId="62369A6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position w:val="4"/>
                <w:sz w:val="24"/>
                <w:szCs w:val="24"/>
              </w:rPr>
              <w:t>国</w:t>
            </w:r>
            <w:r>
              <w:rPr>
                <w:rFonts w:hint="default" w:ascii="Times New Roman" w:hAnsi="Times New Roman" w:eastAsia="宋体" w:cs="Times New Roman"/>
                <w:color w:val="auto"/>
                <w:spacing w:val="2"/>
                <w:position w:val="4"/>
                <w:sz w:val="24"/>
                <w:szCs w:val="24"/>
              </w:rPr>
              <w:t>民经济</w:t>
            </w:r>
          </w:p>
          <w:p w14:paraId="1B4634B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行</w:t>
            </w:r>
            <w:r>
              <w:rPr>
                <w:rFonts w:hint="default" w:ascii="Times New Roman" w:hAnsi="Times New Roman" w:eastAsia="宋体" w:cs="Times New Roman"/>
                <w:color w:val="auto"/>
                <w:spacing w:val="6"/>
                <w:sz w:val="24"/>
                <w:szCs w:val="24"/>
              </w:rPr>
              <w:t>业类别</w:t>
            </w:r>
          </w:p>
        </w:tc>
        <w:tc>
          <w:tcPr>
            <w:tcW w:w="1818" w:type="dxa"/>
            <w:vAlign w:val="center"/>
          </w:tcPr>
          <w:p w14:paraId="0ACADB90">
            <w:pPr>
              <w:adjustRightInd w:val="0"/>
              <w:snapToGrid w:val="0"/>
              <w:spacing w:line="240" w:lineRule="auto"/>
              <w:ind w:firstLine="0" w:firstLineChars="0"/>
              <w:jc w:val="center"/>
              <w:rPr>
                <w:rFonts w:hint="default" w:ascii="Times New Roman" w:hAnsi="Times New Roman" w:cs="Times New Roman"/>
                <w:snapToGrid w:val="0"/>
                <w:color w:val="auto"/>
                <w:highlight w:val="none"/>
                <w:lang w:val="en-US" w:eastAsia="zh-CN"/>
              </w:rPr>
            </w:pPr>
            <w:r>
              <w:rPr>
                <w:rFonts w:hint="default" w:ascii="Times New Roman" w:hAnsi="Times New Roman" w:cs="Times New Roman"/>
                <w:snapToGrid w:val="0"/>
                <w:color w:val="auto"/>
                <w:highlight w:val="none"/>
                <w:lang w:val="en-US" w:eastAsia="zh-CN"/>
              </w:rPr>
              <w:t>O</w:t>
            </w:r>
            <w:r>
              <w:rPr>
                <w:rFonts w:hint="default" w:ascii="Times New Roman" w:hAnsi="Times New Roman" w:cs="Times New Roman"/>
                <w:snapToGrid w:val="0"/>
                <w:color w:val="auto"/>
                <w:highlight w:val="none"/>
                <w:lang w:eastAsia="zh-CN"/>
              </w:rPr>
              <w:t>8</w:t>
            </w:r>
            <w:r>
              <w:rPr>
                <w:rFonts w:hint="default" w:ascii="Times New Roman" w:hAnsi="Times New Roman" w:cs="Times New Roman"/>
                <w:snapToGrid w:val="0"/>
                <w:color w:val="auto"/>
                <w:highlight w:val="none"/>
                <w:lang w:val="en-US" w:eastAsia="zh-CN"/>
              </w:rPr>
              <w:t>222</w:t>
            </w:r>
          </w:p>
          <w:p w14:paraId="2221929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snapToGrid w:val="0"/>
                <w:color w:val="auto"/>
                <w:highlight w:val="none"/>
                <w:lang w:val="en-US" w:eastAsia="zh-CN"/>
              </w:rPr>
              <w:t>宠物</w:t>
            </w:r>
            <w:r>
              <w:rPr>
                <w:rFonts w:hint="default" w:ascii="Times New Roman" w:hAnsi="Times New Roman" w:cs="Times New Roman"/>
                <w:snapToGrid w:val="0"/>
                <w:color w:val="auto"/>
                <w:highlight w:val="none"/>
                <w:lang w:eastAsia="zh-CN"/>
              </w:rPr>
              <w:t>医院</w:t>
            </w:r>
            <w:r>
              <w:rPr>
                <w:rFonts w:hint="default" w:ascii="Times New Roman" w:hAnsi="Times New Roman" w:cs="Times New Roman"/>
                <w:snapToGrid w:val="0"/>
                <w:color w:val="auto"/>
                <w:highlight w:val="none"/>
                <w:lang w:val="en-US" w:eastAsia="zh-CN"/>
              </w:rPr>
              <w:t>服务</w:t>
            </w:r>
          </w:p>
        </w:tc>
        <w:tc>
          <w:tcPr>
            <w:tcW w:w="2357" w:type="dxa"/>
            <w:vAlign w:val="center"/>
          </w:tcPr>
          <w:p w14:paraId="5FC4B15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position w:val="4"/>
                <w:sz w:val="24"/>
                <w:szCs w:val="24"/>
              </w:rPr>
              <w:t>建</w:t>
            </w:r>
            <w:r>
              <w:rPr>
                <w:rFonts w:hint="default" w:ascii="Times New Roman" w:hAnsi="Times New Roman" w:eastAsia="宋体" w:cs="Times New Roman"/>
                <w:color w:val="auto"/>
                <w:spacing w:val="6"/>
                <w:position w:val="4"/>
                <w:sz w:val="24"/>
                <w:szCs w:val="24"/>
              </w:rPr>
              <w:t>设项目</w:t>
            </w:r>
          </w:p>
          <w:p w14:paraId="5706475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行</w:t>
            </w:r>
            <w:r>
              <w:rPr>
                <w:rFonts w:hint="default" w:ascii="Times New Roman" w:hAnsi="Times New Roman" w:eastAsia="宋体" w:cs="Times New Roman"/>
                <w:color w:val="auto"/>
                <w:spacing w:val="6"/>
                <w:sz w:val="24"/>
                <w:szCs w:val="24"/>
              </w:rPr>
              <w:t>业类别</w:t>
            </w:r>
          </w:p>
        </w:tc>
        <w:tc>
          <w:tcPr>
            <w:tcW w:w="2614" w:type="dxa"/>
            <w:tcBorders>
              <w:right w:val="single" w:color="000000" w:sz="6" w:space="0"/>
            </w:tcBorders>
            <w:vAlign w:val="center"/>
          </w:tcPr>
          <w:p w14:paraId="5567A46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color w:val="auto"/>
                <w:sz w:val="24"/>
                <w:szCs w:val="24"/>
              </w:rPr>
              <w:t xml:space="preserve">五十、社会事业与服务业 </w:t>
            </w:r>
            <w:r>
              <w:rPr>
                <w:rFonts w:hint="default" w:ascii="Times New Roman" w:hAnsi="Times New Roman" w:eastAsia="TimesNewRomanPSMT" w:cs="Times New Roman"/>
                <w:b w:val="0"/>
                <w:bCs w:val="0"/>
                <w:color w:val="auto"/>
                <w:sz w:val="24"/>
                <w:szCs w:val="24"/>
              </w:rPr>
              <w:t>123</w:t>
            </w: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动物医院</w:t>
            </w:r>
          </w:p>
        </w:tc>
      </w:tr>
      <w:tr w14:paraId="02352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9" w:hRule="atLeast"/>
        </w:trPr>
        <w:tc>
          <w:tcPr>
            <w:tcW w:w="2085" w:type="dxa"/>
            <w:tcBorders>
              <w:left w:val="single" w:color="000000" w:sz="6" w:space="0"/>
            </w:tcBorders>
            <w:vAlign w:val="center"/>
          </w:tcPr>
          <w:p w14:paraId="3D79C68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建</w:t>
            </w:r>
            <w:r>
              <w:rPr>
                <w:rFonts w:hint="default" w:ascii="Times New Roman" w:hAnsi="Times New Roman" w:eastAsia="宋体" w:cs="Times New Roman"/>
                <w:color w:val="auto"/>
                <w:spacing w:val="6"/>
                <w:sz w:val="24"/>
                <w:szCs w:val="24"/>
              </w:rPr>
              <w:t>设性质</w:t>
            </w:r>
          </w:p>
        </w:tc>
        <w:tc>
          <w:tcPr>
            <w:tcW w:w="1818" w:type="dxa"/>
            <w:vAlign w:val="center"/>
          </w:tcPr>
          <w:p w14:paraId="252F87DE">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新建</w:t>
            </w:r>
            <w:r>
              <w:rPr>
                <w:rFonts w:hint="eastAsia" w:cs="Times New Roman"/>
                <w:color w:val="auto"/>
                <w:spacing w:val="4"/>
                <w:sz w:val="24"/>
                <w:szCs w:val="24"/>
                <w:lang w:eastAsia="zh-CN"/>
              </w:rPr>
              <w:t>（</w:t>
            </w:r>
            <w:r>
              <w:rPr>
                <w:rFonts w:hint="default" w:ascii="Times New Roman" w:hAnsi="Times New Roman" w:eastAsia="宋体" w:cs="Times New Roman"/>
                <w:color w:val="auto"/>
                <w:spacing w:val="4"/>
                <w:sz w:val="24"/>
                <w:szCs w:val="24"/>
              </w:rPr>
              <w:t>迁建</w:t>
            </w:r>
            <w:r>
              <w:rPr>
                <w:rFonts w:hint="eastAsia" w:cs="Times New Roman"/>
                <w:color w:val="auto"/>
                <w:spacing w:val="4"/>
                <w:sz w:val="24"/>
                <w:szCs w:val="24"/>
                <w:lang w:eastAsia="zh-CN"/>
              </w:rPr>
              <w:t>）</w:t>
            </w:r>
          </w:p>
          <w:p w14:paraId="6B1A4DF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w:t>
            </w:r>
            <w:r>
              <w:rPr>
                <w:rFonts w:hint="default" w:ascii="Times New Roman" w:hAnsi="Times New Roman" w:eastAsia="宋体" w:cs="Times New Roman"/>
                <w:color w:val="auto"/>
                <w:sz w:val="24"/>
                <w:szCs w:val="24"/>
              </w:rPr>
              <w:t>改建</w:t>
            </w:r>
          </w:p>
          <w:p w14:paraId="67FCC30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w:t>
            </w:r>
            <w:r>
              <w:rPr>
                <w:rFonts w:hint="default" w:ascii="Times New Roman" w:hAnsi="Times New Roman" w:eastAsia="宋体" w:cs="Times New Roman"/>
                <w:color w:val="auto"/>
                <w:sz w:val="24"/>
                <w:szCs w:val="24"/>
              </w:rPr>
              <w:t>扩建</w:t>
            </w:r>
          </w:p>
          <w:p w14:paraId="34D5FEED">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技术改</w:t>
            </w:r>
            <w:r>
              <w:rPr>
                <w:rFonts w:hint="default" w:ascii="Times New Roman" w:hAnsi="Times New Roman" w:eastAsia="宋体" w:cs="Times New Roman"/>
                <w:color w:val="auto"/>
                <w:spacing w:val="3"/>
                <w:sz w:val="24"/>
                <w:szCs w:val="24"/>
              </w:rPr>
              <w:t>造</w:t>
            </w:r>
          </w:p>
        </w:tc>
        <w:tc>
          <w:tcPr>
            <w:tcW w:w="2357" w:type="dxa"/>
            <w:vAlign w:val="center"/>
          </w:tcPr>
          <w:p w14:paraId="289025B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position w:val="4"/>
                <w:sz w:val="24"/>
                <w:szCs w:val="24"/>
              </w:rPr>
              <w:t>建</w:t>
            </w:r>
            <w:r>
              <w:rPr>
                <w:rFonts w:hint="default" w:ascii="Times New Roman" w:hAnsi="Times New Roman" w:eastAsia="宋体" w:cs="Times New Roman"/>
                <w:color w:val="auto"/>
                <w:spacing w:val="6"/>
                <w:position w:val="4"/>
                <w:sz w:val="24"/>
                <w:szCs w:val="24"/>
              </w:rPr>
              <w:t>设项目</w:t>
            </w:r>
          </w:p>
          <w:p w14:paraId="4AAC1CB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申报</w:t>
            </w:r>
            <w:r>
              <w:rPr>
                <w:rFonts w:hint="default" w:ascii="Times New Roman" w:hAnsi="Times New Roman" w:eastAsia="宋体" w:cs="Times New Roman"/>
                <w:color w:val="auto"/>
                <w:sz w:val="24"/>
                <w:szCs w:val="24"/>
              </w:rPr>
              <w:t>情形</w:t>
            </w:r>
          </w:p>
        </w:tc>
        <w:tc>
          <w:tcPr>
            <w:tcW w:w="2614" w:type="dxa"/>
            <w:tcBorders>
              <w:right w:val="single" w:color="000000" w:sz="6" w:space="0"/>
            </w:tcBorders>
            <w:vAlign w:val="center"/>
          </w:tcPr>
          <w:p w14:paraId="149B8BCD">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11"/>
                <w:sz w:val="24"/>
                <w:szCs w:val="24"/>
                <w:lang w:eastAsia="zh-CN"/>
              </w:rPr>
              <w:t>☑</w:t>
            </w:r>
            <w:r>
              <w:rPr>
                <w:rFonts w:hint="default" w:ascii="Times New Roman" w:hAnsi="Times New Roman" w:eastAsia="宋体" w:cs="Times New Roman"/>
                <w:color w:val="auto"/>
                <w:spacing w:val="16"/>
                <w:sz w:val="24"/>
                <w:szCs w:val="24"/>
              </w:rPr>
              <w:t>首</w:t>
            </w:r>
            <w:r>
              <w:rPr>
                <w:rFonts w:hint="default" w:ascii="Times New Roman" w:hAnsi="Times New Roman" w:eastAsia="宋体" w:cs="Times New Roman"/>
                <w:color w:val="auto"/>
                <w:spacing w:val="12"/>
                <w:sz w:val="24"/>
                <w:szCs w:val="24"/>
              </w:rPr>
              <w:t>次申报项目</w:t>
            </w:r>
          </w:p>
          <w:p w14:paraId="3B4AB9BF">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7"/>
                <w:sz w:val="24"/>
                <w:szCs w:val="24"/>
              </w:rPr>
              <w:t>不予批准后再次申报项目</w:t>
            </w:r>
          </w:p>
          <w:p w14:paraId="7A93F5A3">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pacing w:val="11"/>
                <w:sz w:val="24"/>
                <w:szCs w:val="24"/>
              </w:rPr>
            </w:pP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2"/>
                <w:sz w:val="24"/>
                <w:szCs w:val="24"/>
              </w:rPr>
              <w:t>超五年重新审核项</w:t>
            </w:r>
            <w:r>
              <w:rPr>
                <w:rFonts w:hint="default" w:ascii="Times New Roman" w:hAnsi="Times New Roman" w:eastAsia="宋体" w:cs="Times New Roman"/>
                <w:color w:val="auto"/>
                <w:spacing w:val="11"/>
                <w:sz w:val="24"/>
                <w:szCs w:val="24"/>
              </w:rPr>
              <w:t>目</w:t>
            </w:r>
          </w:p>
          <w:p w14:paraId="1171B511">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□重大变动重新报批项目</w:t>
            </w:r>
          </w:p>
        </w:tc>
      </w:tr>
      <w:tr w14:paraId="5680A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2" w:hRule="atLeast"/>
        </w:trPr>
        <w:tc>
          <w:tcPr>
            <w:tcW w:w="2085" w:type="dxa"/>
            <w:tcBorders>
              <w:left w:val="single" w:color="000000" w:sz="6" w:space="0"/>
            </w:tcBorders>
            <w:vAlign w:val="center"/>
          </w:tcPr>
          <w:p w14:paraId="52A0F412">
            <w:pPr>
              <w:keepNext w:val="0"/>
              <w:keepLines w:val="0"/>
              <w:pageBreakBefore w:val="0"/>
              <w:widowControl/>
              <w:kinsoku w:val="0"/>
              <w:wordWrap/>
              <w:overflowPunct/>
              <w:topLinePunct w:val="0"/>
              <w:autoSpaceDE w:val="0"/>
              <w:autoSpaceDN w:val="0"/>
              <w:bidi w:val="0"/>
              <w:adjustRightInd/>
              <w:snapToGrid/>
              <w:spacing w:line="240" w:lineRule="auto"/>
              <w:ind w:right="26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项</w:t>
            </w:r>
            <w:r>
              <w:rPr>
                <w:rFonts w:hint="default" w:ascii="Times New Roman" w:hAnsi="Times New Roman" w:eastAsia="宋体" w:cs="Times New Roman"/>
                <w:color w:val="auto"/>
                <w:spacing w:val="7"/>
                <w:sz w:val="24"/>
                <w:szCs w:val="24"/>
              </w:rPr>
              <w:t>目审批</w:t>
            </w:r>
            <w:r>
              <w:rPr>
                <w:rFonts w:hint="eastAsia" w:cs="Times New Roman"/>
                <w:color w:val="auto"/>
                <w:spacing w:val="7"/>
                <w:sz w:val="24"/>
                <w:szCs w:val="24"/>
                <w:lang w:eastAsia="zh-CN"/>
              </w:rPr>
              <w:t>（</w:t>
            </w:r>
            <w:r>
              <w:rPr>
                <w:rFonts w:hint="default" w:ascii="Times New Roman" w:hAnsi="Times New Roman" w:eastAsia="宋体" w:cs="Times New Roman"/>
                <w:color w:val="auto"/>
                <w:spacing w:val="7"/>
                <w:sz w:val="24"/>
                <w:szCs w:val="24"/>
              </w:rPr>
              <w:t>核准/</w:t>
            </w:r>
            <w:r>
              <w:rPr>
                <w:rFonts w:hint="default" w:ascii="Times New Roman" w:hAnsi="Times New Roman" w:eastAsia="宋体" w:cs="Times New Roman"/>
                <w:color w:val="auto"/>
                <w:spacing w:val="9"/>
                <w:sz w:val="24"/>
                <w:szCs w:val="24"/>
              </w:rPr>
              <w:t>备</w:t>
            </w:r>
            <w:r>
              <w:rPr>
                <w:rFonts w:hint="default" w:ascii="Times New Roman" w:hAnsi="Times New Roman" w:eastAsia="宋体" w:cs="Times New Roman"/>
                <w:color w:val="auto"/>
                <w:spacing w:val="5"/>
                <w:sz w:val="24"/>
                <w:szCs w:val="24"/>
              </w:rPr>
              <w:t>案</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部门</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选填</w:t>
            </w:r>
            <w:r>
              <w:rPr>
                <w:rFonts w:hint="eastAsia" w:cs="Times New Roman"/>
                <w:color w:val="auto"/>
                <w:spacing w:val="5"/>
                <w:sz w:val="24"/>
                <w:szCs w:val="24"/>
                <w:lang w:eastAsia="zh-CN"/>
              </w:rPr>
              <w:t>）</w:t>
            </w:r>
          </w:p>
        </w:tc>
        <w:tc>
          <w:tcPr>
            <w:tcW w:w="1818" w:type="dxa"/>
            <w:vAlign w:val="center"/>
          </w:tcPr>
          <w:p w14:paraId="06335EB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c>
          <w:tcPr>
            <w:tcW w:w="2357" w:type="dxa"/>
            <w:vAlign w:val="center"/>
          </w:tcPr>
          <w:p w14:paraId="31EB87E7">
            <w:pPr>
              <w:keepNext w:val="0"/>
              <w:keepLines w:val="0"/>
              <w:pageBreakBefore w:val="0"/>
              <w:widowControl/>
              <w:kinsoku w:val="0"/>
              <w:wordWrap/>
              <w:overflowPunct/>
              <w:topLinePunct w:val="0"/>
              <w:autoSpaceDE w:val="0"/>
              <w:autoSpaceDN w:val="0"/>
              <w:bidi w:val="0"/>
              <w:adjustRightInd/>
              <w:snapToGrid/>
              <w:spacing w:line="240" w:lineRule="auto"/>
              <w:ind w:left="0" w:right="175" w:firstLine="159"/>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项目审批</w:t>
            </w:r>
            <w:r>
              <w:rPr>
                <w:rFonts w:hint="eastAsia" w:cs="Times New Roman"/>
                <w:color w:val="auto"/>
                <w:spacing w:val="7"/>
                <w:sz w:val="24"/>
                <w:szCs w:val="24"/>
                <w:lang w:eastAsia="zh-CN"/>
              </w:rPr>
              <w:t>（</w:t>
            </w:r>
            <w:r>
              <w:rPr>
                <w:rFonts w:hint="default" w:ascii="Times New Roman" w:hAnsi="Times New Roman" w:eastAsia="宋体" w:cs="Times New Roman"/>
                <w:color w:val="auto"/>
                <w:spacing w:val="7"/>
                <w:sz w:val="24"/>
                <w:szCs w:val="24"/>
              </w:rPr>
              <w:t>核准</w:t>
            </w:r>
            <w:r>
              <w:rPr>
                <w:rFonts w:hint="default" w:ascii="Times New Roman" w:hAnsi="Times New Roman" w:eastAsia="宋体" w:cs="Times New Roman"/>
                <w:color w:val="auto"/>
                <w:spacing w:val="5"/>
                <w:sz w:val="24"/>
                <w:szCs w:val="24"/>
              </w:rPr>
              <w:t>/</w:t>
            </w:r>
            <w:r>
              <w:rPr>
                <w:rFonts w:hint="default" w:ascii="Times New Roman" w:hAnsi="Times New Roman" w:eastAsia="宋体" w:cs="Times New Roman"/>
                <w:color w:val="auto"/>
                <w:spacing w:val="9"/>
                <w:sz w:val="24"/>
                <w:szCs w:val="24"/>
              </w:rPr>
              <w:t>备</w:t>
            </w:r>
            <w:r>
              <w:rPr>
                <w:rFonts w:hint="default" w:ascii="Times New Roman" w:hAnsi="Times New Roman" w:eastAsia="宋体" w:cs="Times New Roman"/>
                <w:color w:val="auto"/>
                <w:spacing w:val="5"/>
                <w:sz w:val="24"/>
                <w:szCs w:val="24"/>
              </w:rPr>
              <w:t>案</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文号</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选填</w:t>
            </w:r>
            <w:r>
              <w:rPr>
                <w:rFonts w:hint="eastAsia" w:cs="Times New Roman"/>
                <w:color w:val="auto"/>
                <w:spacing w:val="5"/>
                <w:sz w:val="24"/>
                <w:szCs w:val="24"/>
                <w:lang w:eastAsia="zh-CN"/>
              </w:rPr>
              <w:t>）</w:t>
            </w:r>
          </w:p>
        </w:tc>
        <w:tc>
          <w:tcPr>
            <w:tcW w:w="2614" w:type="dxa"/>
            <w:tcBorders>
              <w:right w:val="single" w:color="000000" w:sz="6" w:space="0"/>
            </w:tcBorders>
            <w:vAlign w:val="center"/>
          </w:tcPr>
          <w:p w14:paraId="2241E69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r>
      <w:tr w14:paraId="36157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7135401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总投资</w:t>
            </w:r>
            <w:r>
              <w:rPr>
                <w:rFonts w:hint="eastAsia" w:cs="Times New Roman"/>
                <w:color w:val="auto"/>
                <w:spacing w:val="6"/>
                <w:sz w:val="24"/>
                <w:szCs w:val="24"/>
                <w:lang w:eastAsia="zh-CN"/>
              </w:rPr>
              <w:t>（</w:t>
            </w:r>
            <w:r>
              <w:rPr>
                <w:rFonts w:hint="default" w:ascii="Times New Roman" w:hAnsi="Times New Roman" w:eastAsia="宋体" w:cs="Times New Roman"/>
                <w:color w:val="auto"/>
                <w:spacing w:val="6"/>
                <w:sz w:val="24"/>
                <w:szCs w:val="24"/>
              </w:rPr>
              <w:t>万元</w:t>
            </w:r>
            <w:r>
              <w:rPr>
                <w:rFonts w:hint="eastAsia" w:cs="Times New Roman"/>
                <w:color w:val="auto"/>
                <w:spacing w:val="6"/>
                <w:sz w:val="24"/>
                <w:szCs w:val="24"/>
                <w:lang w:eastAsia="zh-CN"/>
              </w:rPr>
              <w:t>）</w:t>
            </w:r>
          </w:p>
        </w:tc>
        <w:tc>
          <w:tcPr>
            <w:tcW w:w="1818" w:type="dxa"/>
            <w:vAlign w:val="center"/>
          </w:tcPr>
          <w:p w14:paraId="7C46E6E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000000" w:themeColor="text1"/>
                <w:sz w:val="24"/>
                <w:szCs w:val="24"/>
                <w:lang w:val="en-US" w:eastAsia="zh-CN"/>
                <w14:textFill>
                  <w14:solidFill>
                    <w14:schemeClr w14:val="tx1"/>
                  </w14:solidFill>
                </w14:textFill>
              </w:rPr>
              <w:t>15</w:t>
            </w:r>
          </w:p>
        </w:tc>
        <w:tc>
          <w:tcPr>
            <w:tcW w:w="2357" w:type="dxa"/>
            <w:vAlign w:val="center"/>
          </w:tcPr>
          <w:p w14:paraId="45CAED9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环</w:t>
            </w:r>
            <w:r>
              <w:rPr>
                <w:rFonts w:hint="default" w:ascii="Times New Roman" w:hAnsi="Times New Roman" w:eastAsia="宋体" w:cs="Times New Roman"/>
                <w:color w:val="auto"/>
                <w:spacing w:val="6"/>
                <w:sz w:val="24"/>
                <w:szCs w:val="24"/>
              </w:rPr>
              <w:t>保投资</w:t>
            </w:r>
            <w:r>
              <w:rPr>
                <w:rFonts w:hint="eastAsia" w:cs="Times New Roman"/>
                <w:color w:val="auto"/>
                <w:spacing w:val="6"/>
                <w:sz w:val="24"/>
                <w:szCs w:val="24"/>
                <w:lang w:eastAsia="zh-CN"/>
              </w:rPr>
              <w:t>（</w:t>
            </w:r>
            <w:r>
              <w:rPr>
                <w:rFonts w:hint="default" w:ascii="Times New Roman" w:hAnsi="Times New Roman" w:eastAsia="宋体" w:cs="Times New Roman"/>
                <w:color w:val="auto"/>
                <w:spacing w:val="6"/>
                <w:sz w:val="24"/>
                <w:szCs w:val="24"/>
              </w:rPr>
              <w:t>万元</w:t>
            </w:r>
            <w:r>
              <w:rPr>
                <w:rFonts w:hint="eastAsia" w:cs="Times New Roman"/>
                <w:color w:val="auto"/>
                <w:spacing w:val="6"/>
                <w:sz w:val="24"/>
                <w:szCs w:val="24"/>
                <w:lang w:eastAsia="zh-CN"/>
              </w:rPr>
              <w:t>）</w:t>
            </w:r>
          </w:p>
        </w:tc>
        <w:tc>
          <w:tcPr>
            <w:tcW w:w="2614" w:type="dxa"/>
            <w:tcBorders>
              <w:right w:val="single" w:color="000000" w:sz="6" w:space="0"/>
            </w:tcBorders>
            <w:vAlign w:val="center"/>
          </w:tcPr>
          <w:p w14:paraId="21F79FD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3</w:t>
            </w:r>
          </w:p>
        </w:tc>
      </w:tr>
      <w:tr w14:paraId="58DC6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2410F71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环</w:t>
            </w:r>
            <w:r>
              <w:rPr>
                <w:rFonts w:hint="default" w:ascii="Times New Roman" w:hAnsi="Times New Roman" w:eastAsia="宋体" w:cs="Times New Roman"/>
                <w:color w:val="auto"/>
                <w:spacing w:val="6"/>
                <w:sz w:val="24"/>
                <w:szCs w:val="24"/>
              </w:rPr>
              <w:t>保投资占比</w:t>
            </w:r>
            <w:r>
              <w:rPr>
                <w:rFonts w:hint="eastAsia" w:cs="Times New Roman"/>
                <w:color w:val="auto"/>
                <w:spacing w:val="6"/>
                <w:sz w:val="24"/>
                <w:szCs w:val="24"/>
                <w:lang w:eastAsia="zh-CN"/>
              </w:rPr>
              <w:t>（</w:t>
            </w:r>
            <w:r>
              <w:rPr>
                <w:rFonts w:hint="default" w:ascii="Times New Roman" w:hAnsi="Times New Roman" w:eastAsia="宋体" w:cs="Times New Roman"/>
                <w:color w:val="auto"/>
                <w:spacing w:val="6"/>
                <w:sz w:val="24"/>
                <w:szCs w:val="24"/>
              </w:rPr>
              <w:t>%</w:t>
            </w:r>
            <w:r>
              <w:rPr>
                <w:rFonts w:hint="eastAsia" w:cs="Times New Roman"/>
                <w:color w:val="auto"/>
                <w:spacing w:val="6"/>
                <w:sz w:val="24"/>
                <w:szCs w:val="24"/>
                <w:lang w:eastAsia="zh-CN"/>
              </w:rPr>
              <w:t>）</w:t>
            </w:r>
          </w:p>
        </w:tc>
        <w:tc>
          <w:tcPr>
            <w:tcW w:w="1818" w:type="dxa"/>
            <w:vAlign w:val="center"/>
          </w:tcPr>
          <w:p w14:paraId="65FB41E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20</w:t>
            </w:r>
            <w:r>
              <w:rPr>
                <w:rFonts w:hint="default" w:ascii="Times New Roman" w:hAnsi="Times New Roman" w:cs="Times New Roman"/>
                <w:color w:val="auto"/>
                <w:sz w:val="24"/>
                <w:szCs w:val="24"/>
                <w:lang w:val="en-US" w:eastAsia="zh-CN"/>
              </w:rPr>
              <w:t>%</w:t>
            </w:r>
          </w:p>
        </w:tc>
        <w:tc>
          <w:tcPr>
            <w:tcW w:w="2357" w:type="dxa"/>
            <w:vAlign w:val="center"/>
          </w:tcPr>
          <w:p w14:paraId="2A77750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施</w:t>
            </w:r>
            <w:r>
              <w:rPr>
                <w:rFonts w:hint="default" w:ascii="Times New Roman" w:hAnsi="Times New Roman" w:eastAsia="宋体" w:cs="Times New Roman"/>
                <w:color w:val="auto"/>
                <w:spacing w:val="7"/>
                <w:sz w:val="24"/>
                <w:szCs w:val="24"/>
              </w:rPr>
              <w:t>工工期</w:t>
            </w:r>
          </w:p>
        </w:tc>
        <w:tc>
          <w:tcPr>
            <w:tcW w:w="2614" w:type="dxa"/>
            <w:tcBorders>
              <w:right w:val="single" w:color="000000" w:sz="6" w:space="0"/>
            </w:tcBorders>
            <w:vAlign w:val="center"/>
          </w:tcPr>
          <w:p w14:paraId="6C72D72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1个月</w:t>
            </w:r>
          </w:p>
        </w:tc>
      </w:tr>
      <w:tr w14:paraId="1AE09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2085" w:type="dxa"/>
            <w:tcBorders>
              <w:left w:val="single" w:color="000000" w:sz="6" w:space="0"/>
            </w:tcBorders>
            <w:vAlign w:val="center"/>
          </w:tcPr>
          <w:p w14:paraId="76E4EB6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是</w:t>
            </w:r>
            <w:r>
              <w:rPr>
                <w:rFonts w:hint="default" w:ascii="Times New Roman" w:hAnsi="Times New Roman" w:eastAsia="宋体" w:cs="Times New Roman"/>
                <w:color w:val="auto"/>
                <w:spacing w:val="7"/>
                <w:sz w:val="24"/>
                <w:szCs w:val="24"/>
              </w:rPr>
              <w:t>否开工建设</w:t>
            </w:r>
          </w:p>
        </w:tc>
        <w:tc>
          <w:tcPr>
            <w:tcW w:w="1818" w:type="dxa"/>
            <w:vAlign w:val="center"/>
          </w:tcPr>
          <w:p w14:paraId="1856CCE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pacing w:val="11"/>
                <w:sz w:val="24"/>
                <w:szCs w:val="24"/>
                <w:lang w:eastAsia="zh-CN"/>
              </w:rPr>
              <w:t>☑</w:t>
            </w:r>
            <w:r>
              <w:rPr>
                <w:rFonts w:hint="default" w:ascii="Times New Roman" w:hAnsi="Times New Roman" w:eastAsia="宋体" w:cs="Times New Roman"/>
                <w:color w:val="auto"/>
                <w:spacing w:val="27"/>
                <w:position w:val="4"/>
                <w:sz w:val="24"/>
                <w:szCs w:val="24"/>
              </w:rPr>
              <w:t>否</w:t>
            </w:r>
            <w:r>
              <w:rPr>
                <w:rFonts w:hint="default" w:ascii="Times New Roman" w:hAnsi="Times New Roman" w:cs="Times New Roman"/>
                <w:color w:val="auto"/>
                <w:spacing w:val="27"/>
                <w:position w:val="4"/>
                <w:sz w:val="24"/>
                <w:szCs w:val="24"/>
                <w:lang w:eastAsia="zh-CN"/>
              </w:rPr>
              <w:t>：</w:t>
            </w:r>
          </w:p>
          <w:p w14:paraId="3D58A0D9">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4"/>
                <w:sz w:val="24"/>
                <w:szCs w:val="24"/>
              </w:rPr>
              <w:t>是</w:t>
            </w:r>
            <w:r>
              <w:rPr>
                <w:rFonts w:hint="default" w:ascii="Times New Roman" w:hAnsi="Times New Roman" w:eastAsia="宋体" w:cs="Times New Roman"/>
                <w:color w:val="auto"/>
                <w:spacing w:val="13"/>
                <w:sz w:val="24"/>
                <w:szCs w:val="24"/>
              </w:rPr>
              <w:t>：</w:t>
            </w:r>
          </w:p>
        </w:tc>
        <w:tc>
          <w:tcPr>
            <w:tcW w:w="2357" w:type="dxa"/>
            <w:vAlign w:val="center"/>
          </w:tcPr>
          <w:p w14:paraId="0803932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position w:val="4"/>
                <w:sz w:val="24"/>
                <w:szCs w:val="24"/>
              </w:rPr>
              <w:t>用地</w:t>
            </w:r>
            <w:r>
              <w:rPr>
                <w:rFonts w:hint="eastAsia" w:cs="Times New Roman"/>
                <w:color w:val="auto"/>
                <w:spacing w:val="-2"/>
                <w:position w:val="4"/>
                <w:sz w:val="24"/>
                <w:szCs w:val="24"/>
                <w:lang w:eastAsia="zh-CN"/>
              </w:rPr>
              <w:t>（</w:t>
            </w:r>
            <w:r>
              <w:rPr>
                <w:rFonts w:hint="default" w:ascii="Times New Roman" w:hAnsi="Times New Roman" w:eastAsia="宋体" w:cs="Times New Roman"/>
                <w:color w:val="auto"/>
                <w:spacing w:val="-1"/>
                <w:position w:val="4"/>
                <w:sz w:val="24"/>
                <w:szCs w:val="24"/>
              </w:rPr>
              <w:t>用海</w:t>
            </w:r>
            <w:r>
              <w:rPr>
                <w:rFonts w:hint="eastAsia" w:cs="Times New Roman"/>
                <w:color w:val="auto"/>
                <w:spacing w:val="-1"/>
                <w:position w:val="4"/>
                <w:sz w:val="24"/>
                <w:szCs w:val="24"/>
                <w:lang w:eastAsia="zh-CN"/>
              </w:rPr>
              <w:t>）</w:t>
            </w:r>
          </w:p>
          <w:p w14:paraId="316E882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面积</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m</w:t>
            </w:r>
            <w:r>
              <w:rPr>
                <w:rFonts w:hint="default" w:ascii="Times New Roman" w:hAnsi="Times New Roman" w:cs="Times New Roman"/>
                <w:color w:val="auto"/>
                <w:spacing w:val="-5"/>
                <w:sz w:val="24"/>
                <w:szCs w:val="24"/>
                <w:vertAlign w:val="superscript"/>
                <w:lang w:val="en-US" w:eastAsia="zh-CN"/>
              </w:rPr>
              <w:t>2</w:t>
            </w:r>
            <w:r>
              <w:rPr>
                <w:rFonts w:hint="eastAsia" w:cs="Times New Roman"/>
                <w:color w:val="auto"/>
                <w:spacing w:val="-5"/>
                <w:sz w:val="24"/>
                <w:szCs w:val="24"/>
                <w:vertAlign w:val="superscript"/>
                <w:lang w:val="en-US" w:eastAsia="zh-CN"/>
              </w:rPr>
              <w:t>）</w:t>
            </w:r>
          </w:p>
        </w:tc>
        <w:tc>
          <w:tcPr>
            <w:tcW w:w="2614" w:type="dxa"/>
            <w:tcBorders>
              <w:right w:val="single" w:color="000000" w:sz="6" w:space="0"/>
            </w:tcBorders>
            <w:vAlign w:val="center"/>
          </w:tcPr>
          <w:p w14:paraId="6F13F07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eastAsia" w:cs="Times New Roman"/>
                <w:color w:val="auto"/>
                <w:sz w:val="24"/>
                <w:szCs w:val="24"/>
                <w:lang w:val="en-US" w:eastAsia="zh-CN"/>
              </w:rPr>
            </w:pPr>
            <w:r>
              <w:rPr>
                <w:rFonts w:hint="eastAsia" w:cs="Times New Roman"/>
                <w:color w:val="auto"/>
                <w:sz w:val="24"/>
                <w:szCs w:val="24"/>
                <w:lang w:val="en-US" w:eastAsia="zh-CN"/>
              </w:rPr>
              <w:t>229</w:t>
            </w:r>
          </w:p>
          <w:p w14:paraId="69013F2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（不新增用地）</w:t>
            </w:r>
          </w:p>
        </w:tc>
      </w:tr>
      <w:tr w14:paraId="5316B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2085" w:type="dxa"/>
            <w:tcBorders>
              <w:left w:val="single" w:color="000000" w:sz="6" w:space="0"/>
            </w:tcBorders>
            <w:vAlign w:val="center"/>
          </w:tcPr>
          <w:p w14:paraId="05FDE48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专</w:t>
            </w:r>
            <w:r>
              <w:rPr>
                <w:rFonts w:hint="default" w:ascii="Times New Roman" w:hAnsi="Times New Roman" w:eastAsia="宋体" w:cs="Times New Roman"/>
                <w:color w:val="auto"/>
                <w:spacing w:val="8"/>
                <w:sz w:val="24"/>
                <w:szCs w:val="24"/>
              </w:rPr>
              <w:t>项评价设置情况</w:t>
            </w:r>
          </w:p>
        </w:tc>
        <w:tc>
          <w:tcPr>
            <w:tcW w:w="6789" w:type="dxa"/>
            <w:gridSpan w:val="3"/>
            <w:tcBorders>
              <w:right w:val="single" w:color="000000" w:sz="6" w:space="0"/>
            </w:tcBorders>
            <w:vAlign w:val="center"/>
          </w:tcPr>
          <w:p w14:paraId="73E5A65B">
            <w:pPr>
              <w:widowControl w:val="0"/>
              <w:snapToGrid w:val="0"/>
              <w:spacing w:line="240" w:lineRule="auto"/>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lang w:eastAsia="zh-CN"/>
              </w:rPr>
              <w:t>无</w:t>
            </w:r>
          </w:p>
        </w:tc>
      </w:tr>
      <w:tr w14:paraId="39B59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0" w:hRule="atLeast"/>
        </w:trPr>
        <w:tc>
          <w:tcPr>
            <w:tcW w:w="2085" w:type="dxa"/>
            <w:tcBorders>
              <w:left w:val="single" w:color="000000" w:sz="6" w:space="0"/>
            </w:tcBorders>
            <w:vAlign w:val="center"/>
          </w:tcPr>
          <w:p w14:paraId="32E66AD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规划情况</w:t>
            </w:r>
          </w:p>
        </w:tc>
        <w:tc>
          <w:tcPr>
            <w:tcW w:w="6789" w:type="dxa"/>
            <w:gridSpan w:val="3"/>
            <w:tcBorders>
              <w:right w:val="single" w:color="000000" w:sz="6" w:space="0"/>
            </w:tcBorders>
            <w:vAlign w:val="center"/>
          </w:tcPr>
          <w:p w14:paraId="523281DC">
            <w:pPr>
              <w:widowControl w:val="0"/>
              <w:snapToGrid w:val="0"/>
              <w:spacing w:line="240" w:lineRule="auto"/>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lang w:val="en-US" w:eastAsia="zh-CN"/>
              </w:rPr>
              <w:t>无</w:t>
            </w:r>
          </w:p>
        </w:tc>
      </w:tr>
      <w:tr w14:paraId="44776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2085" w:type="dxa"/>
            <w:tcBorders>
              <w:left w:val="single" w:color="000000" w:sz="6" w:space="0"/>
            </w:tcBorders>
            <w:vAlign w:val="center"/>
          </w:tcPr>
          <w:p w14:paraId="39E48F8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position w:val="4"/>
                <w:sz w:val="24"/>
                <w:szCs w:val="24"/>
              </w:rPr>
              <w:t>规划环境影响</w:t>
            </w:r>
          </w:p>
          <w:p w14:paraId="6398F45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评</w:t>
            </w:r>
            <w:r>
              <w:rPr>
                <w:rFonts w:hint="default" w:ascii="Times New Roman" w:hAnsi="Times New Roman" w:eastAsia="宋体" w:cs="Times New Roman"/>
                <w:color w:val="auto"/>
                <w:spacing w:val="7"/>
                <w:sz w:val="24"/>
                <w:szCs w:val="24"/>
              </w:rPr>
              <w:t>价情况</w:t>
            </w:r>
          </w:p>
        </w:tc>
        <w:tc>
          <w:tcPr>
            <w:tcW w:w="6789" w:type="dxa"/>
            <w:gridSpan w:val="3"/>
            <w:tcBorders>
              <w:right w:val="single" w:color="000000" w:sz="6" w:space="0"/>
            </w:tcBorders>
            <w:vAlign w:val="center"/>
          </w:tcPr>
          <w:p w14:paraId="32AF2817">
            <w:pPr>
              <w:snapToGrid w:val="0"/>
              <w:spacing w:line="460" w:lineRule="exact"/>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lang w:eastAsia="zh-CN"/>
              </w:rPr>
              <w:t>无</w:t>
            </w:r>
          </w:p>
        </w:tc>
      </w:tr>
      <w:tr w14:paraId="0F827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3" w:hRule="atLeast"/>
        </w:trPr>
        <w:tc>
          <w:tcPr>
            <w:tcW w:w="2085" w:type="dxa"/>
            <w:tcBorders>
              <w:left w:val="single" w:color="000000" w:sz="6" w:space="0"/>
            </w:tcBorders>
            <w:vAlign w:val="center"/>
          </w:tcPr>
          <w:p w14:paraId="76DF2FAD">
            <w:pPr>
              <w:keepNext w:val="0"/>
              <w:keepLines w:val="0"/>
              <w:pageBreakBefore w:val="0"/>
              <w:widowControl/>
              <w:kinsoku w:val="0"/>
              <w:wordWrap/>
              <w:overflowPunct/>
              <w:topLinePunct w:val="0"/>
              <w:autoSpaceDE w:val="0"/>
              <w:autoSpaceDN w:val="0"/>
              <w:bidi w:val="0"/>
              <w:adjustRightInd/>
              <w:snapToGrid/>
              <w:spacing w:line="240" w:lineRule="auto"/>
              <w:ind w:right="248"/>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规</w:t>
            </w:r>
            <w:r>
              <w:rPr>
                <w:rFonts w:hint="default" w:ascii="Times New Roman" w:hAnsi="Times New Roman" w:eastAsia="宋体" w:cs="Times New Roman"/>
                <w:color w:val="auto"/>
                <w:spacing w:val="8"/>
                <w:sz w:val="24"/>
                <w:szCs w:val="24"/>
              </w:rPr>
              <w:t>划及规划环境</w:t>
            </w:r>
            <w:r>
              <w:rPr>
                <w:rFonts w:hint="default" w:ascii="Times New Roman" w:hAnsi="Times New Roman" w:eastAsia="宋体" w:cs="Times New Roman"/>
                <w:color w:val="auto"/>
                <w:spacing w:val="9"/>
                <w:sz w:val="24"/>
                <w:szCs w:val="24"/>
              </w:rPr>
              <w:t>影响评价符合性分</w:t>
            </w:r>
            <w:r>
              <w:rPr>
                <w:rFonts w:hint="default" w:ascii="Times New Roman" w:hAnsi="Times New Roman" w:eastAsia="宋体" w:cs="Times New Roman"/>
                <w:color w:val="auto"/>
                <w:spacing w:val="8"/>
                <w:sz w:val="24"/>
                <w:szCs w:val="24"/>
              </w:rPr>
              <w:t>析</w:t>
            </w:r>
          </w:p>
        </w:tc>
        <w:tc>
          <w:tcPr>
            <w:tcW w:w="6789" w:type="dxa"/>
            <w:gridSpan w:val="3"/>
            <w:tcBorders>
              <w:right w:val="single" w:color="000000" w:sz="6" w:space="0"/>
            </w:tcBorders>
            <w:vAlign w:val="center"/>
          </w:tcPr>
          <w:p w14:paraId="7ED88D2F">
            <w:pPr>
              <w:widowControl w:val="0"/>
              <w:spacing w:line="460" w:lineRule="exact"/>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lang w:val="en-US" w:eastAsia="zh-CN"/>
              </w:rPr>
              <w:t>无</w:t>
            </w:r>
          </w:p>
        </w:tc>
      </w:tr>
      <w:tr w14:paraId="16C6F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8" w:hRule="atLeast"/>
        </w:trPr>
        <w:tc>
          <w:tcPr>
            <w:tcW w:w="2085" w:type="dxa"/>
            <w:tcBorders>
              <w:left w:val="single" w:color="000000" w:sz="6" w:space="0"/>
            </w:tcBorders>
            <w:vAlign w:val="center"/>
          </w:tcPr>
          <w:p w14:paraId="0058BD3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其</w:t>
            </w:r>
            <w:r>
              <w:rPr>
                <w:rFonts w:hint="default" w:ascii="Times New Roman" w:hAnsi="Times New Roman" w:eastAsia="宋体" w:cs="Times New Roman"/>
                <w:color w:val="auto"/>
                <w:spacing w:val="8"/>
                <w:sz w:val="24"/>
                <w:szCs w:val="24"/>
              </w:rPr>
              <w:t>他符合性分析</w:t>
            </w:r>
          </w:p>
        </w:tc>
        <w:tc>
          <w:tcPr>
            <w:tcW w:w="6789" w:type="dxa"/>
            <w:gridSpan w:val="3"/>
            <w:tcBorders>
              <w:right w:val="single" w:color="000000" w:sz="6" w:space="0"/>
            </w:tcBorders>
            <w:vAlign w:val="center"/>
          </w:tcPr>
          <w:p w14:paraId="2C8054C5">
            <w:pPr>
              <w:pStyle w:val="3"/>
              <w:keepNext/>
              <w:keepLines/>
              <w:pageBreakBefore w:val="0"/>
              <w:widowControl/>
              <w:kinsoku w:val="0"/>
              <w:wordWrap/>
              <w:overflowPunct/>
              <w:topLinePunct w:val="0"/>
              <w:autoSpaceDE w:val="0"/>
              <w:autoSpaceDN w:val="0"/>
              <w:bidi w:val="0"/>
              <w:adjustRightInd/>
              <w:snapToGrid/>
              <w:spacing w:before="0" w:beforeLines="50" w:line="240" w:lineRule="auto"/>
              <w:textAlignment w:val="baseline"/>
              <w:rPr>
                <w:rFonts w:hint="default" w:ascii="Times New Roman" w:hAnsi="Times New Roman" w:cs="Times New Roman"/>
                <w:color w:val="auto"/>
                <w:lang w:eastAsia="zh-CN"/>
              </w:rPr>
            </w:pPr>
            <w:r>
              <w:rPr>
                <w:rFonts w:hint="default" w:ascii="Times New Roman" w:hAnsi="Times New Roman" w:cs="Times New Roman"/>
                <w:color w:val="auto"/>
                <w:lang w:eastAsia="zh-CN"/>
              </w:rPr>
              <w:t>1、项目产业政策符合性</w:t>
            </w:r>
          </w:p>
          <w:p w14:paraId="1B043744">
            <w:pPr>
              <w:pStyle w:val="6"/>
              <w:bidi w:val="0"/>
              <w:rPr>
                <w:rFonts w:hint="default" w:ascii="Times New Roman" w:hAnsi="Times New Roman" w:eastAsia="宋体" w:cs="Times New Roman"/>
                <w:snapToGrid w:val="0"/>
                <w:color w:val="auto"/>
                <w:szCs w:val="21"/>
                <w:lang w:eastAsia="zh-CN"/>
              </w:rPr>
            </w:pPr>
            <w:r>
              <w:rPr>
                <w:rFonts w:hint="default"/>
                <w:color w:val="auto"/>
              </w:rPr>
              <w:t>根据《国民经济行业分类与代码》（</w:t>
            </w:r>
            <w:r>
              <w:rPr>
                <w:rFonts w:hint="eastAsia"/>
                <w:color w:val="auto"/>
                <w:lang w:eastAsia="zh-CN"/>
              </w:rPr>
              <w:t>GB/T4754</w:t>
            </w:r>
            <w:r>
              <w:rPr>
                <w:rFonts w:hint="default"/>
                <w:color w:val="auto"/>
              </w:rPr>
              <w:t>-2017），本项目属于</w:t>
            </w:r>
            <w:r>
              <w:rPr>
                <w:rFonts w:hint="default"/>
                <w:color w:val="auto"/>
                <w:lang w:eastAsia="zh-CN"/>
              </w:rPr>
              <w:t>“</w:t>
            </w:r>
            <w:r>
              <w:rPr>
                <w:rFonts w:hint="eastAsia"/>
                <w:color w:val="auto"/>
                <w:lang w:val="en-US" w:eastAsia="zh-CN"/>
              </w:rPr>
              <w:t>O</w:t>
            </w:r>
            <w:r>
              <w:rPr>
                <w:rFonts w:hint="default"/>
                <w:color w:val="auto"/>
              </w:rPr>
              <w:t>8222 宠物医院服务</w:t>
            </w:r>
            <w:r>
              <w:rPr>
                <w:rFonts w:hint="default"/>
                <w:color w:val="auto"/>
                <w:lang w:eastAsia="zh-CN"/>
              </w:rPr>
              <w:t>”</w:t>
            </w:r>
            <w:r>
              <w:rPr>
                <w:rFonts w:hint="default"/>
                <w:color w:val="auto"/>
              </w:rPr>
              <w:t>。根据《产业结构调整指导目录（2024 年本）》，本项目不在</w:t>
            </w:r>
            <w:r>
              <w:rPr>
                <w:rFonts w:hint="default"/>
                <w:color w:val="auto"/>
                <w:lang w:eastAsia="zh-CN"/>
              </w:rPr>
              <w:t>“</w:t>
            </w:r>
            <w:r>
              <w:rPr>
                <w:rFonts w:hint="default"/>
                <w:color w:val="auto"/>
              </w:rPr>
              <w:t>鼓励类</w:t>
            </w:r>
            <w:r>
              <w:rPr>
                <w:rFonts w:hint="default"/>
                <w:color w:val="auto"/>
                <w:lang w:eastAsia="zh-CN"/>
              </w:rPr>
              <w:t>”“</w:t>
            </w:r>
            <w:r>
              <w:rPr>
                <w:rFonts w:hint="default"/>
                <w:color w:val="auto"/>
              </w:rPr>
              <w:t>限制类</w:t>
            </w:r>
            <w:r>
              <w:rPr>
                <w:rFonts w:hint="default"/>
                <w:color w:val="auto"/>
                <w:lang w:eastAsia="zh-CN"/>
              </w:rPr>
              <w:t>”“</w:t>
            </w:r>
            <w:r>
              <w:rPr>
                <w:rFonts w:hint="default"/>
                <w:color w:val="auto"/>
              </w:rPr>
              <w:t>淘汰类</w:t>
            </w:r>
            <w:r>
              <w:rPr>
                <w:rFonts w:hint="default"/>
                <w:color w:val="auto"/>
                <w:lang w:eastAsia="zh-CN"/>
              </w:rPr>
              <w:t>”</w:t>
            </w:r>
            <w:r>
              <w:rPr>
                <w:rFonts w:hint="default"/>
                <w:color w:val="auto"/>
              </w:rPr>
              <w:t>之列</w:t>
            </w:r>
            <w:r>
              <w:rPr>
                <w:rFonts w:hint="default"/>
                <w:color w:val="auto"/>
                <w:lang w:eastAsia="zh-CN"/>
              </w:rPr>
              <w:t>。</w:t>
            </w:r>
            <w:r>
              <w:rPr>
                <w:rFonts w:hint="default"/>
                <w:color w:val="auto"/>
                <w:lang w:val="en-US" w:eastAsia="zh-CN"/>
              </w:rPr>
              <w:t>根据《国务院关于发布实施</w:t>
            </w:r>
            <w:r>
              <w:rPr>
                <w:rFonts w:hint="eastAsia"/>
                <w:color w:val="auto"/>
                <w:lang w:val="en-US" w:eastAsia="zh-CN"/>
              </w:rPr>
              <w:t>〈</w:t>
            </w:r>
            <w:r>
              <w:rPr>
                <w:rFonts w:hint="default"/>
                <w:color w:val="auto"/>
                <w:lang w:val="en-US" w:eastAsia="zh-CN"/>
              </w:rPr>
              <w:t>促进产业结构调整暂行规定</w:t>
            </w:r>
            <w:r>
              <w:rPr>
                <w:rFonts w:hint="eastAsia"/>
                <w:color w:val="auto"/>
                <w:lang w:val="en-US" w:eastAsia="zh-CN"/>
              </w:rPr>
              <w:t>〉</w:t>
            </w:r>
            <w:r>
              <w:rPr>
                <w:rFonts w:hint="default"/>
                <w:color w:val="auto"/>
                <w:lang w:val="en-US" w:eastAsia="zh-CN"/>
              </w:rPr>
              <w:t>的决定》（国发〔2005〕40号）第十三条的规定：不属于鼓励类、限制类和淘汰类，且符合国家有关法律法规和政策规定的，为允许类。</w:t>
            </w:r>
            <w:r>
              <w:rPr>
                <w:rFonts w:hint="default"/>
                <w:color w:val="auto"/>
              </w:rPr>
              <w:t>故本项目为允许类，符合</w:t>
            </w:r>
            <w:r>
              <w:rPr>
                <w:rFonts w:hint="default"/>
                <w:color w:val="auto"/>
                <w:lang w:val="en-US" w:eastAsia="zh-CN"/>
              </w:rPr>
              <w:t>国家产业政策</w:t>
            </w:r>
            <w:r>
              <w:rPr>
                <w:rFonts w:hint="default"/>
                <w:color w:val="auto"/>
                <w:lang w:eastAsia="zh-CN"/>
              </w:rPr>
              <w:t>。</w:t>
            </w:r>
          </w:p>
          <w:p w14:paraId="520E7B9A">
            <w:pPr>
              <w:pStyle w:val="3"/>
              <w:bidi w:val="0"/>
              <w:spacing w:line="240" w:lineRule="auto"/>
              <w:rPr>
                <w:rFonts w:hint="default" w:ascii="Times New Roman" w:hAnsi="Times New Roman" w:cs="Times New Roman"/>
                <w:color w:val="auto"/>
                <w:lang w:eastAsia="zh-CN"/>
              </w:rPr>
            </w:pPr>
            <w:r>
              <w:rPr>
                <w:rFonts w:hint="eastAsia" w:cs="Times New Roman"/>
                <w:color w:val="auto"/>
                <w:lang w:val="en-US" w:eastAsia="zh-CN"/>
              </w:rPr>
              <w:t>2</w:t>
            </w:r>
            <w:r>
              <w:rPr>
                <w:rFonts w:hint="default" w:ascii="Times New Roman" w:hAnsi="Times New Roman" w:cs="Times New Roman"/>
                <w:color w:val="auto"/>
                <w:lang w:eastAsia="zh-CN"/>
              </w:rPr>
              <w:t>、选址合理性分析</w:t>
            </w:r>
          </w:p>
          <w:p w14:paraId="4AA1DB40">
            <w:pPr>
              <w:keepNext w:val="0"/>
              <w:keepLines w:val="0"/>
              <w:pageBreakBefore w:val="0"/>
              <w:widowControl/>
              <w:kinsoku/>
              <w:wordWrap/>
              <w:overflowPunct/>
              <w:topLinePunct w:val="0"/>
              <w:autoSpaceDE w:val="0"/>
              <w:autoSpaceDN w:val="0"/>
              <w:bidi w:val="0"/>
              <w:adjustRightInd w:val="0"/>
              <w:snapToGrid w:val="0"/>
              <w:spacing w:line="460" w:lineRule="exact"/>
              <w:ind w:firstLine="482"/>
              <w:textAlignment w:val="baseline"/>
              <w:rPr>
                <w:rFonts w:hint="default" w:ascii="Times New Roman" w:hAnsi="Times New Roman" w:eastAsia="宋体" w:cs="Times New Roman"/>
                <w:b w:val="0"/>
                <w:bCs w:val="0"/>
                <w:color w:val="auto"/>
                <w:sz w:val="24"/>
                <w:szCs w:val="24"/>
                <w:highlight w:val="none"/>
              </w:rPr>
            </w:pPr>
            <w:bookmarkStart w:id="0" w:name="OLE_LINK5"/>
            <w:r>
              <w:rPr>
                <w:rFonts w:hint="default" w:ascii="Times New Roman" w:hAnsi="Times New Roman" w:eastAsia="宋体" w:cs="Times New Roman"/>
                <w:b w:val="0"/>
                <w:bCs w:val="0"/>
                <w:color w:val="auto"/>
                <w:sz w:val="24"/>
                <w:szCs w:val="24"/>
                <w:lang w:val="en-US" w:eastAsia="zh-CN"/>
              </w:rPr>
              <w:t>根据现场勘查，项目</w:t>
            </w:r>
            <w:r>
              <w:rPr>
                <w:rFonts w:hint="eastAsia" w:cs="Times New Roman"/>
                <w:b w:val="0"/>
                <w:bCs w:val="0"/>
                <w:color w:val="auto"/>
                <w:sz w:val="24"/>
                <w:szCs w:val="24"/>
                <w:lang w:val="en-US" w:eastAsia="zh-CN"/>
              </w:rPr>
              <w:t>位于城市建成区，</w:t>
            </w:r>
            <w:r>
              <w:rPr>
                <w:rFonts w:hint="default" w:ascii="Times New Roman" w:hAnsi="Times New Roman" w:eastAsia="宋体" w:cs="Times New Roman"/>
                <w:b w:val="0"/>
                <w:bCs w:val="0"/>
                <w:color w:val="auto"/>
                <w:sz w:val="24"/>
                <w:szCs w:val="24"/>
                <w:lang w:val="en-US" w:eastAsia="zh-CN"/>
              </w:rPr>
              <w:t>周边200m范围内主要是商</w:t>
            </w:r>
            <w:r>
              <w:rPr>
                <w:rFonts w:hint="default" w:ascii="Times New Roman" w:hAnsi="Times New Roman" w:eastAsia="宋体" w:cs="Times New Roman"/>
                <w:b w:val="0"/>
                <w:bCs w:val="0"/>
                <w:color w:val="auto"/>
                <w:sz w:val="24"/>
                <w:szCs w:val="24"/>
                <w:highlight w:val="none"/>
                <w:lang w:val="en-US" w:eastAsia="zh-CN"/>
              </w:rPr>
              <w:t>铺</w:t>
            </w:r>
            <w:r>
              <w:rPr>
                <w:rFonts w:hint="eastAsia" w:cs="Times New Roman"/>
                <w:b w:val="0"/>
                <w:bCs w:val="0"/>
                <w:color w:val="auto"/>
                <w:sz w:val="24"/>
                <w:szCs w:val="24"/>
                <w:highlight w:val="none"/>
                <w:lang w:val="en-US" w:eastAsia="zh-CN"/>
              </w:rPr>
              <w:t>及</w:t>
            </w:r>
            <w:r>
              <w:rPr>
                <w:rFonts w:hint="default" w:ascii="Times New Roman" w:hAnsi="Times New Roman" w:eastAsia="宋体" w:cs="Times New Roman"/>
                <w:b w:val="0"/>
                <w:bCs w:val="0"/>
                <w:color w:val="auto"/>
                <w:sz w:val="24"/>
                <w:szCs w:val="24"/>
                <w:highlight w:val="none"/>
                <w:lang w:val="en-US" w:eastAsia="zh-CN"/>
              </w:rPr>
              <w:t>居民住宅，无重大污染企业，周围环境质量较好。</w:t>
            </w:r>
            <w:r>
              <w:rPr>
                <w:rFonts w:hint="default" w:ascii="Times New Roman" w:hAnsi="Times New Roman" w:eastAsia="宋体" w:cs="Times New Roman"/>
                <w:b w:val="0"/>
                <w:bCs w:val="0"/>
                <w:color w:val="auto"/>
                <w:sz w:val="24"/>
                <w:szCs w:val="24"/>
                <w:highlight w:val="none"/>
              </w:rPr>
              <w:t>本项目服务及诊疗活动范围为宠物用品售卖、宠物基础疾病预防、疫苗接种、宠物常规检查、内科疾病的诊疗、外科疾病治疗和动物胸腔或腹腔手术。</w:t>
            </w:r>
            <w:bookmarkEnd w:id="0"/>
            <w:r>
              <w:rPr>
                <w:rFonts w:hint="default" w:ascii="Times New Roman" w:hAnsi="Times New Roman" w:eastAsia="宋体" w:cs="Times New Roman"/>
                <w:b w:val="0"/>
                <w:bCs w:val="0"/>
                <w:color w:val="auto"/>
                <w:sz w:val="24"/>
                <w:szCs w:val="24"/>
                <w:highlight w:val="none"/>
              </w:rPr>
              <w:t>本项目可为周边居民医治宠物</w:t>
            </w:r>
            <w:r>
              <w:rPr>
                <w:rFonts w:hint="eastAsia" w:cs="Times New Roman"/>
                <w:b w:val="0"/>
                <w:bCs w:val="0"/>
                <w:color w:val="auto"/>
                <w:sz w:val="24"/>
                <w:szCs w:val="24"/>
                <w:highlight w:val="none"/>
                <w:lang w:eastAsia="zh-CN"/>
              </w:rPr>
              <w:t>提供便利</w:t>
            </w:r>
            <w:r>
              <w:rPr>
                <w:rFonts w:hint="default" w:ascii="Times New Roman" w:hAnsi="Times New Roman" w:eastAsia="宋体" w:cs="Times New Roman"/>
                <w:b w:val="0"/>
                <w:bCs w:val="0"/>
                <w:color w:val="auto"/>
                <w:sz w:val="24"/>
                <w:szCs w:val="24"/>
                <w:highlight w:val="none"/>
              </w:rPr>
              <w:t>。根据《新疆维吾尔自治区动物诊疗机构管理（技术）规范》中相关规定，本项目区地处城市建成区，周边无动物饲养、交易场所；距离动物屠宰和动物产品经营、加工以及药品生产等场所</w:t>
            </w:r>
            <w:r>
              <w:rPr>
                <w:rFonts w:hint="default" w:ascii="Times New Roman" w:hAnsi="Times New Roman" w:eastAsia="TimesNewRomanPSMT" w:cs="Times New Roman"/>
                <w:b w:val="0"/>
                <w:bCs w:val="0"/>
                <w:color w:val="auto"/>
                <w:sz w:val="24"/>
                <w:szCs w:val="24"/>
                <w:highlight w:val="none"/>
              </w:rPr>
              <w:t>3</w:t>
            </w:r>
            <w:r>
              <w:rPr>
                <w:rFonts w:hint="default" w:ascii="Times New Roman" w:hAnsi="Times New Roman" w:eastAsia="宋体" w:cs="Times New Roman"/>
                <w:b w:val="0"/>
                <w:bCs w:val="0"/>
                <w:color w:val="auto"/>
                <w:sz w:val="24"/>
                <w:szCs w:val="24"/>
                <w:highlight w:val="none"/>
              </w:rPr>
              <w:t>公里以上，符合动物防疫要求。</w:t>
            </w:r>
            <w:r>
              <w:rPr>
                <w:rFonts w:hint="default" w:ascii="Times New Roman" w:hAnsi="Times New Roman" w:cs="Times New Roman"/>
                <w:b w:val="0"/>
                <w:color w:val="auto"/>
                <w:sz w:val="24"/>
                <w:szCs w:val="24"/>
                <w:highlight w:val="none"/>
                <w:lang w:val="en-US" w:eastAsia="zh-CN"/>
              </w:rPr>
              <w:t>项目所在</w:t>
            </w:r>
            <w:r>
              <w:rPr>
                <w:rFonts w:hint="default" w:ascii="Times New Roman" w:hAnsi="Times New Roman" w:eastAsia="宋体" w:cs="Times New Roman"/>
                <w:spacing w:val="6"/>
                <w:sz w:val="24"/>
                <w:szCs w:val="24"/>
                <w:lang w:val="en-US" w:eastAsia="zh-CN"/>
              </w:rPr>
              <w:t>门面</w:t>
            </w:r>
            <w:r>
              <w:rPr>
                <w:rFonts w:hint="default" w:ascii="Times New Roman" w:hAnsi="Times New Roman" w:cs="Times New Roman"/>
                <w:color w:val="auto"/>
                <w:spacing w:val="6"/>
                <w:sz w:val="24"/>
                <w:szCs w:val="24"/>
                <w:lang w:eastAsia="zh-CN"/>
              </w:rPr>
              <w:t>，</w:t>
            </w:r>
            <w:r>
              <w:rPr>
                <w:rFonts w:hint="default" w:ascii="Times New Roman" w:hAnsi="Times New Roman" w:cs="Times New Roman"/>
                <w:color w:val="auto"/>
                <w:spacing w:val="6"/>
                <w:sz w:val="24"/>
                <w:szCs w:val="24"/>
                <w:lang w:val="en-US" w:eastAsia="zh-CN"/>
              </w:rPr>
              <w:t>共</w:t>
            </w:r>
            <w:r>
              <w:rPr>
                <w:rFonts w:hint="eastAsia" w:cs="Times New Roman"/>
                <w:color w:val="auto"/>
                <w:spacing w:val="6"/>
                <w:sz w:val="24"/>
                <w:szCs w:val="24"/>
                <w:lang w:val="en-US" w:eastAsia="zh-CN"/>
              </w:rPr>
              <w:t>一</w:t>
            </w:r>
            <w:r>
              <w:rPr>
                <w:rFonts w:hint="default" w:ascii="Times New Roman" w:hAnsi="Times New Roman" w:cs="Times New Roman"/>
                <w:color w:val="auto"/>
                <w:spacing w:val="6"/>
                <w:sz w:val="24"/>
                <w:szCs w:val="24"/>
                <w:highlight w:val="none"/>
                <w:lang w:val="en-US" w:eastAsia="zh-CN"/>
              </w:rPr>
              <w:t>层</w:t>
            </w:r>
            <w:r>
              <w:rPr>
                <w:rFonts w:hint="default" w:ascii="Times New Roman" w:hAnsi="Times New Roman" w:cs="Times New Roman"/>
                <w:b w:val="0"/>
                <w:color w:val="auto"/>
                <w:sz w:val="24"/>
                <w:szCs w:val="24"/>
                <w:highlight w:val="none"/>
                <w:lang w:val="en-US" w:eastAsia="zh-CN"/>
              </w:rPr>
              <w:t>；</w:t>
            </w:r>
            <w:r>
              <w:rPr>
                <w:rFonts w:hint="eastAsia"/>
                <w:b w:val="0"/>
                <w:color w:val="auto"/>
                <w:sz w:val="24"/>
                <w:szCs w:val="24"/>
                <w:highlight w:val="none"/>
                <w:lang w:val="en-US" w:eastAsia="zh-CN"/>
              </w:rPr>
              <w:t>项目区所在位置属于</w:t>
            </w:r>
            <w:r>
              <w:rPr>
                <w:rFonts w:hint="eastAsia" w:cs="Times New Roman"/>
                <w:color w:val="auto"/>
                <w:sz w:val="24"/>
                <w:szCs w:val="24"/>
                <w:highlight w:val="none"/>
                <w:lang w:val="en-US" w:eastAsia="zh-CN"/>
              </w:rPr>
              <w:t>金梦花园</w:t>
            </w:r>
            <w:r>
              <w:rPr>
                <w:rFonts w:hint="eastAsia" w:eastAsia="宋体" w:cs="Times New Roman"/>
                <w:color w:val="auto"/>
                <w:sz w:val="24"/>
                <w:szCs w:val="24"/>
                <w:highlight w:val="none"/>
                <w:lang w:val="en-US" w:eastAsia="zh-CN"/>
              </w:rPr>
              <w:t>沿街商铺，</w:t>
            </w:r>
            <w:r>
              <w:rPr>
                <w:rFonts w:hint="eastAsia"/>
                <w:b w:val="0"/>
                <w:color w:val="auto"/>
                <w:sz w:val="24"/>
                <w:szCs w:val="24"/>
                <w:highlight w:val="none"/>
                <w:lang w:val="en-US" w:eastAsia="zh-CN"/>
              </w:rPr>
              <w:t>西侧55m为城市交通主干道南库大道中段；南北两侧均为</w:t>
            </w:r>
            <w:r>
              <w:rPr>
                <w:rFonts w:hint="eastAsia" w:cs="Times New Roman"/>
                <w:color w:val="auto"/>
                <w:sz w:val="24"/>
                <w:szCs w:val="24"/>
                <w:highlight w:val="none"/>
                <w:lang w:val="en-US" w:eastAsia="zh-CN"/>
              </w:rPr>
              <w:t>金梦花园</w:t>
            </w:r>
            <w:r>
              <w:rPr>
                <w:rFonts w:hint="eastAsia" w:eastAsia="宋体" w:cs="Times New Roman"/>
                <w:color w:val="auto"/>
                <w:sz w:val="24"/>
                <w:szCs w:val="24"/>
                <w:highlight w:val="none"/>
                <w:lang w:val="en-US" w:eastAsia="zh-CN"/>
              </w:rPr>
              <w:t>沿街商铺</w:t>
            </w:r>
            <w:r>
              <w:rPr>
                <w:rFonts w:hint="eastAsia" w:cs="Times New Roman"/>
                <w:color w:val="auto"/>
                <w:sz w:val="24"/>
                <w:szCs w:val="24"/>
                <w:highlight w:val="none"/>
                <w:lang w:val="en-US" w:eastAsia="zh-CN"/>
              </w:rPr>
              <w:t>；东侧为金梦花园住宅区</w:t>
            </w:r>
            <w:r>
              <w:rPr>
                <w:rFonts w:hint="default" w:ascii="Times New Roman" w:hAnsi="Times New Roman" w:cs="Times New Roman"/>
                <w:b w:val="0"/>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项目店铺面积共</w:t>
            </w:r>
            <w:r>
              <w:rPr>
                <w:rFonts w:hint="eastAsia" w:cs="Times New Roman"/>
                <w:color w:val="auto"/>
                <w:kern w:val="0"/>
                <w:sz w:val="24"/>
                <w:szCs w:val="24"/>
                <w:highlight w:val="none"/>
                <w:lang w:val="en-US" w:eastAsia="zh-CN" w:bidi="ar"/>
              </w:rPr>
              <w:t>229</w:t>
            </w:r>
            <w:r>
              <w:rPr>
                <w:rFonts w:hint="default" w:ascii="Times New Roman" w:hAnsi="Times New Roman" w:eastAsia="宋体"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vertAlign w:val="superscript"/>
                <w:lang w:val="en-US" w:eastAsia="zh-CN" w:bidi="ar"/>
              </w:rPr>
              <w:t>2</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b w:val="0"/>
                <w:bCs w:val="0"/>
                <w:color w:val="auto"/>
                <w:sz w:val="24"/>
                <w:szCs w:val="24"/>
                <w:highlight w:val="none"/>
              </w:rPr>
              <w:t>有相对独立的各个科室，符合该管理办法。</w:t>
            </w:r>
          </w:p>
          <w:p w14:paraId="29D0B955">
            <w:pPr>
              <w:keepNext w:val="0"/>
              <w:keepLines w:val="0"/>
              <w:pageBreakBefore w:val="0"/>
              <w:widowControl/>
              <w:kinsoku/>
              <w:wordWrap/>
              <w:overflowPunct/>
              <w:topLinePunct w:val="0"/>
              <w:autoSpaceDE w:val="0"/>
              <w:autoSpaceDN w:val="0"/>
              <w:bidi w:val="0"/>
              <w:adjustRightInd w:val="0"/>
              <w:snapToGrid w:val="0"/>
              <w:spacing w:line="460" w:lineRule="exact"/>
              <w:ind w:firstLine="482"/>
              <w:textAlignment w:val="baseline"/>
              <w:rPr>
                <w:rFonts w:hint="default" w:ascii="Times New Roman" w:hAnsi="Times New Roman" w:eastAsia="宋体" w:cs="Times New Roman"/>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本项目</w:t>
            </w:r>
            <w:r>
              <w:rPr>
                <w:rFonts w:hint="eastAsia" w:ascii="宋体" w:hAnsi="宋体" w:cs="宋体"/>
                <w:color w:val="auto"/>
                <w:spacing w:val="6"/>
                <w:sz w:val="24"/>
                <w:szCs w:val="24"/>
                <w:lang w:val="en-US" w:eastAsia="zh-CN"/>
              </w:rPr>
              <w:t>租赁沿街商铺，设有独立出入口通道，出入口未设在居民住宅楼内或者院内，并且未与同一建筑物的其他商铺用户共用通道。出入口设置于商铺正门处，正门面向</w:t>
            </w:r>
            <w:r>
              <w:rPr>
                <w:rFonts w:hint="eastAsia"/>
                <w:b w:val="0"/>
                <w:color w:val="auto"/>
                <w:sz w:val="24"/>
                <w:szCs w:val="24"/>
                <w:highlight w:val="none"/>
                <w:lang w:val="en-US" w:eastAsia="zh-CN"/>
              </w:rPr>
              <w:t>西侧的南库大道中段，本项目进出口独立设置，严格按照《危险废物转移管理办法》进行医疗废物转运，不会对附近商铺产生环境影响。</w:t>
            </w:r>
          </w:p>
          <w:p w14:paraId="247C8FF6">
            <w:pPr>
              <w:autoSpaceDE w:val="0"/>
              <w:autoSpaceDN w:val="0"/>
              <w:adjustRightInd w:val="0"/>
              <w:snapToGrid w:val="0"/>
              <w:spacing w:line="460" w:lineRule="exact"/>
              <w:ind w:firstLine="480"/>
              <w:rPr>
                <w:rFonts w:hint="default" w:ascii="Times New Roman" w:hAnsi="Times New Roman" w:eastAsia="宋体" w:cs="Times New Roman"/>
                <w:snapToGrid w:val="0"/>
                <w:color w:val="auto"/>
                <w:szCs w:val="21"/>
                <w:lang w:eastAsia="zh-CN"/>
              </w:rPr>
            </w:pPr>
            <w:r>
              <w:rPr>
                <w:rFonts w:hint="default" w:ascii="Times New Roman" w:hAnsi="Times New Roman" w:eastAsia="宋体" w:cs="Times New Roman"/>
                <w:b w:val="0"/>
                <w:bCs w:val="0"/>
                <w:color w:val="auto"/>
                <w:sz w:val="24"/>
                <w:szCs w:val="24"/>
                <w:highlight w:val="none"/>
                <w:lang w:val="en-US" w:eastAsia="zh-CN"/>
              </w:rPr>
              <w:t>综上，项目周边交通便利，选址不涉及环境敏感区，在落实了相关环境保护措施后，项目对周边环境影响可接受。因此，从区域环境保护分析，项目选址合理。</w:t>
            </w:r>
          </w:p>
          <w:p w14:paraId="1839C1C3">
            <w:pPr>
              <w:pStyle w:val="3"/>
              <w:bidi w:val="0"/>
              <w:rPr>
                <w:rFonts w:hint="default" w:ascii="Times New Roman" w:hAnsi="Times New Roman" w:cs="Times New Roman"/>
                <w:color w:val="auto"/>
                <w:lang w:eastAsia="zh-CN"/>
              </w:rPr>
            </w:pPr>
            <w:r>
              <w:rPr>
                <w:rFonts w:hint="eastAsia" w:ascii="Times New Roman" w:hAnsi="Times New Roman" w:cs="Times New Roman"/>
                <w:color w:val="auto"/>
                <w:lang w:val="en-US" w:eastAsia="zh-CN"/>
              </w:rPr>
              <w:t>3</w:t>
            </w:r>
            <w:r>
              <w:rPr>
                <w:rFonts w:hint="default" w:ascii="Times New Roman" w:hAnsi="Times New Roman" w:cs="Times New Roman"/>
                <w:color w:val="auto"/>
                <w:lang w:eastAsia="zh-CN"/>
              </w:rPr>
              <w:t>、“</w:t>
            </w:r>
            <w:r>
              <w:rPr>
                <w:rFonts w:hint="default" w:ascii="Times New Roman" w:hAnsi="Times New Roman" w:cs="Times New Roman"/>
                <w:color w:val="auto"/>
                <w:vertAlign w:val="baseline"/>
                <w:lang w:val="en-US" w:eastAsia="zh-CN"/>
              </w:rPr>
              <w:t>生态环境分区管控要求</w:t>
            </w:r>
            <w:r>
              <w:rPr>
                <w:rFonts w:hint="default" w:ascii="Times New Roman" w:hAnsi="Times New Roman" w:cs="Times New Roman"/>
                <w:color w:val="auto"/>
                <w:lang w:eastAsia="zh-CN"/>
              </w:rPr>
              <w:t>”符合性分析</w:t>
            </w:r>
          </w:p>
          <w:p w14:paraId="73F3DBEE">
            <w:pPr>
              <w:pStyle w:val="4"/>
              <w:bidi w:val="0"/>
              <w:rPr>
                <w:rFonts w:hint="default" w:ascii="Times New Roman" w:hAnsi="Times New Roman" w:cs="Times New Roman"/>
                <w:color w:val="auto"/>
                <w:lang w:eastAsia="zh-CN"/>
              </w:rPr>
            </w:pPr>
            <w:r>
              <w:rPr>
                <w:rFonts w:hint="eastAsia" w:ascii="Times New Roman" w:hAnsi="Times New Roman" w:cs="Times New Roman"/>
                <w:color w:val="auto"/>
                <w:lang w:val="en-US" w:eastAsia="zh-CN"/>
              </w:rPr>
              <w:t>3</w:t>
            </w:r>
            <w:r>
              <w:rPr>
                <w:rFonts w:hint="default" w:ascii="Times New Roman" w:hAnsi="Times New Roman" w:cs="Times New Roman"/>
                <w:color w:val="auto"/>
                <w:lang w:eastAsia="zh-CN"/>
              </w:rPr>
              <w:t>.1、与《新疆维吾尔自治区生态环境分区管控动态更新成果》（新环环评发〔2024</w:t>
            </w:r>
            <w:r>
              <w:rPr>
                <w:rFonts w:hint="default" w:ascii="Times New Roman" w:hAnsi="Times New Roman" w:eastAsia="宋体" w:cs="Times New Roman"/>
                <w:color w:val="auto"/>
                <w:lang w:eastAsia="zh-CN"/>
              </w:rPr>
              <w:t>〕</w:t>
            </w:r>
            <w:r>
              <w:rPr>
                <w:rFonts w:hint="default" w:ascii="Times New Roman" w:hAnsi="Times New Roman" w:cs="Times New Roman"/>
                <w:color w:val="auto"/>
                <w:lang w:eastAsia="zh-CN"/>
              </w:rPr>
              <w:t>157号）符合性分析</w:t>
            </w:r>
          </w:p>
          <w:p w14:paraId="7C9AADA2">
            <w:pPr>
              <w:pStyle w:val="22"/>
              <w:bidi w:val="0"/>
              <w:ind w:left="0" w:leftChars="0" w:firstLine="0" w:firstLineChars="0"/>
              <w:jc w:val="center"/>
              <w:rPr>
                <w:rFonts w:hint="default" w:ascii="Times New Roman" w:hAnsi="Times New Roman" w:cs="Times New Roman"/>
                <w:color w:val="auto"/>
                <w:lang w:eastAsia="zh-CN"/>
              </w:rPr>
            </w:pPr>
            <w:r>
              <w:rPr>
                <w:rFonts w:hint="default" w:ascii="Times New Roman" w:hAnsi="Times New Roman" w:cs="Times New Roman"/>
                <w:color w:val="auto"/>
                <w:lang w:eastAsia="zh-CN"/>
              </w:rPr>
              <w:t>表1-1   项目与《新疆维吾尔自治区生态环境分区管控动态更新成果》相符性分析</w:t>
            </w:r>
          </w:p>
          <w:tbl>
            <w:tblPr>
              <w:tblStyle w:val="15"/>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3201"/>
              <w:gridCol w:w="2775"/>
            </w:tblGrid>
            <w:tr w14:paraId="75EB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79" w:type="pct"/>
                  <w:noWrap w:val="0"/>
                  <w:vAlign w:val="center"/>
                </w:tcPr>
                <w:p w14:paraId="4E645480">
                  <w:pPr>
                    <w:pStyle w:val="41"/>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内容</w:t>
                  </w:r>
                </w:p>
              </w:tc>
              <w:tc>
                <w:tcPr>
                  <w:tcW w:w="2367" w:type="pct"/>
                  <w:noWrap w:val="0"/>
                  <w:vAlign w:val="center"/>
                </w:tcPr>
                <w:p w14:paraId="6253C56F">
                  <w:pPr>
                    <w:pStyle w:val="41"/>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要求</w:t>
                  </w:r>
                </w:p>
              </w:tc>
              <w:tc>
                <w:tcPr>
                  <w:tcW w:w="2052" w:type="pct"/>
                  <w:noWrap w:val="0"/>
                  <w:vAlign w:val="center"/>
                </w:tcPr>
                <w:p w14:paraId="4998A075">
                  <w:pPr>
                    <w:pStyle w:val="41"/>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符合性</w:t>
                  </w:r>
                </w:p>
              </w:tc>
            </w:tr>
            <w:tr w14:paraId="587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noWrap w:val="0"/>
                  <w:vAlign w:val="center"/>
                </w:tcPr>
                <w:p w14:paraId="1094CB30">
                  <w:pPr>
                    <w:pStyle w:val="41"/>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空间布局约束</w:t>
                  </w:r>
                </w:p>
              </w:tc>
              <w:tc>
                <w:tcPr>
                  <w:tcW w:w="2367" w:type="pct"/>
                  <w:noWrap w:val="0"/>
                  <w:vAlign w:val="center"/>
                </w:tcPr>
                <w:p w14:paraId="3F115430">
                  <w:pPr>
                    <w:pStyle w:val="41"/>
                    <w:widowControl w:val="0"/>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禁止新建、扩建《产业结构调整指导目录</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2024年本</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》中淘汰类项目。禁止引入《市场准入负面清单</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2022年版</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》禁止准入类事项。</w:t>
                  </w:r>
                </w:p>
              </w:tc>
              <w:tc>
                <w:tcPr>
                  <w:tcW w:w="2052" w:type="pct"/>
                  <w:noWrap w:val="0"/>
                  <w:vAlign w:val="center"/>
                </w:tcPr>
                <w:p w14:paraId="7A3D7A17">
                  <w:pPr>
                    <w:pStyle w:val="41"/>
                    <w:widowControl w:val="0"/>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本项目根据国家发展改革委颁布的《产业结构调整指导目录（2024年本）》的有关规定</w:t>
                  </w:r>
                  <w:r>
                    <w:rPr>
                      <w:rFonts w:hint="eastAsia" w:cs="Times New Roman"/>
                      <w:color w:val="auto"/>
                      <w:lang w:val="en-US" w:eastAsia="zh-CN"/>
                    </w:rPr>
                    <w:t>，</w:t>
                  </w:r>
                  <w:r>
                    <w:rPr>
                      <w:rFonts w:hint="default" w:ascii="Times New Roman" w:hAnsi="Times New Roman" w:eastAsia="宋体" w:cs="Times New Roman"/>
                      <w:color w:val="auto"/>
                      <w:lang w:val="en-US" w:eastAsia="zh-CN"/>
                    </w:rPr>
                    <w:t>不在“鼓励类</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限制类</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淘汰类”之列，故本项目为允许类，符合国家产业政策。</w:t>
                  </w:r>
                </w:p>
              </w:tc>
            </w:tr>
            <w:tr w14:paraId="686E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restart"/>
                  <w:noWrap w:val="0"/>
                  <w:vAlign w:val="center"/>
                </w:tcPr>
                <w:p w14:paraId="778C1985">
                  <w:pPr>
                    <w:pStyle w:val="41"/>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限制开发建设的活动</w:t>
                  </w:r>
                </w:p>
              </w:tc>
              <w:tc>
                <w:tcPr>
                  <w:tcW w:w="2367" w:type="pct"/>
                  <w:noWrap w:val="0"/>
                  <w:vAlign w:val="center"/>
                </w:tcPr>
                <w:p w14:paraId="31415CBB">
                  <w:pPr>
                    <w:pStyle w:val="41"/>
                    <w:widowControl w:val="0"/>
                    <w:bidi w:val="0"/>
                    <w:jc w:val="center"/>
                    <w:rPr>
                      <w:rFonts w:hint="default" w:ascii="Times New Roman" w:hAnsi="Times New Roman" w:eastAsia="宋体" w:cs="Times New Roman"/>
                      <w:color w:val="auto"/>
                      <w:lang w:val="en-US" w:eastAsia="zh-CN"/>
                    </w:rPr>
                  </w:pPr>
                  <w:r>
                    <w:rPr>
                      <w:rFonts w:hint="default" w:ascii="Times New Roman" w:hAnsi="Times New Roman" w:cs="Times New Roman"/>
                      <w:bCs/>
                      <w:color w:val="auto"/>
                      <w:szCs w:val="21"/>
                    </w:rPr>
                    <w:t>严格控制缺水地区、水污染严重区域和敏感区域高耗水、高污染行业发展。</w:t>
                  </w:r>
                </w:p>
              </w:tc>
              <w:tc>
                <w:tcPr>
                  <w:tcW w:w="2052" w:type="pct"/>
                  <w:noWrap w:val="0"/>
                  <w:vAlign w:val="center"/>
                </w:tcPr>
                <w:p w14:paraId="306BC8F0">
                  <w:pPr>
                    <w:pStyle w:val="41"/>
                    <w:widowControl w:val="0"/>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本项目不属于高耗水、高污染项目，</w:t>
                  </w:r>
                  <w:r>
                    <w:rPr>
                      <w:rFonts w:hint="default" w:ascii="Times New Roman" w:hAnsi="Times New Roman" w:eastAsia="宋体" w:cs="Times New Roman"/>
                      <w:snapToGrid w:val="0"/>
                      <w:color w:val="auto"/>
                      <w:sz w:val="21"/>
                      <w:szCs w:val="21"/>
                      <w:lang w:eastAsia="zh-CN"/>
                    </w:rPr>
                    <w:t>本项目用水量较少，且来源于市政给水，对区域水资源总量影响不大，项目建成后通过内部管理、污染治理等多方面采取合理可行的防治措施，以“节能、降耗、减污”为目的，有效控制污染。</w:t>
                  </w:r>
                </w:p>
              </w:tc>
            </w:tr>
            <w:tr w14:paraId="44B7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continue"/>
                  <w:noWrap w:val="0"/>
                  <w:vAlign w:val="center"/>
                </w:tcPr>
                <w:p w14:paraId="4E72BBE0">
                  <w:pPr>
                    <w:pStyle w:val="41"/>
                    <w:widowControl w:val="0"/>
                    <w:bidi w:val="0"/>
                    <w:jc w:val="center"/>
                    <w:rPr>
                      <w:rFonts w:hint="default" w:ascii="Times New Roman" w:hAnsi="Times New Roman" w:cs="Times New Roman"/>
                      <w:color w:val="auto"/>
                      <w:lang w:val="en-US" w:eastAsia="zh-CN"/>
                    </w:rPr>
                  </w:pPr>
                </w:p>
              </w:tc>
              <w:tc>
                <w:tcPr>
                  <w:tcW w:w="2367" w:type="pct"/>
                  <w:noWrap w:val="0"/>
                  <w:vAlign w:val="center"/>
                </w:tcPr>
                <w:p w14:paraId="110D9E5E">
                  <w:pPr>
                    <w:pStyle w:val="41"/>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2052" w:type="pct"/>
                  <w:noWrap w:val="0"/>
                  <w:vAlign w:val="center"/>
                </w:tcPr>
                <w:p w14:paraId="6B7BBC35">
                  <w:pPr>
                    <w:pStyle w:val="41"/>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本项目租赁</w:t>
                  </w:r>
                  <w:r>
                    <w:rPr>
                      <w:rFonts w:hint="eastAsia" w:cs="Times New Roman"/>
                      <w:color w:val="auto"/>
                      <w:sz w:val="21"/>
                      <w:szCs w:val="21"/>
                      <w:lang w:val="en-US" w:eastAsia="zh-CN"/>
                    </w:rPr>
                    <w:t>已建</w:t>
                  </w:r>
                  <w:r>
                    <w:rPr>
                      <w:rFonts w:hint="default" w:ascii="Times New Roman" w:hAnsi="Times New Roman" w:cs="Times New Roman"/>
                      <w:color w:val="auto"/>
                      <w:sz w:val="21"/>
                      <w:szCs w:val="21"/>
                      <w:lang w:val="en-US" w:eastAsia="zh-CN"/>
                    </w:rPr>
                    <w:t>商铺，不占用基本农田，不新增占地</w:t>
                  </w:r>
                  <w:r>
                    <w:rPr>
                      <w:rFonts w:hint="default" w:ascii="Times New Roman" w:hAnsi="Times New Roman" w:eastAsia="宋体" w:cs="Times New Roman"/>
                      <w:color w:val="auto"/>
                      <w:sz w:val="21"/>
                      <w:szCs w:val="21"/>
                      <w:lang w:val="en-US" w:eastAsia="zh-CN"/>
                    </w:rPr>
                    <w:t>。</w:t>
                  </w:r>
                </w:p>
              </w:tc>
            </w:tr>
            <w:tr w14:paraId="365A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continue"/>
                  <w:noWrap w:val="0"/>
                  <w:vAlign w:val="center"/>
                </w:tcPr>
                <w:p w14:paraId="7DAF3C09">
                  <w:pPr>
                    <w:pStyle w:val="41"/>
                    <w:widowControl w:val="0"/>
                    <w:bidi w:val="0"/>
                    <w:jc w:val="center"/>
                    <w:rPr>
                      <w:rFonts w:hint="default" w:ascii="Times New Roman" w:hAnsi="Times New Roman" w:cs="Times New Roman"/>
                      <w:color w:val="auto"/>
                      <w:lang w:val="en-US" w:eastAsia="zh-CN"/>
                    </w:rPr>
                  </w:pPr>
                </w:p>
              </w:tc>
              <w:tc>
                <w:tcPr>
                  <w:tcW w:w="2367" w:type="pct"/>
                  <w:noWrap w:val="0"/>
                  <w:vAlign w:val="center"/>
                </w:tcPr>
                <w:p w14:paraId="5AFC7AB1">
                  <w:pPr>
                    <w:pStyle w:val="41"/>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bCs/>
                      <w:color w:val="auto"/>
                      <w:sz w:val="21"/>
                      <w:szCs w:val="21"/>
                    </w:rPr>
                    <w:t>严格管控自然保护地范围内非生态活动，稳妥推进核心区内居民、耕地有序退出，矿权依法依规退出。</w:t>
                  </w:r>
                </w:p>
              </w:tc>
              <w:tc>
                <w:tcPr>
                  <w:tcW w:w="2052" w:type="pct"/>
                  <w:noWrap w:val="0"/>
                  <w:vAlign w:val="center"/>
                </w:tcPr>
                <w:p w14:paraId="5FB71F28">
                  <w:pPr>
                    <w:pStyle w:val="41"/>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本项目</w:t>
                  </w:r>
                  <w:r>
                    <w:rPr>
                      <w:rFonts w:hint="eastAsia" w:cs="Times New Roman"/>
                      <w:color w:val="auto"/>
                      <w:sz w:val="21"/>
                      <w:szCs w:val="21"/>
                      <w:lang w:val="en-US" w:eastAsia="zh-CN"/>
                    </w:rPr>
                    <w:t>位于城市建成区，</w:t>
                  </w:r>
                  <w:r>
                    <w:rPr>
                      <w:rFonts w:hint="default" w:ascii="Times New Roman" w:hAnsi="Times New Roman" w:cs="Times New Roman"/>
                      <w:color w:val="auto"/>
                      <w:sz w:val="21"/>
                      <w:szCs w:val="21"/>
                      <w:lang w:val="en-US" w:eastAsia="zh-CN"/>
                    </w:rPr>
                    <w:t>不属于</w:t>
                  </w:r>
                  <w:r>
                    <w:rPr>
                      <w:rFonts w:hint="default" w:ascii="Times New Roman" w:hAnsi="Times New Roman" w:cs="Times New Roman"/>
                      <w:bCs/>
                      <w:color w:val="auto"/>
                      <w:sz w:val="21"/>
                      <w:szCs w:val="21"/>
                    </w:rPr>
                    <w:t>自然保护地范围内</w:t>
                  </w:r>
                </w:p>
              </w:tc>
            </w:tr>
            <w:tr w14:paraId="5D6C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noWrap w:val="0"/>
                  <w:vAlign w:val="center"/>
                </w:tcPr>
                <w:p w14:paraId="2AC3EB9E">
                  <w:pPr>
                    <w:pStyle w:val="41"/>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污染物排放管控</w:t>
                  </w:r>
                </w:p>
              </w:tc>
              <w:tc>
                <w:tcPr>
                  <w:tcW w:w="2367" w:type="pct"/>
                  <w:noWrap w:val="0"/>
                  <w:vAlign w:val="center"/>
                </w:tcPr>
                <w:p w14:paraId="2C1739A8">
                  <w:pPr>
                    <w:pStyle w:val="41"/>
                    <w:widowControl w:val="0"/>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新、改、扩建重点行业建设项目应符合“三线一单”、产业政策、区域环评、规划环评和行业环境准入管控要求。重点区域的新、改、扩建重点行业建设项目应遵循重点重金属污染物排放“减量替代”原则。</w:t>
                  </w:r>
                </w:p>
              </w:tc>
              <w:tc>
                <w:tcPr>
                  <w:tcW w:w="2052" w:type="pct"/>
                  <w:noWrap w:val="0"/>
                  <w:vAlign w:val="center"/>
                </w:tcPr>
                <w:p w14:paraId="7751DB0E">
                  <w:pPr>
                    <w:pStyle w:val="41"/>
                    <w:widowControl w:val="0"/>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本项目建设符合“三线一单”、产业政策和行业环境准入管控要求。</w:t>
                  </w:r>
                </w:p>
              </w:tc>
            </w:tr>
            <w:tr w14:paraId="0E0A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7" w:hRule="atLeast"/>
                <w:jc w:val="center"/>
              </w:trPr>
              <w:tc>
                <w:tcPr>
                  <w:tcW w:w="579" w:type="pct"/>
                  <w:noWrap w:val="0"/>
                  <w:vAlign w:val="center"/>
                </w:tcPr>
                <w:p w14:paraId="5A23E9FA">
                  <w:pPr>
                    <w:pStyle w:val="41"/>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环境风险防控</w:t>
                  </w:r>
                </w:p>
              </w:tc>
              <w:tc>
                <w:tcPr>
                  <w:tcW w:w="2367" w:type="pct"/>
                  <w:noWrap w:val="0"/>
                  <w:vAlign w:val="center"/>
                </w:tcPr>
                <w:p w14:paraId="7656C401">
                  <w:pPr>
                    <w:pStyle w:val="41"/>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2052" w:type="pct"/>
                  <w:noWrap w:val="0"/>
                  <w:vAlign w:val="center"/>
                </w:tcPr>
                <w:p w14:paraId="6CD4B2DA">
                  <w:pPr>
                    <w:pStyle w:val="41"/>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本项目环评建议进行突发环境事件应急预案的编制</w:t>
                  </w:r>
                  <w:r>
                    <w:rPr>
                      <w:rFonts w:hint="eastAsia" w:cs="Times New Roman"/>
                      <w:color w:val="auto"/>
                      <w:sz w:val="21"/>
                      <w:szCs w:val="21"/>
                      <w:lang w:val="en-US" w:eastAsia="zh-CN"/>
                    </w:rPr>
                    <w:t>并备案。</w:t>
                  </w:r>
                </w:p>
              </w:tc>
            </w:tr>
            <w:tr w14:paraId="2AD3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1" w:hRule="atLeast"/>
                <w:jc w:val="center"/>
              </w:trPr>
              <w:tc>
                <w:tcPr>
                  <w:tcW w:w="579" w:type="pct"/>
                  <w:noWrap w:val="0"/>
                  <w:vAlign w:val="center"/>
                </w:tcPr>
                <w:p w14:paraId="5B1AFB3D">
                  <w:pPr>
                    <w:pStyle w:val="41"/>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资源利用要求</w:t>
                  </w:r>
                </w:p>
              </w:tc>
              <w:tc>
                <w:tcPr>
                  <w:tcW w:w="2367" w:type="pct"/>
                  <w:noWrap w:val="0"/>
                  <w:vAlign w:val="center"/>
                </w:tcPr>
                <w:p w14:paraId="41AD4705">
                  <w:pPr>
                    <w:pStyle w:val="41"/>
                    <w:widowControl w:val="0"/>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模式。以尾矿和共伴生矿、煤矸石、炉渣、粉煤灰、脱硫石膏、冶炼渣、建筑垃圾等为重点，持续推进固体废物综合利用和环境整治不断提高大宗固体废物资源化利用水平。推行生活垃圾分类，加快建设县</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市</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生活垃圾处理设施，到2025年，全疆城市生活垃圾无害化处理率达到99%以上。</w:t>
                  </w:r>
                </w:p>
              </w:tc>
              <w:tc>
                <w:tcPr>
                  <w:tcW w:w="2052" w:type="pct"/>
                  <w:noWrap w:val="0"/>
                  <w:vAlign w:val="center"/>
                </w:tcPr>
                <w:p w14:paraId="2B404B88">
                  <w:pPr>
                    <w:pStyle w:val="41"/>
                    <w:widowControl w:val="0"/>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w:t>
                  </w:r>
                  <w:r>
                    <w:rPr>
                      <w:rFonts w:hint="default" w:ascii="Times New Roman" w:hAnsi="Times New Roman" w:eastAsia="宋体" w:cs="Times New Roman"/>
                      <w:color w:val="auto"/>
                      <w:sz w:val="21"/>
                      <w:szCs w:val="21"/>
                      <w:highlight w:val="none"/>
                      <w:lang w:val="en-US" w:eastAsia="zh-CN"/>
                    </w:rPr>
                    <w:t>医疗废物、患病宠物排泄物及猫砂、废紫外线灯管集中收集后交由具有资质的单位进行处置；医疗废水处理设施</w:t>
                  </w:r>
                  <w:r>
                    <w:rPr>
                      <w:rFonts w:hint="eastAsia" w:cs="Times New Roman"/>
                      <w:color w:val="auto"/>
                      <w:sz w:val="21"/>
                      <w:szCs w:val="21"/>
                      <w:highlight w:val="none"/>
                      <w:lang w:val="en-US" w:eastAsia="zh-CN"/>
                    </w:rPr>
                    <w:t>废渣</w:t>
                  </w:r>
                  <w:r>
                    <w:rPr>
                      <w:rFonts w:hint="default" w:ascii="Times New Roman" w:hAnsi="Times New Roman" w:eastAsia="宋体" w:cs="Times New Roman"/>
                      <w:color w:val="auto"/>
                      <w:sz w:val="21"/>
                      <w:szCs w:val="21"/>
                      <w:highlight w:val="none"/>
                      <w:lang w:val="en-US" w:eastAsia="zh-CN"/>
                    </w:rPr>
                    <w:t>，委托有资质单位定期清捞与处置，不在项目区贮存；输液瓶（袋）集中收集暂存于储物间，定期交由再生资源回收单位；</w:t>
                  </w:r>
                  <w:r>
                    <w:rPr>
                      <w:rFonts w:hint="eastAsia" w:cs="Times New Roman"/>
                      <w:color w:val="auto"/>
                      <w:sz w:val="21"/>
                      <w:szCs w:val="21"/>
                      <w:highlight w:val="none"/>
                      <w:lang w:val="en-US" w:eastAsia="zh-CN"/>
                    </w:rPr>
                    <w:t>宠物毛发、健康</w:t>
                  </w:r>
                  <w:r>
                    <w:rPr>
                      <w:rFonts w:hint="default" w:ascii="Times New Roman" w:hAnsi="Times New Roman" w:eastAsia="宋体" w:cs="Times New Roman"/>
                      <w:color w:val="auto"/>
                      <w:sz w:val="21"/>
                      <w:szCs w:val="21"/>
                      <w:lang w:val="en-US" w:eastAsia="zh-CN"/>
                    </w:rPr>
                    <w:t>宠物粪便及猫砂与</w:t>
                  </w:r>
                  <w:r>
                    <w:rPr>
                      <w:rFonts w:hint="default" w:ascii="Times New Roman" w:hAnsi="Times New Roman" w:eastAsia="宋体" w:cs="Times New Roman"/>
                      <w:color w:val="auto"/>
                      <w:sz w:val="21"/>
                      <w:szCs w:val="21"/>
                      <w:highlight w:val="none"/>
                      <w:lang w:val="en-US" w:eastAsia="zh-CN"/>
                    </w:rPr>
                    <w:t>生活垃圾一起分类集中收集后统一由环卫部门定时清运至垃圾填埋场集中处置</w:t>
                  </w:r>
                  <w:r>
                    <w:rPr>
                      <w:rFonts w:hint="eastAsia" w:cs="Times New Roman"/>
                      <w:color w:val="auto"/>
                      <w:sz w:val="21"/>
                      <w:szCs w:val="21"/>
                      <w:highlight w:val="none"/>
                      <w:lang w:val="en-US" w:eastAsia="zh-CN"/>
                    </w:rPr>
                    <w:t>，本项目运营过程中不负责处理动物尸体，由客户自行带走处置</w:t>
                  </w:r>
                  <w:r>
                    <w:rPr>
                      <w:rFonts w:hint="default" w:ascii="Times New Roman" w:hAnsi="Times New Roman" w:eastAsia="宋体" w:cs="Times New Roman"/>
                      <w:color w:val="auto"/>
                      <w:sz w:val="21"/>
                      <w:szCs w:val="21"/>
                      <w:highlight w:val="none"/>
                      <w:lang w:val="en-US" w:eastAsia="zh-CN"/>
                    </w:rPr>
                    <w:t>。</w:t>
                  </w:r>
                </w:p>
              </w:tc>
            </w:tr>
          </w:tbl>
          <w:p w14:paraId="299B1CBC">
            <w:pPr>
              <w:pStyle w:val="4"/>
              <w:bidi w:val="0"/>
              <w:rPr>
                <w:rFonts w:hint="default" w:ascii="Times New Roman" w:hAnsi="Times New Roman" w:cs="Times New Roman"/>
                <w:color w:val="auto"/>
                <w:lang w:eastAsia="zh-CN"/>
              </w:rPr>
            </w:pPr>
            <w:r>
              <w:rPr>
                <w:rFonts w:hint="eastAsia" w:ascii="Times New Roman" w:hAnsi="Times New Roman" w:cs="Times New Roman"/>
                <w:color w:val="auto"/>
                <w:lang w:val="en-US" w:eastAsia="zh-CN"/>
              </w:rPr>
              <w:t>3</w:t>
            </w:r>
            <w:r>
              <w:rPr>
                <w:rFonts w:hint="default" w:ascii="Times New Roman" w:hAnsi="Times New Roman" w:cs="Times New Roman"/>
                <w:color w:val="auto"/>
                <w:lang w:eastAsia="zh-CN"/>
              </w:rPr>
              <w:t>.2、与《关于印发巴音郭楞蒙古自治州“三线一单”生态环境分区管控动态更新成果（2023年）的通知》（202</w:t>
            </w:r>
            <w:r>
              <w:rPr>
                <w:rFonts w:hint="default" w:ascii="Times New Roman" w:hAnsi="Times New Roman" w:cs="Times New Roman"/>
                <w:color w:val="auto"/>
                <w:lang w:val="en-US" w:eastAsia="zh-CN"/>
              </w:rPr>
              <w:t>4</w:t>
            </w:r>
            <w:r>
              <w:rPr>
                <w:rFonts w:hint="default" w:ascii="Times New Roman" w:hAnsi="Times New Roman" w:cs="Times New Roman"/>
                <w:color w:val="auto"/>
                <w:lang w:eastAsia="zh-CN"/>
              </w:rPr>
              <w:t>年</w:t>
            </w:r>
            <w:r>
              <w:rPr>
                <w:rFonts w:hint="eastAsia" w:cs="Times New Roman"/>
                <w:color w:val="auto"/>
                <w:lang w:val="en-US" w:eastAsia="zh-CN"/>
              </w:rPr>
              <w:t>12</w:t>
            </w:r>
            <w:r>
              <w:rPr>
                <w:rFonts w:hint="default" w:ascii="Times New Roman" w:hAnsi="Times New Roman" w:cs="Times New Roman"/>
                <w:color w:val="auto"/>
                <w:lang w:eastAsia="zh-CN"/>
              </w:rPr>
              <w:t>月</w:t>
            </w:r>
            <w:r>
              <w:rPr>
                <w:rFonts w:hint="eastAsia" w:cs="Times New Roman"/>
                <w:color w:val="auto"/>
                <w:lang w:val="en-US" w:eastAsia="zh-CN"/>
              </w:rPr>
              <w:t>9</w:t>
            </w:r>
            <w:r>
              <w:rPr>
                <w:rFonts w:hint="default" w:ascii="Times New Roman" w:hAnsi="Times New Roman" w:cs="Times New Roman"/>
                <w:color w:val="auto"/>
                <w:lang w:eastAsia="zh-CN"/>
              </w:rPr>
              <w:t>日）符合性分析</w:t>
            </w:r>
          </w:p>
          <w:p w14:paraId="6B34F2A6">
            <w:pPr>
              <w:pStyle w:val="22"/>
              <w:bidi w:val="0"/>
              <w:ind w:left="0" w:leftChars="0" w:firstLine="0" w:firstLineChars="0"/>
              <w:jc w:val="center"/>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rPr>
              <w:t>表1</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sz w:val="21"/>
                <w:szCs w:val="21"/>
                <w:highlight w:val="none"/>
                <w:lang w:val="en-US" w:eastAsia="zh-CN"/>
              </w:rPr>
              <w:t xml:space="preserve">2   </w:t>
            </w:r>
            <w:r>
              <w:rPr>
                <w:rFonts w:hint="default" w:ascii="Times New Roman" w:hAnsi="Times New Roman" w:cs="Times New Roman"/>
                <w:color w:val="auto"/>
                <w:sz w:val="21"/>
                <w:szCs w:val="21"/>
                <w:highlight w:val="none"/>
              </w:rPr>
              <w:t>生态环境准入清单信息</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863"/>
              <w:gridCol w:w="1960"/>
            </w:tblGrid>
            <w:tr w14:paraId="5EBA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6" w:type="pct"/>
                  <w:vAlign w:val="center"/>
                </w:tcPr>
                <w:p w14:paraId="5F4DFB0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单元编码</w:t>
                  </w:r>
                </w:p>
              </w:tc>
              <w:tc>
                <w:tcPr>
                  <w:tcW w:w="2115" w:type="pct"/>
                  <w:vAlign w:val="center"/>
                </w:tcPr>
                <w:p w14:paraId="2C09816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单元名称</w:t>
                  </w:r>
                </w:p>
              </w:tc>
              <w:tc>
                <w:tcPr>
                  <w:tcW w:w="1448" w:type="pct"/>
                  <w:vAlign w:val="center"/>
                </w:tcPr>
                <w:p w14:paraId="2E3B423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单元属性</w:t>
                  </w:r>
                </w:p>
              </w:tc>
            </w:tr>
            <w:tr w14:paraId="5665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36" w:type="pct"/>
                  <w:vAlign w:val="center"/>
                </w:tcPr>
                <w:p w14:paraId="7465A2D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ZH65</w:t>
                  </w:r>
                  <w:r>
                    <w:rPr>
                      <w:rFonts w:hint="eastAsia" w:cs="Times New Roman"/>
                      <w:snapToGrid w:val="0"/>
                      <w:color w:val="auto"/>
                      <w:spacing w:val="-3"/>
                      <w:kern w:val="0"/>
                      <w:sz w:val="21"/>
                      <w:szCs w:val="21"/>
                      <w:highlight w:val="none"/>
                      <w:lang w:val="en-US" w:eastAsia="zh-CN" w:bidi="ar-SA"/>
                    </w:rPr>
                    <w:t>280120011</w:t>
                  </w:r>
                </w:p>
              </w:tc>
              <w:tc>
                <w:tcPr>
                  <w:tcW w:w="2115" w:type="pct"/>
                  <w:vAlign w:val="center"/>
                </w:tcPr>
                <w:p w14:paraId="1DE0975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eastAsia" w:cs="Times New Roman"/>
                      <w:snapToGrid w:val="0"/>
                      <w:color w:val="auto"/>
                      <w:spacing w:val="-3"/>
                      <w:kern w:val="0"/>
                      <w:sz w:val="21"/>
                      <w:szCs w:val="21"/>
                      <w:highlight w:val="none"/>
                      <w:lang w:val="en-US" w:eastAsia="zh-CN" w:bidi="ar-SA"/>
                    </w:rPr>
                    <w:t>库尔勒市城区地下水禁采区</w:t>
                  </w:r>
                </w:p>
              </w:tc>
              <w:tc>
                <w:tcPr>
                  <w:tcW w:w="1448" w:type="pct"/>
                  <w:vAlign w:val="center"/>
                </w:tcPr>
                <w:p w14:paraId="697CAF3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重点管控单元</w:t>
                  </w:r>
                </w:p>
              </w:tc>
            </w:tr>
          </w:tbl>
          <w:p w14:paraId="4E6C18A2">
            <w:pPr>
              <w:pStyle w:val="22"/>
              <w:bidi w:val="0"/>
              <w:ind w:left="0" w:leftChars="0" w:firstLine="0" w:firstLineChars="0"/>
              <w:jc w:val="center"/>
              <w:rPr>
                <w:rFonts w:hint="default" w:ascii="Times New Roman" w:hAnsi="Times New Roman" w:cs="Times New Roman"/>
                <w:color w:val="auto"/>
                <w:lang w:eastAsia="zh-CN"/>
              </w:rPr>
            </w:pPr>
          </w:p>
          <w:p w14:paraId="1EC89ABB">
            <w:pPr>
              <w:pStyle w:val="22"/>
              <w:bidi w:val="0"/>
              <w:ind w:left="0" w:leftChars="0" w:firstLine="0" w:firstLineChars="0"/>
              <w:jc w:val="center"/>
              <w:rPr>
                <w:rFonts w:hint="default" w:ascii="Times New Roman" w:hAnsi="Times New Roman" w:cs="Times New Roman"/>
                <w:color w:val="auto"/>
                <w:lang w:eastAsia="zh-CN"/>
              </w:rPr>
            </w:pPr>
            <w:r>
              <w:rPr>
                <w:rFonts w:hint="default" w:ascii="Times New Roman" w:hAnsi="Times New Roman" w:cs="Times New Roman"/>
                <w:color w:val="auto"/>
                <w:lang w:eastAsia="zh-CN"/>
              </w:rPr>
              <w:t>表1-</w:t>
            </w:r>
            <w:r>
              <w:rPr>
                <w:rFonts w:hint="default" w:ascii="Times New Roman" w:hAnsi="Times New Roman" w:cs="Times New Roman"/>
                <w:color w:val="auto"/>
                <w:lang w:val="en-US" w:eastAsia="zh-CN"/>
              </w:rPr>
              <w:t xml:space="preserve">3   </w:t>
            </w:r>
            <w:r>
              <w:rPr>
                <w:rFonts w:hint="default" w:ascii="Times New Roman" w:hAnsi="Times New Roman" w:cs="Times New Roman"/>
                <w:color w:val="auto"/>
                <w:lang w:eastAsia="zh-CN"/>
              </w:rPr>
              <w:t>项目与</w:t>
            </w:r>
            <w:r>
              <w:rPr>
                <w:rFonts w:hint="eastAsia" w:cs="Times New Roman"/>
                <w:snapToGrid w:val="0"/>
                <w:color w:val="auto"/>
                <w:spacing w:val="-3"/>
                <w:kern w:val="0"/>
                <w:sz w:val="21"/>
                <w:szCs w:val="21"/>
                <w:highlight w:val="none"/>
                <w:lang w:val="en-US" w:eastAsia="zh-CN" w:bidi="ar-SA"/>
              </w:rPr>
              <w:t>库尔勒市</w:t>
            </w:r>
            <w:r>
              <w:rPr>
                <w:rFonts w:hint="default" w:ascii="Times New Roman" w:hAnsi="Times New Roman" w:cs="Times New Roman"/>
                <w:color w:val="auto"/>
                <w:lang w:val="en-US" w:eastAsia="zh-CN"/>
              </w:rPr>
              <w:t>生态环境准入清单</w:t>
            </w:r>
            <w:r>
              <w:rPr>
                <w:rFonts w:hint="default" w:ascii="Times New Roman" w:hAnsi="Times New Roman" w:cs="Times New Roman"/>
                <w:color w:val="auto"/>
                <w:lang w:eastAsia="zh-CN"/>
              </w:rPr>
              <w:t>相符性分析</w:t>
            </w:r>
          </w:p>
          <w:tbl>
            <w:tblPr>
              <w:tblStyle w:val="14"/>
              <w:tblW w:w="6801" w:type="dxa"/>
              <w:tblInd w:w="-2"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
              <w:gridCol w:w="4969"/>
              <w:gridCol w:w="1439"/>
            </w:tblGrid>
            <w:tr w14:paraId="07BC6AC0">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3942" w:type="pct"/>
                  <w:gridSpan w:val="2"/>
                  <w:tcBorders>
                    <w:top w:val="single" w:color="auto" w:sz="4" w:space="0"/>
                    <w:left w:val="single" w:color="auto" w:sz="2" w:space="0"/>
                    <w:bottom w:val="single" w:color="auto" w:sz="4" w:space="0"/>
                  </w:tcBorders>
                  <w:noWrap w:val="0"/>
                  <w:vAlign w:val="center"/>
                </w:tcPr>
                <w:p w14:paraId="387FE99F">
                  <w:pPr>
                    <w:pStyle w:val="28"/>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管控要求</w:t>
                  </w:r>
                </w:p>
              </w:tc>
              <w:tc>
                <w:tcPr>
                  <w:tcW w:w="1057" w:type="pct"/>
                  <w:tcBorders>
                    <w:top w:val="single" w:color="auto" w:sz="4" w:space="0"/>
                    <w:bottom w:val="single" w:color="auto" w:sz="4" w:space="0"/>
                    <w:right w:val="single" w:color="auto" w:sz="4" w:space="0"/>
                  </w:tcBorders>
                  <w:noWrap w:val="0"/>
                  <w:vAlign w:val="center"/>
                </w:tcPr>
                <w:p w14:paraId="75C26AF7">
                  <w:pPr>
                    <w:pStyle w:val="28"/>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本项目情况</w:t>
                  </w:r>
                </w:p>
              </w:tc>
            </w:tr>
            <w:tr w14:paraId="700FAFC8">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atLeast"/>
              </w:trPr>
              <w:tc>
                <w:tcPr>
                  <w:tcW w:w="288" w:type="pct"/>
                  <w:tcBorders>
                    <w:top w:val="single" w:color="auto" w:sz="4" w:space="0"/>
                    <w:left w:val="single" w:color="auto" w:sz="4" w:space="0"/>
                    <w:bottom w:val="single" w:color="auto" w:sz="4" w:space="0"/>
                  </w:tcBorders>
                  <w:noWrap w:val="0"/>
                  <w:vAlign w:val="center"/>
                </w:tcPr>
                <w:p w14:paraId="1AC5E3D3">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空间布局约束</w:t>
                  </w:r>
                </w:p>
              </w:tc>
              <w:tc>
                <w:tcPr>
                  <w:tcW w:w="3653" w:type="pct"/>
                  <w:tcBorders>
                    <w:top w:val="single" w:color="auto" w:sz="4" w:space="0"/>
                    <w:bottom w:val="single" w:color="auto" w:sz="4" w:space="0"/>
                  </w:tcBorders>
                  <w:noWrap w:val="0"/>
                  <w:vAlign w:val="center"/>
                </w:tcPr>
                <w:p w14:paraId="6B55E8D1">
                  <w:pPr>
                    <w:pStyle w:val="28"/>
                    <w:numPr>
                      <w:ilvl w:val="0"/>
                      <w:numId w:val="0"/>
                    </w:numPr>
                    <w:bidi w:val="0"/>
                    <w:ind w:leftChars="0"/>
                    <w:jc w:val="both"/>
                    <w:rPr>
                      <w:rFonts w:hint="default" w:ascii="Times New Roman" w:hAnsi="Times New Roman" w:eastAsia="宋体" w:cs="Times New Roman"/>
                      <w:bCs/>
                      <w:snapToGrid w:val="0"/>
                      <w:color w:val="auto"/>
                      <w:spacing w:val="8"/>
                      <w:kern w:val="0"/>
                      <w:sz w:val="21"/>
                      <w:szCs w:val="72"/>
                      <w:lang w:val="en-US" w:eastAsia="zh-CN"/>
                    </w:rPr>
                  </w:pPr>
                  <w:r>
                    <w:rPr>
                      <w:rFonts w:hint="default" w:ascii="Times New Roman" w:hAnsi="Times New Roman" w:eastAsia="宋体" w:cs="Times New Roman"/>
                      <w:bCs/>
                      <w:snapToGrid w:val="0"/>
                      <w:color w:val="auto"/>
                      <w:spacing w:val="8"/>
                      <w:kern w:val="0"/>
                      <w:sz w:val="21"/>
                      <w:szCs w:val="72"/>
                      <w:lang w:val="en-US" w:eastAsia="zh-CN"/>
                    </w:rPr>
                    <w:t>1.除城乡生活饮用水或者战略储备、旱灾、火灾、地震等应急需要取水外，原有的地下水取水工程全部限期封停。</w:t>
                  </w:r>
                </w:p>
                <w:p w14:paraId="6A604378">
                  <w:pPr>
                    <w:pStyle w:val="28"/>
                    <w:numPr>
                      <w:ilvl w:val="0"/>
                      <w:numId w:val="0"/>
                    </w:numPr>
                    <w:bidi w:val="0"/>
                    <w:ind w:leftChars="0"/>
                    <w:jc w:val="both"/>
                    <w:rPr>
                      <w:rFonts w:hint="default" w:ascii="Times New Roman" w:hAnsi="Times New Roman" w:eastAsia="宋体" w:cs="Times New Roman"/>
                      <w:bCs/>
                      <w:snapToGrid w:val="0"/>
                      <w:color w:val="auto"/>
                      <w:spacing w:val="8"/>
                      <w:kern w:val="0"/>
                      <w:sz w:val="21"/>
                      <w:szCs w:val="72"/>
                      <w:lang w:val="en-US" w:eastAsia="zh-CN"/>
                    </w:rPr>
                  </w:pPr>
                  <w:r>
                    <w:rPr>
                      <w:rFonts w:hint="default" w:ascii="Times New Roman" w:hAnsi="Times New Roman" w:eastAsia="宋体" w:cs="Times New Roman"/>
                      <w:bCs/>
                      <w:snapToGrid w:val="0"/>
                      <w:color w:val="auto"/>
                      <w:spacing w:val="8"/>
                      <w:kern w:val="0"/>
                      <w:sz w:val="21"/>
                      <w:szCs w:val="72"/>
                      <w:lang w:val="en-US" w:eastAsia="zh-CN"/>
                    </w:rPr>
                    <w:t>2.县级以上人民政府水行政主管部门应当会同有关部门制定封停方案，经本级人民政府批准</w:t>
                  </w:r>
                </w:p>
                <w:p w14:paraId="37F50274">
                  <w:pPr>
                    <w:pStyle w:val="28"/>
                    <w:numPr>
                      <w:ilvl w:val="0"/>
                      <w:numId w:val="0"/>
                    </w:numPr>
                    <w:bidi w:val="0"/>
                    <w:ind w:left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bCs/>
                      <w:snapToGrid w:val="0"/>
                      <w:color w:val="auto"/>
                      <w:spacing w:val="8"/>
                      <w:kern w:val="0"/>
                      <w:sz w:val="21"/>
                      <w:szCs w:val="72"/>
                      <w:lang w:val="en-US" w:eastAsia="zh-CN"/>
                    </w:rPr>
                    <w:t>后实施。</w:t>
                  </w:r>
                </w:p>
              </w:tc>
              <w:tc>
                <w:tcPr>
                  <w:tcW w:w="1057" w:type="pct"/>
                  <w:tcBorders>
                    <w:top w:val="single" w:color="auto" w:sz="4" w:space="0"/>
                    <w:bottom w:val="single" w:color="auto" w:sz="4" w:space="0"/>
                    <w:right w:val="single" w:color="auto" w:sz="4" w:space="0"/>
                  </w:tcBorders>
                  <w:noWrap w:val="0"/>
                  <w:vAlign w:val="center"/>
                </w:tcPr>
                <w:p w14:paraId="1FCBFA32">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本项目建设动物医院，</w:t>
                  </w:r>
                  <w:r>
                    <w:rPr>
                      <w:rFonts w:hint="eastAsia" w:cs="Times New Roman"/>
                      <w:color w:val="auto"/>
                      <w:lang w:val="en-US" w:eastAsia="zh-CN"/>
                    </w:rPr>
                    <w:t>场地租赁已建商业用房，供水依托市政管网，不涉及地下水取水。</w:t>
                  </w:r>
                </w:p>
              </w:tc>
            </w:tr>
            <w:tr w14:paraId="0A574EB0">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1" w:hRule="atLeast"/>
              </w:trPr>
              <w:tc>
                <w:tcPr>
                  <w:tcW w:w="288" w:type="pct"/>
                  <w:tcBorders>
                    <w:top w:val="single" w:color="auto" w:sz="4" w:space="0"/>
                    <w:left w:val="single" w:color="auto" w:sz="4" w:space="0"/>
                    <w:bottom w:val="single" w:color="auto" w:sz="4" w:space="0"/>
                  </w:tcBorders>
                  <w:noWrap w:val="0"/>
                  <w:vAlign w:val="center"/>
                </w:tcPr>
                <w:p w14:paraId="222137BB">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污染物排放管控</w:t>
                  </w:r>
                </w:p>
              </w:tc>
              <w:tc>
                <w:tcPr>
                  <w:tcW w:w="3653" w:type="pct"/>
                  <w:tcBorders>
                    <w:top w:val="single" w:color="auto" w:sz="4" w:space="0"/>
                    <w:bottom w:val="single" w:color="auto" w:sz="4" w:space="0"/>
                  </w:tcBorders>
                  <w:noWrap w:val="0"/>
                  <w:vAlign w:val="center"/>
                </w:tcPr>
                <w:p w14:paraId="49853F8A">
                  <w:pPr>
                    <w:pStyle w:val="28"/>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1.禁止私设暗管或者利用渗井、渗坑和裂隙排放、倾倒含有毒污染物的废水、含病原体的污水和其他废弃物。禁止利用无防渗漏措施的沟渠、坑塘等输送或者存贮含有毒污染物的废水、含病原体的污水和其他废弃物。</w:t>
                  </w:r>
                </w:p>
                <w:p w14:paraId="3473C411">
                  <w:pPr>
                    <w:pStyle w:val="28"/>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2.禁止向地表及水体排放、倾倒下列物质：（一）油类、酸液、碱液或者剧毒废液及未达标的工业及生活废水；（二）放射性固体废物或者含有高放射性和中放射性物质的废水；（三）工业废渣、城镇垃圾和其他废弃物。</w:t>
                  </w:r>
                </w:p>
                <w:p w14:paraId="5F4751D3">
                  <w:pPr>
                    <w:pStyle w:val="28"/>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3.建设单位建设危险废物堆存场、垃圾填埋场、矿山渣场（含尾矿）、储灰场、加油站、贮存有毒有害物质的场所应当按照有关规定落实有关水污染防治措施，制定防渗处理方案，并按照规定定时向环境保护主管部门和水行政主管部门报告水质监测数据。禁止将含有汞、镉、砷、铬、铅、氰化物、黄磷等可溶性剧毒废渣及难降解有机物或者含油废弃物直接埋入地下。</w:t>
                  </w:r>
                </w:p>
                <w:p w14:paraId="3A6E2AB1">
                  <w:pPr>
                    <w:pStyle w:val="28"/>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4.工矿企业应当优先利用基坑水、矿坑水和疏干水。无法全部利用的，应当处理达标后排放。</w:t>
                  </w:r>
                </w:p>
                <w:p w14:paraId="64FDC539">
                  <w:pPr>
                    <w:pStyle w:val="28"/>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5.人工回灌补给地下水，不得恶化地下水水质。</w:t>
                  </w:r>
                </w:p>
                <w:p w14:paraId="3F85B830">
                  <w:pPr>
                    <w:pStyle w:val="28"/>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6.定期调查评估集中式地下水型饮用水水源补给区等区域环境状况，严格控制地下水富集区</w:t>
                  </w:r>
                </w:p>
                <w:p w14:paraId="48A894FA">
                  <w:pPr>
                    <w:pStyle w:val="28"/>
                    <w:numPr>
                      <w:ilvl w:val="0"/>
                      <w:numId w:val="0"/>
                    </w:numPr>
                    <w:bidi w:val="0"/>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bCs/>
                      <w:snapToGrid w:val="0"/>
                      <w:color w:val="auto"/>
                      <w:spacing w:val="8"/>
                      <w:kern w:val="0"/>
                      <w:sz w:val="21"/>
                      <w:szCs w:val="72"/>
                      <w:lang w:val="en-US" w:eastAsia="zh-CN"/>
                    </w:rPr>
                    <w:t>污染物排放。组织实施地下水监测工程建设，建立较完整的地下水监测网。定期评估地下水环境安全隐患，检查重点工业企业周边地下水污染状况，并定期公布污染地下水的企业名单。</w:t>
                  </w:r>
                </w:p>
              </w:tc>
              <w:tc>
                <w:tcPr>
                  <w:tcW w:w="1057" w:type="pct"/>
                  <w:tcBorders>
                    <w:top w:val="single" w:color="auto" w:sz="4" w:space="0"/>
                    <w:bottom w:val="single" w:color="auto" w:sz="4" w:space="0"/>
                    <w:right w:val="single" w:color="auto" w:sz="4" w:space="0"/>
                  </w:tcBorders>
                  <w:noWrap w:val="0"/>
                  <w:vAlign w:val="center"/>
                </w:tcPr>
                <w:p w14:paraId="38E4F5F1">
                  <w:pPr>
                    <w:pStyle w:val="28"/>
                    <w:bidi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w:t>
                  </w:r>
                  <w:r>
                    <w:rPr>
                      <w:rFonts w:hint="default" w:ascii="Times New Roman" w:hAnsi="Times New Roman" w:eastAsia="宋体" w:cs="Times New Roman"/>
                      <w:color w:val="auto"/>
                      <w:lang w:val="en-US" w:eastAsia="zh-CN"/>
                    </w:rPr>
                    <w:t>经过一体化污水处理设备预处理达到《医疗机构水污染物排放标准》（GB18466-2005，含2026年修改单）表2中</w:t>
                  </w:r>
                  <w:r>
                    <w:rPr>
                      <w:rFonts w:hint="eastAsia" w:cs="Times New Roman"/>
                      <w:color w:val="auto"/>
                      <w:lang w:val="en-US" w:eastAsia="zh-CN"/>
                    </w:rPr>
                    <w:t>预处理</w:t>
                  </w:r>
                  <w:r>
                    <w:rPr>
                      <w:rFonts w:hint="default" w:ascii="Times New Roman" w:hAnsi="Times New Roman" w:eastAsia="宋体" w:cs="Times New Roman"/>
                      <w:color w:val="auto"/>
                      <w:lang w:val="en-US" w:eastAsia="zh-CN"/>
                    </w:rPr>
                    <w:t>标准限值后与生活污水一同排入市政污水管网</w:t>
                  </w:r>
                  <w:r>
                    <w:rPr>
                      <w:rFonts w:hint="eastAsia" w:cs="Times New Roman"/>
                      <w:color w:val="auto"/>
                      <w:lang w:val="en-US" w:eastAsia="zh-CN"/>
                    </w:rPr>
                    <w:t>，最终进入库尔勒市老城区污水处理厂</w:t>
                  </w:r>
                  <w:r>
                    <w:rPr>
                      <w:rFonts w:hint="default" w:ascii="Times New Roman" w:hAnsi="Times New Roman" w:eastAsia="宋体" w:cs="Times New Roman"/>
                      <w:color w:val="auto"/>
                      <w:lang w:val="en-US" w:eastAsia="zh-CN"/>
                    </w:rPr>
                    <w:t>。</w:t>
                  </w:r>
                  <w:r>
                    <w:rPr>
                      <w:rFonts w:hint="eastAsia" w:cs="Times New Roman"/>
                      <w:color w:val="auto"/>
                      <w:lang w:val="en-US" w:eastAsia="zh-CN"/>
                    </w:rPr>
                    <w:t>医疗废物及废紫外灯管等危废委托有资质单位合规处置。</w:t>
                  </w:r>
                </w:p>
              </w:tc>
            </w:tr>
            <w:tr w14:paraId="101A86E9">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288" w:type="pct"/>
                  <w:tcBorders>
                    <w:top w:val="single" w:color="auto" w:sz="4" w:space="0"/>
                    <w:left w:val="single" w:color="auto" w:sz="4" w:space="0"/>
                    <w:bottom w:val="single" w:color="auto" w:sz="4" w:space="0"/>
                  </w:tcBorders>
                  <w:noWrap w:val="0"/>
                  <w:vAlign w:val="center"/>
                </w:tcPr>
                <w:p w14:paraId="75CECB36">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环境风险防控</w:t>
                  </w:r>
                </w:p>
              </w:tc>
              <w:tc>
                <w:tcPr>
                  <w:tcW w:w="3653" w:type="pct"/>
                  <w:tcBorders>
                    <w:top w:val="single" w:color="auto" w:sz="4" w:space="0"/>
                    <w:bottom w:val="single" w:color="auto" w:sz="4" w:space="0"/>
                  </w:tcBorders>
                  <w:noWrap w:val="0"/>
                  <w:vAlign w:val="center"/>
                </w:tcPr>
                <w:p w14:paraId="38A86E61">
                  <w:pPr>
                    <w:pStyle w:val="28"/>
                    <w:bidi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应当统筹规划、合理布局地下水监测站网，加强地下水监测能力建设，组织做好地下水水位、水量、水质、水温等地下水动态监测工作，及时采集、传输、处理、储存监测数据，定期向社会公布监测结果。建成常规监测、移动监测、动态预警监测三位一体的水环境质量监测网络。</w:t>
                  </w:r>
                </w:p>
              </w:tc>
              <w:tc>
                <w:tcPr>
                  <w:tcW w:w="1057" w:type="pct"/>
                  <w:tcBorders>
                    <w:top w:val="single" w:color="auto" w:sz="4" w:space="0"/>
                    <w:bottom w:val="single" w:color="auto" w:sz="4" w:space="0"/>
                    <w:right w:val="single" w:color="auto" w:sz="4" w:space="0"/>
                  </w:tcBorders>
                  <w:noWrap w:val="0"/>
                  <w:vAlign w:val="center"/>
                </w:tcPr>
                <w:p w14:paraId="2DD7348F">
                  <w:pPr>
                    <w:pStyle w:val="28"/>
                    <w:bidi w:val="0"/>
                    <w:jc w:val="left"/>
                    <w:rPr>
                      <w:rFonts w:hint="default" w:ascii="Times New Roman" w:hAnsi="Times New Roman" w:eastAsia="宋体" w:cs="Times New Roman"/>
                      <w:color w:val="auto"/>
                      <w:lang w:val="en-US" w:eastAsia="zh-CN"/>
                    </w:rPr>
                  </w:pPr>
                  <w:r>
                    <w:rPr>
                      <w:rFonts w:hint="eastAsia" w:cs="Times New Roman"/>
                      <w:color w:val="auto"/>
                      <w:lang w:val="en-US" w:eastAsia="zh-CN"/>
                    </w:rPr>
                    <w:t>项目区危废贮存间，污水处理区均已做防渗处理，不存在地下水污染途径。</w:t>
                  </w:r>
                </w:p>
              </w:tc>
            </w:tr>
            <w:tr w14:paraId="3A9298FC">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7" w:hRule="atLeast"/>
              </w:trPr>
              <w:tc>
                <w:tcPr>
                  <w:tcW w:w="288" w:type="pct"/>
                  <w:tcBorders>
                    <w:top w:val="single" w:color="auto" w:sz="4" w:space="0"/>
                    <w:left w:val="single" w:color="auto" w:sz="4" w:space="0"/>
                    <w:bottom w:val="single" w:color="auto" w:sz="4" w:space="0"/>
                  </w:tcBorders>
                  <w:noWrap w:val="0"/>
                  <w:vAlign w:val="center"/>
                </w:tcPr>
                <w:p w14:paraId="4CAE25C4">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资源利用效率</w:t>
                  </w:r>
                </w:p>
              </w:tc>
              <w:tc>
                <w:tcPr>
                  <w:tcW w:w="3653" w:type="pct"/>
                  <w:tcBorders>
                    <w:top w:val="single" w:color="auto" w:sz="4" w:space="0"/>
                    <w:bottom w:val="single" w:color="auto" w:sz="4" w:space="0"/>
                  </w:tcBorders>
                  <w:noWrap w:val="0"/>
                  <w:vAlign w:val="center"/>
                </w:tcPr>
                <w:p w14:paraId="73CE6B87">
                  <w:pPr>
                    <w:pStyle w:val="28"/>
                    <w:bidi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1.编制重点超采区域地下水压采方案，禁止工农业生产及服务业新增取用地下水。</w:t>
                  </w:r>
                </w:p>
                <w:p w14:paraId="25218E08">
                  <w:pPr>
                    <w:pStyle w:val="28"/>
                    <w:bidi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2.大力发展高效节水，加强水源置换。</w:t>
                  </w:r>
                </w:p>
              </w:tc>
              <w:tc>
                <w:tcPr>
                  <w:tcW w:w="1057" w:type="pct"/>
                  <w:tcBorders>
                    <w:top w:val="single" w:color="auto" w:sz="4" w:space="0"/>
                    <w:bottom w:val="single" w:color="auto" w:sz="4" w:space="0"/>
                    <w:right w:val="single" w:color="auto" w:sz="4" w:space="0"/>
                  </w:tcBorders>
                  <w:noWrap w:val="0"/>
                  <w:vAlign w:val="center"/>
                </w:tcPr>
                <w:p w14:paraId="3F4DD2F1">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本项目建设动物医院，</w:t>
                  </w:r>
                  <w:r>
                    <w:rPr>
                      <w:rFonts w:hint="default" w:ascii="Times New Roman" w:hAnsi="Times New Roman" w:cs="Times New Roman"/>
                      <w:color w:val="auto"/>
                      <w:lang w:val="en-US" w:eastAsia="zh-CN"/>
                    </w:rPr>
                    <w:t>供水自市</w:t>
                  </w:r>
                  <w:r>
                    <w:rPr>
                      <w:rFonts w:hint="eastAsia" w:cs="Times New Roman"/>
                      <w:color w:val="auto"/>
                      <w:lang w:val="en-US" w:eastAsia="zh-CN"/>
                    </w:rPr>
                    <w:t>政</w:t>
                  </w:r>
                  <w:r>
                    <w:rPr>
                      <w:rFonts w:hint="default" w:ascii="Times New Roman" w:hAnsi="Times New Roman" w:cs="Times New Roman"/>
                      <w:color w:val="auto"/>
                      <w:lang w:val="en-US" w:eastAsia="zh-CN"/>
                    </w:rPr>
                    <w:t>管网，不涉及</w:t>
                  </w:r>
                  <w:r>
                    <w:rPr>
                      <w:rFonts w:hint="eastAsia" w:cs="Times New Roman"/>
                      <w:color w:val="auto"/>
                      <w:lang w:val="en-US" w:eastAsia="zh-CN"/>
                    </w:rPr>
                    <w:t>地下水取水</w:t>
                  </w:r>
                  <w:r>
                    <w:rPr>
                      <w:rFonts w:hint="default" w:ascii="Times New Roman" w:hAnsi="Times New Roman" w:eastAsia="宋体" w:cs="Times New Roman"/>
                      <w:color w:val="auto"/>
                      <w:lang w:val="en-US" w:eastAsia="zh-CN"/>
                    </w:rPr>
                    <w:t>。</w:t>
                  </w:r>
                </w:p>
              </w:tc>
            </w:tr>
          </w:tbl>
          <w:p w14:paraId="07B5C93E">
            <w:pPr>
              <w:pStyle w:val="29"/>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由上表可知，在建设单位落实“报告表”提出的各项污染防治措施及环境管理要求的前提下，本项目符合《关于印发巴音郭楞蒙古自治州“三线一单”生态环境分区管控动态更新成果（2023年）的通知》（2024年12月9日）的要求。</w:t>
            </w:r>
          </w:p>
          <w:p w14:paraId="5FF158AE">
            <w:pPr>
              <w:pStyle w:val="3"/>
              <w:bidi w:val="0"/>
              <w:rPr>
                <w:rFonts w:hint="default" w:ascii="Times New Roman" w:hAnsi="Times New Roman" w:cs="Times New Roman"/>
                <w:color w:val="auto"/>
              </w:rPr>
            </w:pPr>
            <w:r>
              <w:rPr>
                <w:rFonts w:hint="eastAsia" w:ascii="Times New Roman" w:hAnsi="Times New Roman" w:cs="Times New Roman"/>
                <w:color w:val="auto"/>
                <w:lang w:val="en-US" w:eastAsia="zh-CN"/>
              </w:rPr>
              <w:t>4</w:t>
            </w:r>
            <w:r>
              <w:rPr>
                <w:rFonts w:hint="default" w:ascii="Times New Roman" w:hAnsi="Times New Roman" w:cs="Times New Roman"/>
                <w:color w:val="auto"/>
                <w:lang w:val="en-US" w:eastAsia="zh-CN"/>
              </w:rPr>
              <w:t>、</w:t>
            </w:r>
            <w:r>
              <w:rPr>
                <w:rFonts w:hint="default" w:ascii="Times New Roman" w:hAnsi="Times New Roman" w:cs="Times New Roman"/>
                <w:color w:val="auto"/>
              </w:rPr>
              <w:t>与《新疆维吾尔自治区动物诊疗机构管理（技术）规范》符合性分析</w:t>
            </w:r>
          </w:p>
          <w:p w14:paraId="52D4CE1B">
            <w:pPr>
              <w:pStyle w:val="29"/>
              <w:bidi w:val="0"/>
              <w:rPr>
                <w:rFonts w:hint="default" w:ascii="Times New Roman" w:hAnsi="Times New Roman" w:cs="Times New Roman"/>
                <w:color w:val="auto"/>
              </w:rPr>
            </w:pPr>
            <w:r>
              <w:rPr>
                <w:rFonts w:hint="default" w:ascii="Times New Roman" w:hAnsi="Times New Roman" w:cs="Times New Roman"/>
                <w:color w:val="auto"/>
              </w:rPr>
              <w:t>项目与《新疆维吾尔自治区动物诊疗机构管理（技术）规范》符合性分析见下表。</w:t>
            </w:r>
          </w:p>
          <w:p w14:paraId="2F2CBF94">
            <w:pPr>
              <w:pStyle w:val="22"/>
              <w:bidi w:val="0"/>
              <w:ind w:left="0" w:leftChars="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表</w:t>
            </w:r>
            <w:r>
              <w:rPr>
                <w:rFonts w:hint="default" w:ascii="Times New Roman" w:hAnsi="Times New Roman" w:cs="Times New Roman"/>
                <w:color w:val="auto"/>
                <w:lang w:val="en-US" w:eastAsia="zh-CN"/>
              </w:rPr>
              <w:t xml:space="preserve">1-4 </w:t>
            </w:r>
            <w:r>
              <w:rPr>
                <w:rFonts w:hint="default" w:ascii="Times New Roman" w:hAnsi="Times New Roman" w:cs="Times New Roman"/>
                <w:color w:val="auto"/>
                <w:lang w:eastAsia="zh-CN"/>
              </w:rPr>
              <w:t>与《新疆维吾尔自治区动物诊疗机构管理（技术）规范》符合性分析一览表</w:t>
            </w:r>
          </w:p>
          <w:tbl>
            <w:tblPr>
              <w:tblStyle w:val="15"/>
              <w:tblW w:w="6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2"/>
              <w:gridCol w:w="3000"/>
              <w:gridCol w:w="477"/>
            </w:tblGrid>
            <w:tr w14:paraId="0981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942" w:type="dxa"/>
                  <w:noWrap w:val="0"/>
                  <w:vAlign w:val="center"/>
                </w:tcPr>
                <w:p w14:paraId="7A8B9B29">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监管制度内容</w:t>
                  </w:r>
                </w:p>
              </w:tc>
              <w:tc>
                <w:tcPr>
                  <w:tcW w:w="3000" w:type="dxa"/>
                  <w:noWrap w:val="0"/>
                  <w:vAlign w:val="center"/>
                </w:tcPr>
                <w:p w14:paraId="572F2762">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w:t>
                  </w:r>
                </w:p>
              </w:tc>
              <w:tc>
                <w:tcPr>
                  <w:tcW w:w="477" w:type="dxa"/>
                  <w:noWrap w:val="0"/>
                  <w:vAlign w:val="center"/>
                </w:tcPr>
                <w:p w14:paraId="743A8F7B">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符合性</w:t>
                  </w:r>
                </w:p>
              </w:tc>
            </w:tr>
            <w:tr w14:paraId="53D1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9" w:hRule="atLeast"/>
              </w:trPr>
              <w:tc>
                <w:tcPr>
                  <w:tcW w:w="2942" w:type="dxa"/>
                  <w:noWrap w:val="0"/>
                  <w:vAlign w:val="center"/>
                </w:tcPr>
                <w:p w14:paraId="671F9340">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动物医院使用面积应在150平方米以上，有相对独立的隔离室、诊疗室、普通病处置室和传染病处置室、住院室、手术室、相关检验室、器具清洗消毒室、器械药品室、办公室等工作室。</w:t>
                  </w:r>
                </w:p>
              </w:tc>
              <w:tc>
                <w:tcPr>
                  <w:tcW w:w="3000" w:type="dxa"/>
                  <w:noWrap w:val="0"/>
                  <w:vAlign w:val="center"/>
                </w:tcPr>
                <w:p w14:paraId="30C3D4B5">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本项目使用面积</w:t>
                  </w:r>
                  <w:r>
                    <w:rPr>
                      <w:rFonts w:hint="eastAsia" w:cs="Times New Roman"/>
                      <w:color w:val="auto"/>
                      <w:lang w:val="en-US" w:eastAsia="zh-CN"/>
                    </w:rPr>
                    <w:t>229</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2</w:t>
                  </w:r>
                  <w:r>
                    <w:rPr>
                      <w:rFonts w:hint="default" w:ascii="Times New Roman" w:hAnsi="Times New Roman" w:cs="Times New Roman"/>
                      <w:color w:val="auto"/>
                      <w:lang w:val="en-US" w:eastAsia="zh-CN"/>
                    </w:rPr>
                    <w:t>，设有独立的隔离室、诊室、手术室、住院部、</w:t>
                  </w:r>
                  <w:r>
                    <w:rPr>
                      <w:rFonts w:hint="eastAsia" w:cs="Times New Roman"/>
                      <w:color w:val="auto"/>
                      <w:highlight w:val="none"/>
                      <w:lang w:val="en-US" w:eastAsia="zh-CN"/>
                    </w:rPr>
                    <w:t>处置室</w:t>
                  </w:r>
                  <w:r>
                    <w:rPr>
                      <w:rFonts w:hint="eastAsia" w:cs="Times New Roman"/>
                      <w:color w:val="auto"/>
                      <w:lang w:val="en-US" w:eastAsia="zh-CN"/>
                    </w:rPr>
                    <w:t>、</w:t>
                  </w:r>
                  <w:r>
                    <w:rPr>
                      <w:rFonts w:hint="default" w:ascii="Times New Roman" w:hAnsi="Times New Roman" w:cs="Times New Roman"/>
                      <w:color w:val="auto"/>
                      <w:lang w:val="en-US" w:eastAsia="zh-CN"/>
                    </w:rPr>
                    <w:t>药房、</w:t>
                  </w:r>
                  <w:r>
                    <w:rPr>
                      <w:rFonts w:hint="eastAsia" w:cs="Times New Roman"/>
                      <w:color w:val="auto"/>
                      <w:lang w:val="en-US" w:eastAsia="zh-CN"/>
                    </w:rPr>
                    <w:t>DR</w:t>
                  </w:r>
                  <w:r>
                    <w:rPr>
                      <w:rFonts w:hint="default" w:ascii="Times New Roman" w:hAnsi="Times New Roman" w:cs="Times New Roman"/>
                      <w:color w:val="auto"/>
                      <w:lang w:val="en-US" w:eastAsia="zh-CN"/>
                    </w:rPr>
                    <w:t>室等工作室，详见平面布置图。</w:t>
                  </w:r>
                </w:p>
              </w:tc>
              <w:tc>
                <w:tcPr>
                  <w:tcW w:w="477" w:type="dxa"/>
                  <w:noWrap w:val="0"/>
                  <w:vAlign w:val="center"/>
                </w:tcPr>
                <w:p w14:paraId="354DD6B3">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05D1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trPr>
              <w:tc>
                <w:tcPr>
                  <w:tcW w:w="2942" w:type="dxa"/>
                  <w:noWrap w:val="0"/>
                  <w:vAlign w:val="center"/>
                </w:tcPr>
                <w:p w14:paraId="67664596">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动物诊疗机构应有固定的营业场所，环境应整洁，距动物饲养、交易场所 200 米以上，距离动物屠宰和动物产品经营、加工，以及药品生产等场所 3000 米以上，并符合动物防疫要求。</w:t>
                  </w:r>
                </w:p>
              </w:tc>
              <w:tc>
                <w:tcPr>
                  <w:tcW w:w="3000" w:type="dxa"/>
                  <w:noWrap w:val="0"/>
                  <w:vAlign w:val="center"/>
                </w:tcPr>
                <w:p w14:paraId="3EBD4C86">
                  <w:pPr>
                    <w:pStyle w:val="28"/>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rPr>
                    <w:t>本</w:t>
                  </w:r>
                  <w:r>
                    <w:rPr>
                      <w:rFonts w:hint="default" w:ascii="Times New Roman" w:hAnsi="Times New Roman" w:cs="Times New Roman"/>
                      <w:color w:val="auto"/>
                      <w:lang w:val="en-US" w:eastAsia="zh-CN"/>
                    </w:rPr>
                    <w:t>项目租赁</w:t>
                  </w:r>
                  <w:r>
                    <w:rPr>
                      <w:rFonts w:hint="eastAsia" w:cs="Times New Roman"/>
                      <w:color w:val="auto"/>
                      <w:lang w:val="en-US" w:eastAsia="zh-CN"/>
                    </w:rPr>
                    <w:t>沿街商铺</w:t>
                  </w:r>
                  <w:r>
                    <w:rPr>
                      <w:rFonts w:hint="default" w:ascii="Times New Roman" w:hAnsi="Times New Roman" w:cs="Times New Roman"/>
                      <w:color w:val="auto"/>
                      <w:lang w:val="en-US" w:eastAsia="zh-CN"/>
                    </w:rPr>
                    <w:t>，</w:t>
                  </w:r>
                  <w:r>
                    <w:rPr>
                      <w:rFonts w:hint="eastAsia" w:cs="Times New Roman"/>
                      <w:color w:val="auto"/>
                      <w:lang w:val="en-US" w:eastAsia="zh-CN"/>
                    </w:rPr>
                    <w:t>在</w:t>
                  </w:r>
                  <w:r>
                    <w:rPr>
                      <w:rFonts w:hint="default" w:ascii="Times New Roman" w:hAnsi="Times New Roman" w:cs="Times New Roman"/>
                      <w:color w:val="auto"/>
                      <w:lang w:val="en-US" w:eastAsia="zh-CN"/>
                    </w:rPr>
                    <w:t>200m范围内不存在动物饲养、交易场所；本项目3000m范围内无动物屠宰场和动物产品经营、加工以及药品生产等场所，符合动物防疫要求。</w:t>
                  </w:r>
                </w:p>
              </w:tc>
              <w:tc>
                <w:tcPr>
                  <w:tcW w:w="477" w:type="dxa"/>
                  <w:noWrap w:val="0"/>
                  <w:vAlign w:val="center"/>
                </w:tcPr>
                <w:p w14:paraId="4909816E">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3EC1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trPr>
              <w:tc>
                <w:tcPr>
                  <w:tcW w:w="2942" w:type="dxa"/>
                  <w:noWrap w:val="0"/>
                  <w:vAlign w:val="center"/>
                </w:tcPr>
                <w:p w14:paraId="14F239D7">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动物诊疗场所设有独立的出入口，出入口不得设在居民住宅楼内或者院内，不应与同一建筑物的其他用户共用通道。</w:t>
                  </w:r>
                </w:p>
              </w:tc>
              <w:tc>
                <w:tcPr>
                  <w:tcW w:w="3000" w:type="dxa"/>
                  <w:noWrap w:val="0"/>
                  <w:vAlign w:val="center"/>
                </w:tcPr>
                <w:p w14:paraId="590B6711">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本项目具有独立的出入口，出入口未设在居民住宅楼内或者院内，并且未与同一建筑物的其他用户共用通道。</w:t>
                  </w:r>
                </w:p>
              </w:tc>
              <w:tc>
                <w:tcPr>
                  <w:tcW w:w="477" w:type="dxa"/>
                  <w:noWrap w:val="0"/>
                  <w:vAlign w:val="center"/>
                </w:tcPr>
                <w:p w14:paraId="37BA15C4">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12AB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2942" w:type="dxa"/>
                  <w:noWrap w:val="0"/>
                  <w:vAlign w:val="center"/>
                </w:tcPr>
                <w:p w14:paraId="7E280384">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动物诊疗机构应具备暂存污水、污物、病死动物及其它医疗废弃物的防止二次污染的用具，存放处应有明显标志。</w:t>
                  </w:r>
                </w:p>
              </w:tc>
              <w:tc>
                <w:tcPr>
                  <w:tcW w:w="3000" w:type="dxa"/>
                  <w:noWrap w:val="0"/>
                  <w:vAlign w:val="center"/>
                </w:tcPr>
                <w:p w14:paraId="4F8557B0">
                  <w:pPr>
                    <w:pStyle w:val="28"/>
                    <w:widowControl w:val="0"/>
                    <w:bidi w:val="0"/>
                    <w:rPr>
                      <w:rFonts w:hint="default" w:ascii="Times New Roman" w:hAnsi="Times New Roman" w:cs="Times New Roman"/>
                      <w:color w:val="auto"/>
                      <w:lang w:val="en-US" w:eastAsia="zh-CN"/>
                    </w:rPr>
                  </w:pPr>
                  <w:bookmarkStart w:id="1" w:name="OLE_LINK17"/>
                  <w:bookmarkStart w:id="2" w:name="OLE_LINK83"/>
                  <w:r>
                    <w:rPr>
                      <w:rFonts w:hint="default" w:ascii="Times New Roman" w:hAnsi="Times New Roman" w:cs="Times New Roman"/>
                      <w:color w:val="auto"/>
                      <w:lang w:val="en-US" w:eastAsia="zh-CN"/>
                    </w:rPr>
                    <w:t>本项目医疗废水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清洗消毒废水经一体化污水处理设备预处理后与生活污水一同排入市政污水管网；</w:t>
                  </w:r>
                  <w:bookmarkEnd w:id="1"/>
                  <w:bookmarkEnd w:id="2"/>
                  <w:r>
                    <w:rPr>
                      <w:rFonts w:hint="default" w:ascii="Times New Roman" w:hAnsi="Times New Roman" w:cs="Times New Roman"/>
                      <w:color w:val="auto"/>
                      <w:lang w:val="en-US" w:eastAsia="zh-CN"/>
                    </w:rPr>
                    <w:t>医疗废物分类暂存于</w:t>
                  </w:r>
                  <w:r>
                    <w:rPr>
                      <w:rFonts w:hint="eastAsia" w:cs="Times New Roman"/>
                      <w:color w:val="auto"/>
                      <w:lang w:val="en-US" w:eastAsia="zh-CN"/>
                    </w:rPr>
                    <w:t>危险废物贮存间</w:t>
                  </w:r>
                  <w:r>
                    <w:rPr>
                      <w:rFonts w:hint="default" w:ascii="Times New Roman" w:hAnsi="Times New Roman" w:cs="Times New Roman"/>
                      <w:color w:val="auto"/>
                      <w:lang w:val="en-US" w:eastAsia="zh-CN"/>
                    </w:rPr>
                    <w:t>，并加贴危险标志，委托有资质的单位定期处置。</w:t>
                  </w:r>
                </w:p>
              </w:tc>
              <w:tc>
                <w:tcPr>
                  <w:tcW w:w="477" w:type="dxa"/>
                  <w:noWrap w:val="0"/>
                  <w:vAlign w:val="center"/>
                </w:tcPr>
                <w:p w14:paraId="3A3DE8D3">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bl>
          <w:p w14:paraId="0F98823B">
            <w:pPr>
              <w:pStyle w:val="3"/>
              <w:numPr>
                <w:ilvl w:val="0"/>
                <w:numId w:val="0"/>
              </w:numPr>
              <w:bidi w:val="0"/>
              <w:rPr>
                <w:rFonts w:hint="default" w:ascii="Times New Roman" w:hAnsi="Times New Roman" w:cs="Times New Roman"/>
                <w:color w:val="auto"/>
              </w:rPr>
            </w:pPr>
            <w:r>
              <w:rPr>
                <w:rFonts w:hint="eastAsia" w:ascii="Times New Roman" w:hAnsi="Times New Roman" w:cs="Times New Roman"/>
                <w:color w:val="auto"/>
                <w:lang w:val="en-US" w:eastAsia="zh-CN"/>
              </w:rPr>
              <w:t>5、</w:t>
            </w:r>
            <w:r>
              <w:rPr>
                <w:rFonts w:hint="default" w:ascii="Times New Roman" w:hAnsi="Times New Roman" w:cs="Times New Roman"/>
                <w:color w:val="auto"/>
              </w:rPr>
              <w:t>与《医疗废物管理条例》符合性分析</w:t>
            </w:r>
          </w:p>
          <w:p w14:paraId="33168422">
            <w:pPr>
              <w:pStyle w:val="29"/>
              <w:bidi w:val="0"/>
              <w:rPr>
                <w:rFonts w:hint="default" w:ascii="Times New Roman" w:hAnsi="Times New Roman" w:cs="Times New Roman"/>
                <w:color w:val="auto"/>
              </w:rPr>
            </w:pPr>
            <w:r>
              <w:rPr>
                <w:rFonts w:hint="default" w:ascii="Times New Roman" w:hAnsi="Times New Roman" w:cs="Times New Roman"/>
                <w:color w:val="auto"/>
              </w:rPr>
              <w:t>本项目与《医疗废物管理条例》符合性分析见下表。</w:t>
            </w:r>
          </w:p>
          <w:p w14:paraId="0983A163">
            <w:pPr>
              <w:pStyle w:val="22"/>
              <w:bidi w:val="0"/>
              <w:ind w:left="0" w:leftChars="0" w:firstLine="0" w:firstLineChars="0"/>
              <w:jc w:val="center"/>
              <w:rPr>
                <w:rFonts w:hint="default" w:ascii="Times New Roman" w:hAnsi="Times New Roman" w:cs="Times New Roman"/>
                <w:color w:val="auto"/>
              </w:rPr>
            </w:pPr>
            <w:r>
              <w:rPr>
                <w:rFonts w:hint="default" w:ascii="Times New Roman" w:hAnsi="Times New Roman" w:cs="Times New Roman"/>
                <w:color w:val="auto"/>
                <w:lang w:eastAsia="zh-CN"/>
              </w:rPr>
              <w:t>表</w:t>
            </w:r>
            <w:r>
              <w:rPr>
                <w:rFonts w:hint="default" w:ascii="Times New Roman" w:hAnsi="Times New Roman" w:cs="Times New Roman"/>
                <w:color w:val="auto"/>
                <w:lang w:val="en-US" w:eastAsia="zh-CN"/>
              </w:rPr>
              <w:t xml:space="preserve">1-5    </w:t>
            </w:r>
            <w:r>
              <w:rPr>
                <w:rFonts w:hint="default" w:ascii="Times New Roman" w:hAnsi="Times New Roman" w:cs="Times New Roman"/>
                <w:color w:val="auto"/>
                <w:lang w:eastAsia="zh-CN"/>
              </w:rPr>
              <w:t>与《</w:t>
            </w:r>
            <w:r>
              <w:rPr>
                <w:rFonts w:hint="default" w:ascii="Times New Roman" w:hAnsi="Times New Roman" w:cs="Times New Roman"/>
                <w:color w:val="auto"/>
                <w:lang w:val="en-US" w:eastAsia="zh-CN"/>
              </w:rPr>
              <w:t>医疗废物管理条例</w:t>
            </w:r>
            <w:r>
              <w:rPr>
                <w:rFonts w:hint="default" w:ascii="Times New Roman" w:hAnsi="Times New Roman" w:cs="Times New Roman"/>
                <w:color w:val="auto"/>
                <w:lang w:eastAsia="zh-CN"/>
              </w:rPr>
              <w:t>》符合性分析一览表</w:t>
            </w:r>
          </w:p>
          <w:tbl>
            <w:tblPr>
              <w:tblStyle w:val="15"/>
              <w:tblW w:w="6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1"/>
              <w:gridCol w:w="2500"/>
              <w:gridCol w:w="683"/>
            </w:tblGrid>
            <w:tr w14:paraId="2006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1" w:type="dxa"/>
                  <w:noWrap w:val="0"/>
                  <w:vAlign w:val="center"/>
                </w:tcPr>
                <w:p w14:paraId="79A88F87">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管理条例内容</w:t>
                  </w:r>
                </w:p>
              </w:tc>
              <w:tc>
                <w:tcPr>
                  <w:tcW w:w="2500" w:type="dxa"/>
                  <w:noWrap w:val="0"/>
                  <w:vAlign w:val="center"/>
                </w:tcPr>
                <w:p w14:paraId="253249A3">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w:t>
                  </w:r>
                </w:p>
              </w:tc>
              <w:tc>
                <w:tcPr>
                  <w:tcW w:w="683" w:type="dxa"/>
                  <w:noWrap w:val="0"/>
                  <w:vAlign w:val="center"/>
                </w:tcPr>
                <w:p w14:paraId="13976894">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符合性</w:t>
                  </w:r>
                </w:p>
              </w:tc>
            </w:tr>
            <w:tr w14:paraId="4C4B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1" w:type="dxa"/>
                  <w:noWrap w:val="0"/>
                  <w:vAlign w:val="center"/>
                </w:tcPr>
                <w:p w14:paraId="50C678DA">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应当及时收集本单位产生的医疗废物，并按照类别分置于防渗漏、防锐器穿透的专用包装物或者密闭的容器内。医疗废物专用包装物、容器，应当有明显的警示标识和警示说明。医疗废物专用包装物、容器的标准和警示标识的规定，由国务院卫生行政主管部门和环境保护行政主管部门共同制定。</w:t>
                  </w:r>
                </w:p>
              </w:tc>
              <w:tc>
                <w:tcPr>
                  <w:tcW w:w="2500" w:type="dxa"/>
                  <w:noWrap w:val="0"/>
                  <w:vAlign w:val="center"/>
                </w:tcPr>
                <w:p w14:paraId="1341AFD6">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本项目产生的医疗废物分类暂存于</w:t>
                  </w:r>
                  <w:r>
                    <w:rPr>
                      <w:rFonts w:hint="eastAsia" w:cs="Times New Roman"/>
                      <w:color w:val="auto"/>
                      <w:lang w:eastAsia="zh-CN"/>
                    </w:rPr>
                    <w:t>危险废物贮存间</w:t>
                  </w:r>
                  <w:r>
                    <w:rPr>
                      <w:rFonts w:hint="default" w:ascii="Times New Roman" w:hAnsi="Times New Roman" w:cs="Times New Roman"/>
                      <w:color w:val="auto"/>
                    </w:rPr>
                    <w:t>，并加贴危险标志，委托有资质的单位定期处置</w:t>
                  </w:r>
                  <w:r>
                    <w:rPr>
                      <w:rFonts w:hint="default" w:ascii="Times New Roman" w:hAnsi="Times New Roman" w:cs="Times New Roman"/>
                      <w:color w:val="auto"/>
                      <w:lang w:eastAsia="zh-CN"/>
                    </w:rPr>
                    <w:t>。</w:t>
                  </w:r>
                </w:p>
              </w:tc>
              <w:tc>
                <w:tcPr>
                  <w:tcW w:w="683" w:type="dxa"/>
                  <w:noWrap w:val="0"/>
                  <w:vAlign w:val="center"/>
                </w:tcPr>
                <w:p w14:paraId="709002C9">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0016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3" w:hRule="atLeast"/>
              </w:trPr>
              <w:tc>
                <w:tcPr>
                  <w:tcW w:w="3401" w:type="dxa"/>
                  <w:noWrap w:val="0"/>
                  <w:vAlign w:val="center"/>
                </w:tcPr>
                <w:p w14:paraId="33651E6B">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应当建立医疗废物的暂时贮存设施、设备，不得露天存放医疗废物；医疗废物暂时贮存的时间不得超过2天；医疗废物的暂时贮存设施、设备，应当远离医疗区、食品加工区和人员活动区以及生活垃圾存放场所，并设置明显的 警示标识和防渗漏、防鼠、 防蚊蝇、防蟑螂、防盗以及预防儿童接触等安全措施； 医疗废物的暂时贮存设施、 设备应当定期消毒和清洁；</w:t>
                  </w:r>
                </w:p>
              </w:tc>
              <w:tc>
                <w:tcPr>
                  <w:tcW w:w="2500" w:type="dxa"/>
                  <w:noWrap w:val="0"/>
                  <w:vAlign w:val="center"/>
                </w:tcPr>
                <w:p w14:paraId="0C733CA7">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本项目设有专门的</w:t>
                  </w:r>
                  <w:r>
                    <w:rPr>
                      <w:rFonts w:hint="eastAsia" w:cs="Times New Roman"/>
                      <w:color w:val="auto"/>
                      <w:lang w:eastAsia="zh-CN"/>
                    </w:rPr>
                    <w:t>危险废物贮存间</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占地</w:t>
                  </w:r>
                  <w:r>
                    <w:rPr>
                      <w:rFonts w:hint="default" w:ascii="Times New Roman" w:hAnsi="Times New Roman" w:cs="Times New Roman"/>
                      <w:color w:val="auto"/>
                      <w:lang w:eastAsia="zh-CN"/>
                    </w:rPr>
                    <w:t>面积</w:t>
                  </w:r>
                  <w:r>
                    <w:rPr>
                      <w:rFonts w:hint="eastAsia" w:cs="Times New Roman"/>
                      <w:color w:val="auto"/>
                      <w:lang w:val="en-US" w:eastAsia="zh-CN"/>
                    </w:rPr>
                    <w:t>2</w:t>
                  </w:r>
                  <w:r>
                    <w:rPr>
                      <w:rFonts w:hint="default" w:ascii="Times New Roman" w:hAnsi="Times New Roman" w:cs="Times New Roman"/>
                      <w:color w:val="auto"/>
                      <w:lang w:eastAsia="zh-CN"/>
                    </w:rPr>
                    <w:t>平方米，医疗废物暂存于带盖封闭的桶内，桶上贴上标签，详细标明危险废物的名称、质量、成份、特性；</w:t>
                  </w:r>
                  <w:r>
                    <w:rPr>
                      <w:rFonts w:hint="eastAsia" w:cs="Times New Roman"/>
                      <w:color w:val="auto"/>
                      <w:lang w:eastAsia="zh-CN"/>
                    </w:rPr>
                    <w:t>贮存间</w:t>
                  </w:r>
                  <w:r>
                    <w:rPr>
                      <w:rFonts w:hint="default" w:ascii="Times New Roman" w:hAnsi="Times New Roman" w:cs="Times New Roman"/>
                      <w:color w:val="auto"/>
                      <w:lang w:eastAsia="zh-CN"/>
                    </w:rPr>
                    <w:t>内设置危废识别标志，建立危险废物管理台账。与医疗区、食品加工区及人员活动区、生活垃圾存放区保持距离。</w:t>
                  </w:r>
                </w:p>
              </w:tc>
              <w:tc>
                <w:tcPr>
                  <w:tcW w:w="683" w:type="dxa"/>
                  <w:noWrap w:val="0"/>
                  <w:vAlign w:val="center"/>
                </w:tcPr>
                <w:p w14:paraId="5128C7EA">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314E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3401" w:type="dxa"/>
                  <w:noWrap w:val="0"/>
                  <w:vAlign w:val="center"/>
                </w:tcPr>
                <w:p w14:paraId="1D937AA6">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医疗卫生机构应当使用</w:t>
                  </w:r>
                  <w:r>
                    <w:rPr>
                      <w:rFonts w:hint="default" w:ascii="Times New Roman" w:hAnsi="Times New Roman" w:cs="Times New Roman"/>
                      <w:color w:val="auto"/>
                      <w:lang w:val="en-US" w:eastAsia="zh-CN"/>
                    </w:rPr>
                    <w:t>防渗</w:t>
                  </w:r>
                  <w:r>
                    <w:rPr>
                      <w:rFonts w:hint="default" w:ascii="Times New Roman" w:hAnsi="Times New Roman" w:cs="Times New Roman"/>
                      <w:color w:val="auto"/>
                    </w:rPr>
                    <w:t>漏、防遗撒的专用运送工具，按照本单位确定的内部医疗废物运送时间、路线，将医疗废物收集、运送至暂时贮存地点；运送工具使用后应当在医疗卫生机构内指定的地点及时消毒和清洁。</w:t>
                  </w:r>
                </w:p>
              </w:tc>
              <w:tc>
                <w:tcPr>
                  <w:tcW w:w="2500" w:type="dxa"/>
                  <w:noWrap w:val="0"/>
                  <w:vAlign w:val="center"/>
                </w:tcPr>
                <w:p w14:paraId="42408A59">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本项目产生的医疗废物分类暂存于</w:t>
                  </w:r>
                  <w:r>
                    <w:rPr>
                      <w:rFonts w:hint="eastAsia" w:cs="Times New Roman"/>
                      <w:color w:val="auto"/>
                      <w:lang w:eastAsia="zh-CN"/>
                    </w:rPr>
                    <w:t>危险废物贮存间</w:t>
                  </w:r>
                  <w:r>
                    <w:rPr>
                      <w:rFonts w:hint="default" w:ascii="Times New Roman" w:hAnsi="Times New Roman" w:cs="Times New Roman"/>
                      <w:color w:val="auto"/>
                    </w:rPr>
                    <w:t>，并加贴危险标志，委托有资质的单位定期处置。</w:t>
                  </w:r>
                </w:p>
              </w:tc>
              <w:tc>
                <w:tcPr>
                  <w:tcW w:w="683" w:type="dxa"/>
                  <w:noWrap w:val="0"/>
                  <w:vAlign w:val="center"/>
                </w:tcPr>
                <w:p w14:paraId="2E3C604F">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4519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1" w:type="dxa"/>
                  <w:noWrap w:val="0"/>
                  <w:vAlign w:val="center"/>
                </w:tcPr>
                <w:p w14:paraId="2C43A3AB">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医疗卫生机构应当根据就近集中处置的原则，及时将医疗废物交由医疗废物集中处置单位处置。医疗废物中病原体的培养基、标本和菌种、毒种保存液等高危险废物，</w:t>
                  </w:r>
                  <w:r>
                    <w:rPr>
                      <w:rFonts w:hint="default" w:ascii="Times New Roman" w:hAnsi="Times New Roman" w:cs="Times New Roman"/>
                      <w:color w:val="auto"/>
                      <w:lang w:eastAsia="zh-CN"/>
                    </w:rPr>
                    <w:t>在</w:t>
                  </w:r>
                  <w:r>
                    <w:rPr>
                      <w:rFonts w:hint="default" w:ascii="Times New Roman" w:hAnsi="Times New Roman" w:cs="Times New Roman"/>
                      <w:color w:val="auto"/>
                    </w:rPr>
                    <w:t>医疗废物集中处置单位处置前应当就地消毒。</w:t>
                  </w:r>
                </w:p>
              </w:tc>
              <w:tc>
                <w:tcPr>
                  <w:tcW w:w="2500" w:type="dxa"/>
                  <w:noWrap w:val="0"/>
                  <w:vAlign w:val="center"/>
                </w:tcPr>
                <w:p w14:paraId="659B5C81">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本项目医疗废物交由医疗废物集中处置单位处理；宠物医院内</w:t>
                  </w:r>
                  <w:r>
                    <w:rPr>
                      <w:rFonts w:hint="eastAsia" w:cs="Times New Roman"/>
                      <w:color w:val="auto"/>
                      <w:lang w:eastAsia="zh-CN"/>
                    </w:rPr>
                    <w:t>危险废物贮存间</w:t>
                  </w:r>
                  <w:r>
                    <w:rPr>
                      <w:rFonts w:hint="default" w:ascii="Times New Roman" w:hAnsi="Times New Roman" w:cs="Times New Roman"/>
                      <w:color w:val="auto"/>
                    </w:rPr>
                    <w:t>使用紫外灯进行日常杀菌消毒，废紫外线灯管</w:t>
                  </w:r>
                  <w:r>
                    <w:rPr>
                      <w:rFonts w:hint="default" w:ascii="Times New Roman" w:hAnsi="Times New Roman" w:cs="Times New Roman"/>
                      <w:color w:val="auto"/>
                      <w:lang w:val="en-US" w:eastAsia="zh-CN"/>
                    </w:rPr>
                    <w:t>和医疗废物</w:t>
                  </w:r>
                  <w:r>
                    <w:rPr>
                      <w:rFonts w:hint="default" w:ascii="Times New Roman" w:hAnsi="Times New Roman" w:cs="Times New Roman"/>
                      <w:color w:val="auto"/>
                    </w:rPr>
                    <w:t>暂存于</w:t>
                  </w:r>
                  <w:r>
                    <w:rPr>
                      <w:rFonts w:hint="eastAsia" w:cs="Times New Roman"/>
                      <w:color w:val="auto"/>
                      <w:lang w:eastAsia="zh-CN"/>
                    </w:rPr>
                    <w:t>危险废物贮存间</w:t>
                  </w:r>
                  <w:r>
                    <w:rPr>
                      <w:rFonts w:hint="default" w:ascii="Times New Roman" w:hAnsi="Times New Roman" w:cs="Times New Roman"/>
                      <w:color w:val="auto"/>
                    </w:rPr>
                    <w:t>内</w:t>
                  </w:r>
                  <w:r>
                    <w:rPr>
                      <w:rFonts w:hint="default" w:ascii="Times New Roman" w:hAnsi="Times New Roman" w:cs="Times New Roman"/>
                      <w:color w:val="auto"/>
                      <w:lang w:val="en-US" w:eastAsia="zh-CN"/>
                    </w:rPr>
                    <w:t>分区贮存</w:t>
                  </w:r>
                  <w:r>
                    <w:rPr>
                      <w:rFonts w:hint="default" w:ascii="Times New Roman" w:hAnsi="Times New Roman" w:cs="Times New Roman"/>
                      <w:color w:val="auto"/>
                    </w:rPr>
                    <w:t>，委托有资质的单位定期处置。</w:t>
                  </w:r>
                </w:p>
              </w:tc>
              <w:tc>
                <w:tcPr>
                  <w:tcW w:w="683" w:type="dxa"/>
                  <w:noWrap w:val="0"/>
                  <w:vAlign w:val="center"/>
                </w:tcPr>
                <w:p w14:paraId="76A887AA">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3AD9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1" w:type="dxa"/>
                  <w:noWrap w:val="0"/>
                  <w:vAlign w:val="center"/>
                </w:tcPr>
                <w:p w14:paraId="03633637">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医疗卫生机构产生的污水、传染病病人或者疑似传染病病人的排泄物，应当按照国家规定严格消毒；达到国家规定的排放标准后，方可排入污水处理系统。</w:t>
                  </w:r>
                </w:p>
              </w:tc>
              <w:tc>
                <w:tcPr>
                  <w:tcW w:w="2500" w:type="dxa"/>
                  <w:noWrap w:val="0"/>
                  <w:vAlign w:val="center"/>
                </w:tcPr>
                <w:p w14:paraId="2ECCB53C">
                  <w:pPr>
                    <w:pStyle w:val="28"/>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本项目医疗废水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w:t>
                  </w:r>
                  <w:r>
                    <w:rPr>
                      <w:rFonts w:hint="default" w:ascii="Times New Roman" w:hAnsi="Times New Roman" w:cs="Times New Roman"/>
                      <w:color w:val="auto"/>
                    </w:rPr>
                    <w:t>收集后经</w:t>
                  </w:r>
                  <w:r>
                    <w:rPr>
                      <w:rFonts w:hint="eastAsia" w:cs="Times New Roman"/>
                      <w:color w:val="auto"/>
                      <w:lang w:eastAsia="zh-CN"/>
                    </w:rPr>
                    <w:t>一体化污水处理设施（“过滤+氯片消毒”）处理</w:t>
                  </w:r>
                  <w:r>
                    <w:rPr>
                      <w:rFonts w:hint="default" w:ascii="Times New Roman" w:hAnsi="Times New Roman" w:cs="Times New Roman"/>
                      <w:color w:val="auto"/>
                    </w:rPr>
                    <w:t>后与生活污水一起排入市政下水管网。</w:t>
                  </w:r>
                </w:p>
              </w:tc>
              <w:tc>
                <w:tcPr>
                  <w:tcW w:w="683" w:type="dxa"/>
                  <w:noWrap w:val="0"/>
                  <w:vAlign w:val="center"/>
                </w:tcPr>
                <w:p w14:paraId="0764B65F">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bl>
          <w:p w14:paraId="3830DA89">
            <w:pPr>
              <w:pStyle w:val="3"/>
              <w:bidi w:val="0"/>
              <w:rPr>
                <w:rFonts w:hint="default" w:ascii="Times New Roman" w:hAnsi="Times New Roman" w:cs="Times New Roman"/>
                <w:color w:val="auto"/>
                <w:lang w:val="en-US" w:eastAsia="zh-CN"/>
              </w:rPr>
            </w:pPr>
            <w:r>
              <w:rPr>
                <w:rFonts w:hint="eastAsia" w:ascii="Times New Roman" w:hAnsi="Times New Roman" w:cs="Times New Roman"/>
                <w:color w:val="auto"/>
                <w:vertAlign w:val="baseline"/>
                <w:lang w:val="en-US" w:eastAsia="zh-CN"/>
              </w:rPr>
              <w:t>6、</w:t>
            </w:r>
            <w:r>
              <w:rPr>
                <w:rFonts w:hint="default" w:ascii="Times New Roman" w:hAnsi="Times New Roman" w:cs="Times New Roman"/>
                <w:color w:val="auto"/>
                <w:vertAlign w:val="baseline"/>
                <w:lang w:val="en-US" w:eastAsia="zh-CN"/>
              </w:rPr>
              <w:t>与《国务院关于印发</w:t>
            </w:r>
            <w:r>
              <w:rPr>
                <w:rFonts w:hint="eastAsia" w:cs="Times New Roman"/>
                <w:color w:val="auto"/>
                <w:vertAlign w:val="baseline"/>
                <w:lang w:val="en-US" w:eastAsia="zh-CN"/>
              </w:rPr>
              <w:t>〈</w:t>
            </w:r>
            <w:r>
              <w:rPr>
                <w:rFonts w:hint="default" w:ascii="Times New Roman" w:hAnsi="Times New Roman" w:cs="Times New Roman"/>
                <w:color w:val="auto"/>
                <w:vertAlign w:val="baseline"/>
                <w:lang w:val="en-US" w:eastAsia="zh-CN"/>
              </w:rPr>
              <w:t>空气质量持续改善行动计划&gt;的通知》（国发〔2023〕24号）相符性分析</w:t>
            </w:r>
          </w:p>
          <w:p w14:paraId="4216D298">
            <w:pPr>
              <w:autoSpaceDE w:val="0"/>
              <w:autoSpaceDN w:val="0"/>
              <w:adjustRightInd w:val="0"/>
              <w:snapToGrid w:val="0"/>
              <w:spacing w:line="460" w:lineRule="exact"/>
              <w:ind w:firstLine="480"/>
              <w:rPr>
                <w:rFonts w:hint="default" w:ascii="Times New Roman" w:hAnsi="Times New Roman" w:eastAsia="宋体" w:cs="Times New Roman"/>
                <w:color w:val="auto"/>
                <w:spacing w:val="6"/>
                <w:sz w:val="24"/>
                <w:szCs w:val="24"/>
                <w:highlight w:val="none"/>
                <w:lang w:val="en-US" w:eastAsia="zh-CN"/>
              </w:rPr>
            </w:pPr>
            <w:r>
              <w:rPr>
                <w:rFonts w:hint="default" w:ascii="Times New Roman" w:hAnsi="Times New Roman" w:cs="Times New Roman"/>
                <w:color w:val="auto"/>
                <w:vertAlign w:val="baseline"/>
                <w:lang w:val="en-US" w:eastAsia="zh-CN"/>
              </w:rPr>
              <w:t>《国务院关于印发</w:t>
            </w:r>
            <w:r>
              <w:rPr>
                <w:rFonts w:hint="eastAsia" w:cs="Times New Roman"/>
                <w:color w:val="auto"/>
                <w:vertAlign w:val="baseline"/>
                <w:lang w:val="en-US" w:eastAsia="zh-CN"/>
              </w:rPr>
              <w:t>〈</w:t>
            </w:r>
            <w:r>
              <w:rPr>
                <w:rFonts w:hint="default" w:ascii="Times New Roman" w:hAnsi="Times New Roman" w:cs="Times New Roman"/>
                <w:color w:val="auto"/>
                <w:vertAlign w:val="baseline"/>
                <w:lang w:val="en-US" w:eastAsia="zh-CN"/>
              </w:rPr>
              <w:t>空气质量持续改善行动计划</w:t>
            </w:r>
            <w:r>
              <w:rPr>
                <w:rFonts w:hint="eastAsia" w:cs="Times New Roman"/>
                <w:color w:val="auto"/>
                <w:vertAlign w:val="baseline"/>
                <w:lang w:val="en-US" w:eastAsia="zh-CN"/>
              </w:rPr>
              <w:t>&gt;的通知》</w:t>
            </w:r>
            <w:r>
              <w:rPr>
                <w:rFonts w:hint="default" w:ascii="Times New Roman" w:hAnsi="Times New Roman" w:cs="Times New Roman"/>
                <w:color w:val="auto"/>
                <w:vertAlign w:val="baseline"/>
                <w:lang w:val="en-US" w:eastAsia="zh-CN"/>
              </w:rPr>
              <w:t>提出</w:t>
            </w:r>
            <w:r>
              <w:rPr>
                <w:rFonts w:hint="default" w:ascii="Times New Roman" w:hAnsi="Times New Roman" w:cs="Times New Roman"/>
                <w:color w:val="auto"/>
                <w:spacing w:val="6"/>
                <w:sz w:val="24"/>
                <w:szCs w:val="24"/>
                <w:highlight w:val="none"/>
                <w:lang w:val="en-US" w:eastAsia="zh-CN"/>
              </w:rPr>
              <w:t>“</w:t>
            </w:r>
            <w:r>
              <w:rPr>
                <w:rFonts w:hint="default" w:ascii="Times New Roman" w:hAnsi="Times New Roman" w:eastAsia="宋体" w:cs="Times New Roman"/>
                <w:color w:val="auto"/>
                <w:spacing w:val="6"/>
                <w:sz w:val="24"/>
                <w:szCs w:val="24"/>
                <w:highlight w:val="none"/>
                <w:lang w:val="en-US" w:eastAsia="zh-CN"/>
              </w:rPr>
              <w:t>加强环境空气质量信息公开力度。将排污单位和第三方治理、运维、检测机构弄虚作假行为纳入信用记录，定期依法向社会公布。重点排污单位及时公布自行监测和污染排放数据、污染治理措施、环保违法处罚及整改等信息。机动车和非道路移动机械生产、进口企业依法公开排放检验、污染控制技术等环保信息。</w:t>
            </w:r>
            <w:r>
              <w:rPr>
                <w:rFonts w:hint="default" w:ascii="Times New Roman" w:hAnsi="Times New Roman" w:cs="Times New Roman"/>
                <w:color w:val="auto"/>
                <w:spacing w:val="6"/>
                <w:sz w:val="24"/>
                <w:szCs w:val="24"/>
                <w:highlight w:val="none"/>
                <w:lang w:val="en-US" w:eastAsia="zh-CN"/>
              </w:rPr>
              <w:t>”</w:t>
            </w:r>
          </w:p>
          <w:p w14:paraId="409D5DA4">
            <w:pPr>
              <w:pStyle w:val="29"/>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auto"/>
                <w:spacing w:val="6"/>
                <w:sz w:val="24"/>
                <w:szCs w:val="24"/>
                <w:highlight w:val="none"/>
                <w:lang w:val="en-US" w:eastAsia="zh-CN"/>
              </w:rPr>
            </w:pPr>
            <w:r>
              <w:rPr>
                <w:rFonts w:hint="default" w:ascii="Times New Roman" w:hAnsi="Times New Roman" w:cs="Times New Roman"/>
                <w:color w:val="auto"/>
              </w:rPr>
              <w:t>本项目医疗废物交由医疗废物集中处置单位处理；宠物医院内</w:t>
            </w:r>
            <w:r>
              <w:rPr>
                <w:rFonts w:hint="eastAsia" w:cs="Times New Roman"/>
                <w:color w:val="auto"/>
                <w:lang w:eastAsia="zh-CN"/>
              </w:rPr>
              <w:t>危险废物贮存间</w:t>
            </w:r>
            <w:r>
              <w:rPr>
                <w:rFonts w:hint="default" w:ascii="Times New Roman" w:hAnsi="Times New Roman" w:cs="Times New Roman"/>
                <w:color w:val="auto"/>
              </w:rPr>
              <w:t>使用紫外灯进行日常杀菌消毒，废紫外线灯管</w:t>
            </w:r>
            <w:r>
              <w:rPr>
                <w:rFonts w:hint="default" w:ascii="Times New Roman" w:hAnsi="Times New Roman" w:cs="Times New Roman"/>
                <w:color w:val="auto"/>
                <w:lang w:val="en-US" w:eastAsia="zh-CN"/>
              </w:rPr>
              <w:t>和医疗废物</w:t>
            </w:r>
            <w:r>
              <w:rPr>
                <w:rFonts w:hint="default" w:ascii="Times New Roman" w:hAnsi="Times New Roman" w:cs="Times New Roman"/>
                <w:color w:val="auto"/>
              </w:rPr>
              <w:t>暂存于</w:t>
            </w:r>
            <w:r>
              <w:rPr>
                <w:rFonts w:hint="eastAsia" w:cs="Times New Roman"/>
                <w:color w:val="auto"/>
                <w:lang w:eastAsia="zh-CN"/>
              </w:rPr>
              <w:t>危险废物贮存间</w:t>
            </w:r>
            <w:r>
              <w:rPr>
                <w:rFonts w:hint="default" w:ascii="Times New Roman" w:hAnsi="Times New Roman" w:cs="Times New Roman"/>
                <w:color w:val="auto"/>
              </w:rPr>
              <w:t>内</w:t>
            </w:r>
            <w:r>
              <w:rPr>
                <w:rFonts w:hint="default" w:ascii="Times New Roman" w:hAnsi="Times New Roman" w:cs="Times New Roman"/>
                <w:color w:val="auto"/>
                <w:lang w:val="en-US" w:eastAsia="zh-CN"/>
              </w:rPr>
              <w:t>分区贮存</w:t>
            </w:r>
            <w:r>
              <w:rPr>
                <w:rFonts w:hint="default" w:ascii="Times New Roman" w:hAnsi="Times New Roman" w:cs="Times New Roman"/>
                <w:color w:val="auto"/>
              </w:rPr>
              <w:t>，委托有资质的单位定期处置。本项目医疗废水</w:t>
            </w:r>
            <w:r>
              <w:rPr>
                <w:rFonts w:hint="eastAsia" w:cs="Times New Roman"/>
                <w:color w:val="auto"/>
                <w:lang w:val="en-US" w:eastAsia="zh-CN"/>
              </w:rPr>
              <w:t>及</w:t>
            </w:r>
            <w:r>
              <w:rPr>
                <w:rFonts w:hint="eastAsia" w:cs="Times New Roman"/>
                <w:color w:val="auto"/>
                <w:highlight w:val="none"/>
                <w:lang w:val="en-US" w:eastAsia="zh-CN"/>
              </w:rPr>
              <w:t>清洗消毒废水</w:t>
            </w:r>
            <w:r>
              <w:rPr>
                <w:rFonts w:hint="default" w:ascii="Times New Roman" w:hAnsi="Times New Roman" w:cs="Times New Roman"/>
                <w:color w:val="auto"/>
              </w:rPr>
              <w:t>收集后</w:t>
            </w:r>
            <w:r>
              <w:rPr>
                <w:rFonts w:hint="eastAsia" w:cs="Times New Roman"/>
                <w:color w:val="auto"/>
                <w:lang w:eastAsia="zh-CN"/>
              </w:rPr>
              <w:t>，经一体化污水处理设施“过滤+氯片消毒”处理</w:t>
            </w:r>
            <w:r>
              <w:rPr>
                <w:rFonts w:hint="default" w:ascii="Times New Roman" w:hAnsi="Times New Roman" w:cs="Times New Roman"/>
                <w:color w:val="auto"/>
              </w:rPr>
              <w:t>后</w:t>
            </w:r>
            <w:r>
              <w:rPr>
                <w:rFonts w:hint="eastAsia" w:cs="Times New Roman"/>
                <w:color w:val="auto"/>
                <w:lang w:eastAsia="zh-CN"/>
              </w:rPr>
              <w:t>，与</w:t>
            </w:r>
            <w:r>
              <w:rPr>
                <w:rFonts w:hint="default" w:ascii="Times New Roman" w:hAnsi="Times New Roman" w:cs="Times New Roman"/>
                <w:color w:val="auto"/>
              </w:rPr>
              <w:t>生活污水一起排入市政下水管网。</w:t>
            </w:r>
            <w:r>
              <w:rPr>
                <w:rFonts w:hint="default" w:ascii="Times New Roman" w:hAnsi="Times New Roman" w:cs="Times New Roman"/>
                <w:color w:val="auto"/>
                <w:lang w:val="en-US" w:eastAsia="zh-CN"/>
              </w:rPr>
              <w:t>本项目非</w:t>
            </w:r>
            <w:r>
              <w:rPr>
                <w:rFonts w:hint="default" w:ascii="Times New Roman" w:hAnsi="Times New Roman" w:eastAsia="宋体" w:cs="Times New Roman"/>
                <w:color w:val="auto"/>
                <w:spacing w:val="6"/>
                <w:sz w:val="24"/>
                <w:szCs w:val="24"/>
                <w:highlight w:val="none"/>
                <w:lang w:val="en-US" w:eastAsia="zh-CN"/>
              </w:rPr>
              <w:t>重点排污单位</w:t>
            </w:r>
            <w:r>
              <w:rPr>
                <w:rFonts w:hint="default" w:ascii="Times New Roman" w:hAnsi="Times New Roman" w:cs="Times New Roman"/>
                <w:color w:val="auto"/>
                <w:spacing w:val="6"/>
                <w:sz w:val="24"/>
                <w:szCs w:val="24"/>
                <w:highlight w:val="none"/>
                <w:lang w:val="en-US" w:eastAsia="zh-CN"/>
              </w:rPr>
              <w:t>，但本项目承诺积极配合环保检查，坚决不弄虚作假，合理合法处置各项污染源。</w:t>
            </w:r>
          </w:p>
          <w:p w14:paraId="76022501">
            <w:pPr>
              <w:pStyle w:val="3"/>
              <w:bidi w:val="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7</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与</w:t>
            </w:r>
            <w:r>
              <w:rPr>
                <w:rFonts w:hint="default" w:ascii="Times New Roman" w:hAnsi="Times New Roman" w:cs="Times New Roman"/>
                <w:color w:val="auto"/>
                <w:lang w:eastAsia="zh-CN"/>
              </w:rPr>
              <w:t>《关于深入打好污染防治攻坚战的实施方案》</w:t>
            </w:r>
            <w:r>
              <w:rPr>
                <w:rFonts w:hint="default" w:ascii="Times New Roman" w:hAnsi="Times New Roman" w:cs="Times New Roman"/>
                <w:color w:val="auto"/>
                <w:lang w:val="en-US" w:eastAsia="zh-CN"/>
              </w:rPr>
              <w:t>相符性分析</w:t>
            </w:r>
          </w:p>
          <w:p w14:paraId="5960EBD4">
            <w:pPr>
              <w:autoSpaceDE w:val="0"/>
              <w:autoSpaceDN w:val="0"/>
              <w:adjustRightInd w:val="0"/>
              <w:snapToGrid w:val="0"/>
              <w:spacing w:line="460" w:lineRule="exact"/>
              <w:ind w:firstLine="480"/>
              <w:rPr>
                <w:rFonts w:hint="default" w:ascii="Times New Roman" w:hAnsi="Times New Roman" w:cs="Times New Roman"/>
                <w:color w:val="auto"/>
                <w:spacing w:val="6"/>
                <w:sz w:val="24"/>
                <w:szCs w:val="24"/>
                <w:highlight w:val="none"/>
                <w:lang w:val="en-US" w:eastAsia="zh-CN"/>
              </w:rPr>
            </w:pPr>
            <w:r>
              <w:rPr>
                <w:rFonts w:hint="default" w:ascii="Times New Roman" w:hAnsi="Times New Roman" w:cs="Times New Roman"/>
                <w:color w:val="auto"/>
                <w:spacing w:val="6"/>
                <w:sz w:val="24"/>
                <w:szCs w:val="24"/>
                <w:highlight w:val="none"/>
                <w:lang w:val="en-US" w:eastAsia="zh-CN"/>
              </w:rPr>
              <w:t>《关于深入打好污染防治攻坚战的实施方案》提出“加强生态环境分区管控。贯彻落实《新疆维吾尔自治区国土空间规划（2021—2035年）》《新疆维吾尔自治区“三线一单”生态环境分区管控方案</w:t>
            </w:r>
            <w:r>
              <w:rPr>
                <w:rFonts w:hint="eastAsia" w:cs="Times New Roman"/>
                <w:color w:val="auto"/>
                <w:spacing w:val="6"/>
                <w:sz w:val="24"/>
                <w:szCs w:val="24"/>
                <w:highlight w:val="none"/>
                <w:lang w:val="en-US" w:eastAsia="zh-CN"/>
              </w:rPr>
              <w:t>》等</w:t>
            </w:r>
            <w:r>
              <w:rPr>
                <w:rFonts w:hint="default" w:ascii="Times New Roman" w:hAnsi="Times New Roman" w:cs="Times New Roman"/>
                <w:color w:val="auto"/>
                <w:spacing w:val="6"/>
                <w:sz w:val="24"/>
                <w:szCs w:val="24"/>
                <w:highlight w:val="none"/>
                <w:lang w:val="en-US" w:eastAsia="zh-CN"/>
              </w:rPr>
              <w:t>相关要求，将生态保护红线、环境质量底线、资源利用上线的硬约束落实到环境管控单元。建立差别化的生态环境准入清单，加强“三线一单”成果在政策制定、环境准入、园区管理、监管执法等方面的应用。健全以环评制度为主体的源头预防体系，严格规划环评审查和项目环评准入，开展重大经济技术政策的生态环境影响分析和重大生态环境政策的社会经济影响评估。”“严密防控环境风险。开展涉危险废物涉重金属企业、化工园区等重点领域环境风险调查评估和隐患排查，严格落实重点行业、重点重金属污染物减排要求，加强重点行业重金属污染综合治理。推动疆内危险废物处置能力与产废情况总体匹配，推进兵地统筹，实现兵地间、区域间危险废物转移无缝衔接。”</w:t>
            </w:r>
          </w:p>
          <w:p w14:paraId="7992E809">
            <w:pPr>
              <w:autoSpaceDE w:val="0"/>
              <w:autoSpaceDN w:val="0"/>
              <w:adjustRightInd w:val="0"/>
              <w:snapToGrid w:val="0"/>
              <w:spacing w:line="460" w:lineRule="exact"/>
              <w:ind w:firstLine="480"/>
              <w:rPr>
                <w:rFonts w:hint="default" w:ascii="Times New Roman" w:hAnsi="Times New Roman" w:cs="Times New Roman"/>
                <w:color w:val="auto"/>
                <w:spacing w:val="6"/>
                <w:sz w:val="24"/>
                <w:szCs w:val="24"/>
                <w:highlight w:val="none"/>
                <w:lang w:val="en-US" w:eastAsia="zh-CN"/>
              </w:rPr>
            </w:pPr>
            <w:r>
              <w:rPr>
                <w:rFonts w:hint="default" w:ascii="Times New Roman" w:hAnsi="Times New Roman" w:cs="Times New Roman"/>
                <w:color w:val="auto"/>
                <w:spacing w:val="6"/>
                <w:sz w:val="24"/>
                <w:szCs w:val="24"/>
                <w:highlight w:val="none"/>
                <w:lang w:val="en-US" w:eastAsia="zh-CN"/>
              </w:rPr>
              <w:t>本项目已进行与</w:t>
            </w:r>
            <w:r>
              <w:rPr>
                <w:rFonts w:hint="default" w:ascii="Times New Roman" w:hAnsi="Times New Roman" w:cs="Times New Roman"/>
                <w:color w:val="auto"/>
                <w:lang w:eastAsia="zh-CN"/>
              </w:rPr>
              <w:t>《新疆维吾尔自治区生态环境分区管控动态更新成果》</w:t>
            </w:r>
            <w:r>
              <w:rPr>
                <w:rFonts w:hint="default" w:ascii="Times New Roman" w:hAnsi="Times New Roman" w:cs="Times New Roman"/>
                <w:color w:val="auto"/>
                <w:lang w:val="en-US" w:eastAsia="zh-CN"/>
              </w:rPr>
              <w:t>相符性分析，</w:t>
            </w:r>
            <w:r>
              <w:rPr>
                <w:rFonts w:hint="default" w:ascii="Times New Roman" w:hAnsi="Times New Roman" w:cs="Times New Roman"/>
                <w:color w:val="auto"/>
              </w:rPr>
              <w:t>本项目</w:t>
            </w:r>
            <w:r>
              <w:rPr>
                <w:rFonts w:hint="default" w:ascii="Times New Roman" w:hAnsi="Times New Roman" w:cs="Times New Roman"/>
                <w:color w:val="auto"/>
                <w:lang w:val="en-US" w:eastAsia="zh-CN"/>
              </w:rPr>
              <w:t>不属于重点行业，项目内</w:t>
            </w:r>
            <w:r>
              <w:rPr>
                <w:rFonts w:hint="default" w:ascii="Times New Roman" w:hAnsi="Times New Roman" w:cs="Times New Roman"/>
                <w:color w:val="auto"/>
              </w:rPr>
              <w:t>医疗废物交由医疗废物集中处置单位处理；宠物医院内</w:t>
            </w:r>
            <w:r>
              <w:rPr>
                <w:rFonts w:hint="eastAsia" w:cs="Times New Roman"/>
                <w:color w:val="auto"/>
                <w:lang w:eastAsia="zh-CN"/>
              </w:rPr>
              <w:t>危险废物贮存间</w:t>
            </w:r>
            <w:r>
              <w:rPr>
                <w:rFonts w:hint="default" w:ascii="Times New Roman" w:hAnsi="Times New Roman" w:cs="Times New Roman"/>
                <w:color w:val="auto"/>
              </w:rPr>
              <w:t>使用紫外灯进行日常杀菌消毒，废紫外线灯管</w:t>
            </w:r>
            <w:r>
              <w:rPr>
                <w:rFonts w:hint="default" w:ascii="Times New Roman" w:hAnsi="Times New Roman" w:cs="Times New Roman"/>
                <w:color w:val="auto"/>
                <w:lang w:val="en-US" w:eastAsia="zh-CN"/>
              </w:rPr>
              <w:t>和医疗废物</w:t>
            </w:r>
            <w:r>
              <w:rPr>
                <w:rFonts w:hint="default" w:ascii="Times New Roman" w:hAnsi="Times New Roman" w:cs="Times New Roman"/>
                <w:color w:val="auto"/>
              </w:rPr>
              <w:t>暂存于</w:t>
            </w:r>
            <w:r>
              <w:rPr>
                <w:rFonts w:hint="eastAsia" w:cs="Times New Roman"/>
                <w:color w:val="auto"/>
                <w:lang w:eastAsia="zh-CN"/>
              </w:rPr>
              <w:t>危险废物贮存间</w:t>
            </w:r>
            <w:r>
              <w:rPr>
                <w:rFonts w:hint="default" w:ascii="Times New Roman" w:hAnsi="Times New Roman" w:cs="Times New Roman"/>
                <w:color w:val="auto"/>
              </w:rPr>
              <w:t>内</w:t>
            </w:r>
            <w:r>
              <w:rPr>
                <w:rFonts w:hint="default" w:ascii="Times New Roman" w:hAnsi="Times New Roman" w:cs="Times New Roman"/>
                <w:color w:val="auto"/>
                <w:lang w:val="en-US" w:eastAsia="zh-CN"/>
              </w:rPr>
              <w:t>分区贮存</w:t>
            </w:r>
            <w:r>
              <w:rPr>
                <w:rFonts w:hint="default" w:ascii="Times New Roman" w:hAnsi="Times New Roman" w:cs="Times New Roman"/>
                <w:color w:val="auto"/>
              </w:rPr>
              <w:t>，委托有资质的单位定期处置。</w:t>
            </w:r>
          </w:p>
          <w:p w14:paraId="31501AF6">
            <w:pPr>
              <w:pStyle w:val="23"/>
              <w:ind w:left="0" w:leftChars="0" w:firstLine="0" w:firstLineChars="0"/>
              <w:rPr>
                <w:rFonts w:hint="default" w:ascii="Times New Roman" w:hAnsi="Times New Roman" w:eastAsia="宋体" w:cs="Times New Roman"/>
                <w:b w:val="0"/>
                <w:bCs w:val="0"/>
                <w:color w:val="auto"/>
                <w:sz w:val="24"/>
                <w:szCs w:val="24"/>
                <w:highlight w:val="none"/>
                <w:lang w:val="en-US" w:eastAsia="zh-CN"/>
              </w:rPr>
            </w:pPr>
          </w:p>
        </w:tc>
      </w:tr>
    </w:tbl>
    <w:p w14:paraId="1451DC00">
      <w:pPr>
        <w:rPr>
          <w:rFonts w:hint="default" w:ascii="Times New Roman" w:hAnsi="Times New Roman" w:cs="Times New Roman"/>
          <w:color w:val="auto"/>
          <w:sz w:val="21"/>
        </w:rPr>
      </w:pPr>
    </w:p>
    <w:p w14:paraId="6C0BCA5C">
      <w:pPr>
        <w:rPr>
          <w:rFonts w:hint="default" w:ascii="Times New Roman" w:hAnsi="Times New Roman" w:cs="Times New Roman"/>
          <w:color w:val="auto"/>
        </w:rPr>
        <w:sectPr>
          <w:footerReference r:id="rId6" w:type="default"/>
          <w:pgSz w:w="11906" w:h="16839"/>
          <w:pgMar w:top="1431" w:right="1508" w:bottom="1185" w:left="1508" w:header="0" w:footer="916" w:gutter="0"/>
          <w:pgBorders>
            <w:top w:val="none" w:sz="0" w:space="0"/>
            <w:left w:val="none" w:sz="0" w:space="0"/>
            <w:bottom w:val="none" w:sz="0" w:space="0"/>
            <w:right w:val="none" w:sz="0" w:space="0"/>
          </w:pgBorders>
          <w:pgNumType w:fmt="decimal" w:start="1"/>
          <w:cols w:space="720" w:num="1"/>
        </w:sectPr>
      </w:pPr>
    </w:p>
    <w:p w14:paraId="1B3B01E6">
      <w:pPr>
        <w:pStyle w:val="2"/>
        <w:bidi w:val="0"/>
        <w:rPr>
          <w:rFonts w:hint="default"/>
          <w:color w:val="auto"/>
        </w:rPr>
      </w:pPr>
      <w:r>
        <w:rPr>
          <w:rFonts w:hint="default"/>
          <w:color w:val="auto"/>
        </w:rPr>
        <w:t>二、建设项目工程分析</w:t>
      </w:r>
    </w:p>
    <w:tbl>
      <w:tblPr>
        <w:tblStyle w:val="27"/>
        <w:tblW w:w="905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5"/>
        <w:gridCol w:w="8406"/>
      </w:tblGrid>
      <w:tr w14:paraId="165C8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45" w:type="dxa"/>
            <w:tcBorders>
              <w:left w:val="single" w:color="000000" w:sz="6" w:space="0"/>
            </w:tcBorders>
            <w:vAlign w:val="center"/>
          </w:tcPr>
          <w:p w14:paraId="1578029E">
            <w:pPr>
              <w:bidi w:val="0"/>
              <w:jc w:val="center"/>
              <w:rPr>
                <w:rFonts w:hint="default"/>
                <w:color w:val="auto"/>
              </w:rPr>
            </w:pPr>
            <w:r>
              <w:rPr>
                <w:rFonts w:hint="default"/>
                <w:color w:val="auto"/>
              </w:rPr>
              <w:t>建设内容</w:t>
            </w:r>
          </w:p>
        </w:tc>
        <w:tc>
          <w:tcPr>
            <w:tcW w:w="8406" w:type="dxa"/>
            <w:tcBorders>
              <w:right w:val="single" w:color="000000" w:sz="6" w:space="0"/>
            </w:tcBorders>
            <w:vAlign w:val="center"/>
          </w:tcPr>
          <w:p w14:paraId="00A3BA09">
            <w:pPr>
              <w:pStyle w:val="3"/>
              <w:bidi w:val="0"/>
              <w:rPr>
                <w:rFonts w:hint="default"/>
                <w:color w:val="auto"/>
                <w:lang w:val="en-US" w:eastAsia="zh-CN"/>
              </w:rPr>
            </w:pPr>
            <w:r>
              <w:rPr>
                <w:rFonts w:hint="eastAsia"/>
                <w:color w:val="auto"/>
                <w:lang w:val="en-US" w:eastAsia="zh-CN"/>
              </w:rPr>
              <w:t>2.1、项目由来</w:t>
            </w:r>
          </w:p>
          <w:p w14:paraId="1543E253">
            <w:pPr>
              <w:pStyle w:val="3"/>
              <w:pageBreakBefore w:val="0"/>
              <w:widowControl/>
              <w:kinsoku/>
              <w:wordWrap/>
              <w:overflowPunct/>
              <w:topLinePunct w:val="0"/>
              <w:autoSpaceDE w:val="0"/>
              <w:autoSpaceDN w:val="0"/>
              <w:bidi w:val="0"/>
              <w:adjustRightInd/>
              <w:snapToGrid/>
              <w:ind w:firstLine="512" w:firstLineChars="200"/>
              <w:textAlignment w:val="baseline"/>
              <w:rPr>
                <w:rFonts w:hint="eastAsia"/>
                <w:lang w:val="en-US" w:eastAsia="zh-CN"/>
              </w:rPr>
            </w:pPr>
            <w:r>
              <w:rPr>
                <w:rFonts w:hint="eastAsia" w:ascii="Times New Roman" w:hAnsi="Times New Roman" w:eastAsia="宋体" w:cs="Times New Roman"/>
                <w:b w:val="0"/>
                <w:bCs/>
                <w:snapToGrid w:val="0"/>
                <w:color w:val="auto"/>
                <w:spacing w:val="8"/>
                <w:kern w:val="0"/>
                <w:sz w:val="24"/>
                <w:szCs w:val="72"/>
                <w:highlight w:val="none"/>
                <w:lang w:val="en-US" w:eastAsia="zh-CN"/>
              </w:rPr>
              <w:t>库尔勒宠爱一生老城宠物医院于202</w:t>
            </w:r>
            <w:r>
              <w:rPr>
                <w:rFonts w:hint="eastAsia" w:ascii="Times New Roman" w:hAnsi="Times New Roman" w:cs="Times New Roman"/>
                <w:b w:val="0"/>
                <w:bCs/>
                <w:snapToGrid w:val="0"/>
                <w:color w:val="auto"/>
                <w:spacing w:val="8"/>
                <w:kern w:val="0"/>
                <w:sz w:val="24"/>
                <w:szCs w:val="72"/>
                <w:highlight w:val="none"/>
                <w:lang w:val="en-US" w:eastAsia="zh-CN"/>
              </w:rPr>
              <w:t>5</w:t>
            </w:r>
            <w:r>
              <w:rPr>
                <w:rFonts w:hint="eastAsia" w:ascii="Times New Roman" w:hAnsi="Times New Roman" w:eastAsia="宋体" w:cs="Times New Roman"/>
                <w:b w:val="0"/>
                <w:bCs/>
                <w:snapToGrid w:val="0"/>
                <w:color w:val="auto"/>
                <w:spacing w:val="8"/>
                <w:kern w:val="0"/>
                <w:sz w:val="24"/>
                <w:szCs w:val="72"/>
                <w:highlight w:val="none"/>
                <w:lang w:val="en-US" w:eastAsia="zh-CN"/>
              </w:rPr>
              <w:t>年</w:t>
            </w:r>
            <w:r>
              <w:rPr>
                <w:rFonts w:hint="eastAsia" w:ascii="Times New Roman" w:hAnsi="Times New Roman" w:cs="Times New Roman"/>
                <w:b w:val="0"/>
                <w:bCs/>
                <w:snapToGrid w:val="0"/>
                <w:color w:val="auto"/>
                <w:spacing w:val="8"/>
                <w:kern w:val="0"/>
                <w:sz w:val="24"/>
                <w:szCs w:val="72"/>
                <w:highlight w:val="none"/>
                <w:lang w:val="en-US" w:eastAsia="zh-CN"/>
              </w:rPr>
              <w:t>7</w:t>
            </w:r>
            <w:r>
              <w:rPr>
                <w:rFonts w:hint="eastAsia" w:ascii="Times New Roman" w:hAnsi="Times New Roman" w:eastAsia="宋体" w:cs="Times New Roman"/>
                <w:b w:val="0"/>
                <w:bCs/>
                <w:snapToGrid w:val="0"/>
                <w:color w:val="auto"/>
                <w:spacing w:val="8"/>
                <w:kern w:val="0"/>
                <w:sz w:val="24"/>
                <w:szCs w:val="72"/>
                <w:highlight w:val="none"/>
                <w:lang w:val="en-US" w:eastAsia="zh-CN"/>
              </w:rPr>
              <w:t>月建成开业运营，前期医院主要提供宠物食品用品销售、宠物免疫及基础疾病治疗等服务，不含腹腔手术宠物诊疗业务。现阶段结合宠物医疗行业市场发展及实际经营需求，库尔勒宠爱一生老城宠物医院拟在现有已建成医院基础上，扩增宠物腹腔手术相关诊疗单元。依据《建设项目环境影响评价分类管理名录（2021年版）》：“第五十、社会事业与服务业（123 动物医院）设有动物颅腔、胸腔或腹腔手术设施的</w:t>
            </w:r>
            <w:r>
              <w:rPr>
                <w:rFonts w:hint="eastAsia" w:cs="Times New Roman"/>
                <w:b w:val="0"/>
                <w:bCs/>
                <w:snapToGrid w:val="0"/>
                <w:color w:val="auto"/>
                <w:spacing w:val="8"/>
                <w:kern w:val="0"/>
                <w:sz w:val="24"/>
                <w:szCs w:val="72"/>
                <w:highlight w:val="none"/>
                <w:lang w:val="en-US" w:eastAsia="zh-CN"/>
              </w:rPr>
              <w:t>，需</w:t>
            </w:r>
            <w:r>
              <w:rPr>
                <w:rFonts w:hint="eastAsia" w:ascii="Times New Roman" w:hAnsi="Times New Roman" w:eastAsia="宋体" w:cs="Times New Roman"/>
                <w:b w:val="0"/>
                <w:bCs/>
                <w:snapToGrid w:val="0"/>
                <w:color w:val="auto"/>
                <w:spacing w:val="8"/>
                <w:kern w:val="0"/>
                <w:sz w:val="24"/>
                <w:szCs w:val="72"/>
                <w:highlight w:val="none"/>
                <w:lang w:val="en-US" w:eastAsia="zh-CN"/>
              </w:rPr>
              <w:t>编制环境影响报告表”。我公司接受建设单位委托后，开展了现场踏勘、资料的收集和整理工作。在掌握了充分的资料数据基础上，对项目所在区环境现状和可能产生的</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环境影响进行分析，并结合国家建设项目环境管理的有关规定，按照</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环境影响评价有关技术规范，编制完成《库尔勒宠爱一生老城宠物医院建设项目</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环境影响报告表》，供建设单位上报生态环境部门审批，并作为环境管理的依据。</w:t>
            </w:r>
          </w:p>
          <w:p w14:paraId="69112C62">
            <w:pPr>
              <w:pStyle w:val="3"/>
              <w:bidi w:val="0"/>
              <w:rPr>
                <w:color w:val="auto"/>
              </w:rPr>
            </w:pPr>
            <w:r>
              <w:rPr>
                <w:rFonts w:hint="eastAsia"/>
                <w:color w:val="auto"/>
                <w:lang w:val="en-US" w:eastAsia="zh-CN"/>
              </w:rPr>
              <w:t>2.2</w:t>
            </w:r>
            <w:r>
              <w:rPr>
                <w:rFonts w:hint="eastAsia"/>
                <w:color w:val="auto"/>
              </w:rPr>
              <w:t>、项目概况</w:t>
            </w:r>
          </w:p>
          <w:p w14:paraId="6A3CB281">
            <w:pPr>
              <w:pStyle w:val="29"/>
              <w:bidi w:val="0"/>
              <w:rPr>
                <w:rFonts w:hint="eastAsia" w:eastAsia="宋体"/>
                <w:color w:val="auto"/>
                <w:lang w:eastAsia="zh-CN"/>
              </w:rPr>
            </w:pPr>
            <w:r>
              <w:rPr>
                <w:color w:val="auto"/>
              </w:rPr>
              <w:t>项目名称：</w:t>
            </w:r>
            <w:r>
              <w:rPr>
                <w:rFonts w:hint="eastAsia"/>
                <w:color w:val="auto"/>
                <w:lang w:eastAsia="zh-CN"/>
              </w:rPr>
              <w:t>库尔勒宠爱一生老城宠物医院</w:t>
            </w:r>
          </w:p>
          <w:p w14:paraId="6AA9B782">
            <w:pPr>
              <w:pStyle w:val="29"/>
              <w:bidi w:val="0"/>
              <w:rPr>
                <w:rFonts w:hint="default" w:eastAsia="宋体"/>
                <w:color w:val="auto"/>
                <w:lang w:val="en-US" w:eastAsia="zh-CN"/>
              </w:rPr>
            </w:pPr>
            <w:r>
              <w:rPr>
                <w:color w:val="auto"/>
              </w:rPr>
              <w:t>建设单位：</w:t>
            </w:r>
            <w:r>
              <w:rPr>
                <w:rFonts w:hint="eastAsia"/>
                <w:color w:val="auto"/>
                <w:lang w:eastAsia="zh-CN"/>
              </w:rPr>
              <w:t>库尔勒宠爱一生老城宠物医院</w:t>
            </w:r>
          </w:p>
          <w:p w14:paraId="01FD6E62">
            <w:pPr>
              <w:pStyle w:val="29"/>
              <w:bidi w:val="0"/>
              <w:rPr>
                <w:color w:val="auto"/>
              </w:rPr>
            </w:pPr>
            <w:r>
              <w:rPr>
                <w:rFonts w:hint="eastAsia"/>
                <w:color w:val="auto"/>
              </w:rPr>
              <w:t>建设性质：新建</w:t>
            </w:r>
          </w:p>
          <w:p w14:paraId="3C34FCA9">
            <w:pPr>
              <w:pStyle w:val="29"/>
              <w:bidi w:val="0"/>
              <w:rPr>
                <w:rFonts w:hint="eastAsia" w:eastAsia="宋体"/>
                <w:color w:val="auto"/>
                <w:lang w:eastAsia="zh-CN"/>
              </w:rPr>
            </w:pPr>
            <w:r>
              <w:rPr>
                <w:rFonts w:hint="default" w:ascii="Times New Roman" w:hAnsi="Times New Roman" w:cs="Times New Roman"/>
                <w:color w:val="auto"/>
              </w:rPr>
              <w:t>建设地点：项目</w:t>
            </w:r>
            <w:r>
              <w:rPr>
                <w:rFonts w:hint="eastAsia" w:cs="Times New Roman"/>
                <w:color w:val="auto"/>
                <w:lang w:val="en-US" w:eastAsia="zh-CN"/>
              </w:rPr>
              <w:t>区</w:t>
            </w:r>
            <w:r>
              <w:rPr>
                <w:rFonts w:hint="eastAsia" w:ascii="宋体" w:hAnsi="宋体" w:cs="宋体"/>
                <w:color w:val="auto"/>
                <w:spacing w:val="6"/>
                <w:sz w:val="24"/>
                <w:szCs w:val="24"/>
                <w:lang w:val="en-US" w:eastAsia="zh-CN"/>
              </w:rPr>
              <w:t>共一</w:t>
            </w:r>
            <w:r>
              <w:rPr>
                <w:rFonts w:hint="eastAsia" w:ascii="宋体" w:hAnsi="宋体" w:cs="宋体"/>
                <w:color w:val="auto"/>
                <w:spacing w:val="6"/>
                <w:sz w:val="24"/>
                <w:szCs w:val="24"/>
                <w:highlight w:val="none"/>
                <w:lang w:val="en-US" w:eastAsia="zh-CN"/>
              </w:rPr>
              <w:t>层</w:t>
            </w:r>
            <w:r>
              <w:rPr>
                <w:rFonts w:hint="eastAsia"/>
                <w:b w:val="0"/>
                <w:color w:val="auto"/>
                <w:sz w:val="24"/>
                <w:szCs w:val="24"/>
                <w:highlight w:val="none"/>
                <w:lang w:val="en-US" w:eastAsia="zh-CN"/>
              </w:rPr>
              <w:t>；项目区所在位置属于</w:t>
            </w:r>
            <w:r>
              <w:rPr>
                <w:rFonts w:hint="eastAsia" w:cs="Times New Roman"/>
                <w:spacing w:val="6"/>
                <w:sz w:val="24"/>
                <w:szCs w:val="24"/>
                <w:lang w:val="en-US" w:eastAsia="zh-CN"/>
              </w:rPr>
              <w:t>金梦花园</w:t>
            </w:r>
            <w:r>
              <w:rPr>
                <w:rFonts w:hint="eastAsia" w:eastAsia="宋体" w:cs="Times New Roman"/>
                <w:color w:val="auto"/>
                <w:sz w:val="24"/>
                <w:szCs w:val="24"/>
                <w:highlight w:val="none"/>
                <w:lang w:val="en-US" w:eastAsia="zh-CN"/>
              </w:rPr>
              <w:t>沿街商铺，</w:t>
            </w:r>
            <w:r>
              <w:rPr>
                <w:rFonts w:hint="eastAsia"/>
                <w:b w:val="0"/>
                <w:color w:val="auto"/>
                <w:sz w:val="24"/>
                <w:szCs w:val="24"/>
                <w:highlight w:val="none"/>
                <w:lang w:val="en-US" w:eastAsia="zh-CN"/>
              </w:rPr>
              <w:t>西侧55m为城市交通主干道南库大道中段；南北两侧均为</w:t>
            </w:r>
            <w:r>
              <w:rPr>
                <w:rFonts w:hint="eastAsia" w:cs="Times New Roman"/>
                <w:color w:val="auto"/>
                <w:sz w:val="24"/>
                <w:szCs w:val="24"/>
                <w:highlight w:val="none"/>
                <w:lang w:val="en-US" w:eastAsia="zh-CN"/>
              </w:rPr>
              <w:t>金梦花园</w:t>
            </w:r>
            <w:r>
              <w:rPr>
                <w:rFonts w:hint="eastAsia" w:eastAsia="宋体" w:cs="Times New Roman"/>
                <w:color w:val="auto"/>
                <w:sz w:val="24"/>
                <w:szCs w:val="24"/>
                <w:highlight w:val="none"/>
                <w:lang w:val="en-US" w:eastAsia="zh-CN"/>
              </w:rPr>
              <w:t>沿街商铺</w:t>
            </w:r>
            <w:r>
              <w:rPr>
                <w:rFonts w:hint="eastAsia" w:cs="Times New Roman"/>
                <w:color w:val="auto"/>
                <w:sz w:val="24"/>
                <w:szCs w:val="24"/>
                <w:highlight w:val="none"/>
                <w:lang w:val="en-US" w:eastAsia="zh-CN"/>
              </w:rPr>
              <w:t>；东侧为金梦花园住宅区</w:t>
            </w:r>
            <w:r>
              <w:rPr>
                <w:rFonts w:hint="eastAsia"/>
                <w:color w:val="auto"/>
                <w:lang w:val="en-US" w:eastAsia="zh-CN"/>
              </w:rPr>
              <w:t>。</w:t>
            </w:r>
            <w:r>
              <w:rPr>
                <w:color w:val="auto"/>
              </w:rPr>
              <w:t>项目区地理位置图</w:t>
            </w:r>
            <w:r>
              <w:rPr>
                <w:rFonts w:hint="eastAsia"/>
                <w:color w:val="auto"/>
                <w:lang w:val="en-US" w:eastAsia="zh-CN"/>
              </w:rPr>
              <w:t>与</w:t>
            </w:r>
            <w:r>
              <w:rPr>
                <w:rFonts w:hint="eastAsia"/>
                <w:color w:val="auto"/>
              </w:rPr>
              <w:t>项目</w:t>
            </w:r>
            <w:r>
              <w:rPr>
                <w:rFonts w:hint="eastAsia"/>
                <w:color w:val="auto"/>
                <w:lang w:val="en-US" w:eastAsia="zh-CN"/>
              </w:rPr>
              <w:t>区域位置</w:t>
            </w:r>
            <w:r>
              <w:rPr>
                <w:rFonts w:hint="eastAsia"/>
                <w:color w:val="auto"/>
              </w:rPr>
              <w:t>见附图</w:t>
            </w:r>
            <w:r>
              <w:rPr>
                <w:rFonts w:hint="eastAsia"/>
                <w:color w:val="auto"/>
                <w:lang w:eastAsia="zh-CN"/>
              </w:rPr>
              <w:t>。</w:t>
            </w:r>
          </w:p>
          <w:p w14:paraId="783E92E8">
            <w:pPr>
              <w:pStyle w:val="29"/>
              <w:bidi w:val="0"/>
              <w:rPr>
                <w:color w:val="auto"/>
              </w:rPr>
            </w:pPr>
            <w:r>
              <w:rPr>
                <w:rFonts w:hint="eastAsia" w:cs="Times New Roman"/>
                <w:color w:val="auto"/>
                <w:highlight w:val="none"/>
                <w:lang w:val="en-US" w:eastAsia="zh-CN"/>
              </w:rPr>
              <w:t>劳动定员与</w:t>
            </w:r>
            <w:r>
              <w:rPr>
                <w:rFonts w:hint="default" w:ascii="Times New Roman" w:hAnsi="Times New Roman" w:cs="Times New Roman"/>
                <w:color w:val="auto"/>
                <w:highlight w:val="none"/>
              </w:rPr>
              <w:t>工作制度：员工人数</w:t>
            </w:r>
            <w:r>
              <w:rPr>
                <w:rFonts w:hint="eastAsia" w:cs="Times New Roman"/>
                <w:color w:val="auto"/>
                <w:highlight w:val="none"/>
                <w:lang w:val="en-US" w:eastAsia="zh-CN"/>
              </w:rPr>
              <w:t>4</w:t>
            </w:r>
            <w:r>
              <w:rPr>
                <w:rFonts w:hint="default" w:ascii="Times New Roman" w:hAnsi="Times New Roman" w:cs="Times New Roman"/>
                <w:color w:val="auto"/>
                <w:highlight w:val="none"/>
              </w:rPr>
              <w:t>人，</w:t>
            </w:r>
            <w:r>
              <w:rPr>
                <w:rFonts w:hint="eastAsia" w:cs="Times New Roman"/>
                <w:color w:val="auto"/>
                <w:highlight w:val="none"/>
                <w:lang w:val="en-US" w:eastAsia="zh-CN"/>
              </w:rPr>
              <w:t>实行一班制，每日</w:t>
            </w:r>
            <w:r>
              <w:rPr>
                <w:rFonts w:hint="default" w:ascii="Times New Roman" w:hAnsi="Times New Roman" w:cs="Times New Roman"/>
                <w:color w:val="auto"/>
                <w:highlight w:val="none"/>
                <w:lang w:val="en-US" w:eastAsia="zh-CN"/>
              </w:rPr>
              <w:t>工作8小时</w:t>
            </w:r>
            <w:r>
              <w:rPr>
                <w:rFonts w:hint="eastAsia" w:cs="Times New Roman"/>
                <w:color w:val="auto"/>
                <w:highlight w:val="none"/>
                <w:lang w:val="en-US" w:eastAsia="zh-CN"/>
              </w:rPr>
              <w:t>，有就诊动物需要住院时，夜间留有值班人员</w:t>
            </w:r>
            <w:r>
              <w:rPr>
                <w:rFonts w:hint="eastAsia" w:cs="Times New Roman"/>
                <w:color w:val="auto"/>
                <w:highlight w:val="none"/>
                <w:lang w:eastAsia="zh-CN"/>
              </w:rPr>
              <w:t>，</w:t>
            </w:r>
            <w:r>
              <w:rPr>
                <w:rFonts w:hint="default" w:ascii="Times New Roman" w:hAnsi="Times New Roman" w:cs="Times New Roman"/>
                <w:color w:val="auto"/>
                <w:highlight w:val="none"/>
              </w:rPr>
              <w:t>年工作365天。</w:t>
            </w:r>
          </w:p>
          <w:p w14:paraId="6D90B2B9">
            <w:pPr>
              <w:pStyle w:val="29"/>
              <w:bidi w:val="0"/>
              <w:rPr>
                <w:rFonts w:hint="eastAsia"/>
                <w:color w:val="auto"/>
                <w:lang w:eastAsia="zh-CN"/>
              </w:rPr>
            </w:pPr>
            <w:r>
              <w:rPr>
                <w:rFonts w:hint="eastAsia"/>
                <w:color w:val="auto"/>
                <w:lang w:eastAsia="zh-CN"/>
              </w:rPr>
              <w:t>项目投资：总投资</w:t>
            </w:r>
            <w:r>
              <w:rPr>
                <w:rFonts w:hint="eastAsia"/>
                <w:color w:val="000000" w:themeColor="text1"/>
                <w:lang w:val="en-US" w:eastAsia="zh-CN"/>
                <w14:textFill>
                  <w14:solidFill>
                    <w14:schemeClr w14:val="tx1"/>
                  </w14:solidFill>
                </w14:textFill>
              </w:rPr>
              <w:t>15</w:t>
            </w:r>
            <w:r>
              <w:rPr>
                <w:rFonts w:hint="eastAsia"/>
                <w:color w:val="auto"/>
                <w:lang w:eastAsia="zh-CN"/>
              </w:rPr>
              <w:t>万元，</w:t>
            </w:r>
            <w:r>
              <w:rPr>
                <w:rFonts w:hint="eastAsia"/>
                <w:color w:val="auto"/>
                <w:lang w:val="en-US" w:eastAsia="zh-CN"/>
              </w:rPr>
              <w:t>环保投资3万元</w:t>
            </w:r>
            <w:r>
              <w:rPr>
                <w:rFonts w:hint="eastAsia"/>
                <w:color w:val="auto"/>
              </w:rPr>
              <w:t>。</w:t>
            </w:r>
          </w:p>
          <w:p w14:paraId="58E4A081">
            <w:pPr>
              <w:pStyle w:val="3"/>
              <w:bidi w:val="0"/>
              <w:rPr>
                <w:rFonts w:hint="eastAsia"/>
                <w:color w:val="auto"/>
                <w:lang w:eastAsia="zh-CN"/>
              </w:rPr>
            </w:pPr>
            <w:r>
              <w:rPr>
                <w:rFonts w:hint="eastAsia"/>
                <w:color w:val="auto"/>
                <w:lang w:val="en-US" w:eastAsia="zh-CN"/>
              </w:rPr>
              <w:t>2.3</w:t>
            </w:r>
            <w:r>
              <w:rPr>
                <w:rFonts w:hint="eastAsia"/>
                <w:color w:val="auto"/>
                <w:lang w:eastAsia="zh-CN"/>
              </w:rPr>
              <w:t>、建设内容及建设规模</w:t>
            </w:r>
          </w:p>
          <w:p w14:paraId="74396633">
            <w:pPr>
              <w:pStyle w:val="29"/>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eastAsia="zh-CN"/>
              </w:rPr>
            </w:pPr>
            <w:bookmarkStart w:id="3" w:name="OLE_LINK93"/>
            <w:r>
              <w:rPr>
                <w:color w:val="auto"/>
              </w:rPr>
              <w:t>本项目租赁房屋性质为</w:t>
            </w:r>
            <w:r>
              <w:rPr>
                <w:rFonts w:hint="eastAsia"/>
                <w:color w:val="auto"/>
                <w:lang w:val="en-US" w:eastAsia="zh-CN"/>
              </w:rPr>
              <w:t>商业用房</w:t>
            </w:r>
            <w:r>
              <w:rPr>
                <w:rFonts w:hint="eastAsia"/>
                <w:color w:val="auto"/>
                <w:lang w:eastAsia="zh-CN"/>
              </w:rPr>
              <w:t>，</w:t>
            </w:r>
            <w:r>
              <w:rPr>
                <w:color w:val="auto"/>
              </w:rPr>
              <w:t>使用面积共</w:t>
            </w:r>
            <w:r>
              <w:rPr>
                <w:rFonts w:hint="eastAsia"/>
                <w:color w:val="auto"/>
                <w:lang w:val="en-US" w:eastAsia="zh-CN"/>
              </w:rPr>
              <w:t>229</w:t>
            </w:r>
            <w:r>
              <w:rPr>
                <w:color w:val="auto"/>
              </w:rPr>
              <w:t>平方米</w:t>
            </w:r>
            <w:r>
              <w:rPr>
                <w:rFonts w:hint="eastAsia"/>
                <w:color w:val="auto"/>
                <w:lang w:eastAsia="zh-CN"/>
              </w:rPr>
              <w:t>。</w:t>
            </w:r>
          </w:p>
          <w:bookmarkEnd w:id="3"/>
          <w:p w14:paraId="201BAF02">
            <w:pPr>
              <w:pStyle w:val="29"/>
              <w:bidi w:val="0"/>
              <w:rPr>
                <w:rFonts w:hint="eastAsia"/>
                <w:color w:val="auto"/>
                <w:lang w:val="en-US" w:eastAsia="zh-CN"/>
              </w:rPr>
            </w:pPr>
            <w:r>
              <w:rPr>
                <w:color w:val="auto"/>
              </w:rPr>
              <w:t>接待动物对象为家养宠物猫、宠物狗，</w:t>
            </w:r>
            <w:r>
              <w:rPr>
                <w:rFonts w:hint="eastAsia"/>
                <w:color w:val="auto"/>
                <w:lang w:val="en-US" w:eastAsia="zh-CN"/>
              </w:rPr>
              <w:t>主要</w:t>
            </w:r>
            <w:r>
              <w:rPr>
                <w:color w:val="auto"/>
              </w:rPr>
              <w:t>售卖宠物用品</w:t>
            </w:r>
            <w:r>
              <w:rPr>
                <w:rFonts w:hint="eastAsia"/>
                <w:color w:val="auto"/>
                <w:lang w:val="en-US" w:eastAsia="zh-CN"/>
              </w:rPr>
              <w:t>及提供诊疗服务</w:t>
            </w:r>
            <w:r>
              <w:rPr>
                <w:rFonts w:hint="eastAsia"/>
                <w:color w:val="auto"/>
                <w:lang w:eastAsia="zh-CN"/>
              </w:rPr>
              <w:t>。</w:t>
            </w:r>
            <w:r>
              <w:rPr>
                <w:color w:val="auto"/>
              </w:rPr>
              <w:t>诊疗内容为宠物常见的基础疾病治疗和外伤治疗（检测项目：犬瘟、细小病毒、冠状病毒、血常规、显微镜镜检，病毒检测均采用试纸检测，血样制成试剂片，均由仪器进行检测直接出结果），手术内容为外伤手术、宠物绝育手术、胸腔或腹腔手术等，不进行复杂手术。预计</w:t>
            </w:r>
            <w:r>
              <w:rPr>
                <w:rFonts w:hint="default"/>
                <w:color w:val="auto"/>
              </w:rPr>
              <w:t>门诊日最大接诊量为</w:t>
            </w:r>
            <w:r>
              <w:rPr>
                <w:rFonts w:hint="eastAsia"/>
                <w:color w:val="auto"/>
                <w:lang w:val="en-US" w:eastAsia="zh-CN"/>
              </w:rPr>
              <w:t>7</w:t>
            </w:r>
            <w:r>
              <w:rPr>
                <w:rFonts w:hint="default"/>
                <w:color w:val="auto"/>
              </w:rPr>
              <w:t>只（其中需要手术的</w:t>
            </w:r>
            <w:r>
              <w:rPr>
                <w:rFonts w:hint="eastAsia"/>
                <w:color w:val="auto"/>
                <w:lang w:val="en-US" w:eastAsia="zh-CN"/>
              </w:rPr>
              <w:t>2</w:t>
            </w:r>
            <w:r>
              <w:rPr>
                <w:rFonts w:hint="default"/>
                <w:color w:val="auto"/>
              </w:rPr>
              <w:t>只，其他</w:t>
            </w:r>
            <w:r>
              <w:rPr>
                <w:rFonts w:hint="eastAsia"/>
                <w:color w:val="auto"/>
                <w:lang w:val="en-US" w:eastAsia="zh-CN"/>
              </w:rPr>
              <w:t>5</w:t>
            </w:r>
            <w:r>
              <w:rPr>
                <w:rFonts w:hint="default"/>
                <w:color w:val="auto"/>
              </w:rPr>
              <w:t>只为打预防针等非手术诊治，不涉及传染病及</w:t>
            </w:r>
            <w:r>
              <w:rPr>
                <w:rFonts w:hint="eastAsia"/>
                <w:color w:val="auto"/>
                <w:lang w:eastAsia="zh-CN"/>
              </w:rPr>
              <w:t>人畜共患病</w:t>
            </w:r>
            <w:r>
              <w:rPr>
                <w:rFonts w:hint="default"/>
                <w:color w:val="auto"/>
              </w:rPr>
              <w:t>治疗项目）</w:t>
            </w:r>
            <w:r>
              <w:rPr>
                <w:rFonts w:hint="eastAsia"/>
                <w:color w:val="auto"/>
                <w:lang w:eastAsia="zh-CN"/>
              </w:rPr>
              <w:t>。</w:t>
            </w:r>
          </w:p>
          <w:p w14:paraId="446A6392">
            <w:pPr>
              <w:pStyle w:val="29"/>
              <w:bidi w:val="0"/>
              <w:rPr>
                <w:rFonts w:hint="default"/>
                <w:b/>
                <w:bCs w:val="0"/>
                <w:color w:val="auto"/>
                <w:lang w:val="en-US" w:eastAsia="zh-CN"/>
              </w:rPr>
            </w:pPr>
            <w:r>
              <w:rPr>
                <w:rFonts w:hint="eastAsia"/>
                <w:b/>
                <w:bCs w:val="0"/>
                <w:color w:val="auto"/>
                <w:lang w:val="en-US" w:eastAsia="zh-CN"/>
              </w:rPr>
              <w:t>关于本项目的特别说明如下：</w:t>
            </w:r>
          </w:p>
          <w:p w14:paraId="07D0FA5D">
            <w:pPr>
              <w:pStyle w:val="29"/>
              <w:bidi w:val="0"/>
              <w:rPr>
                <w:rFonts w:hint="eastAsia"/>
                <w:color w:val="auto"/>
                <w:lang w:eastAsia="zh-CN"/>
              </w:rPr>
            </w:pPr>
            <w:r>
              <w:rPr>
                <w:color w:val="auto"/>
              </w:rPr>
              <w:t>项目涉及的放射性污染项目，根据《中华人民共和国</w:t>
            </w:r>
            <w:r>
              <w:rPr>
                <w:rFonts w:hint="eastAsia" w:cs="Times New Roman"/>
                <w:color w:val="auto"/>
                <w:highlight w:val="none"/>
                <w:lang w:val="en-US" w:eastAsia="zh-CN"/>
              </w:rPr>
              <w:t>生态环境法典</w:t>
            </w:r>
            <w:r>
              <w:rPr>
                <w:color w:val="auto"/>
              </w:rPr>
              <w:t>》，应按相关环保要求另行办理相关手续，不在本次评价范围内。</w:t>
            </w:r>
          </w:p>
          <w:p w14:paraId="072483AA">
            <w:pPr>
              <w:pStyle w:val="29"/>
              <w:bidi w:val="0"/>
              <w:rPr>
                <w:rFonts w:hint="eastAsia"/>
                <w:color w:val="auto"/>
                <w:lang w:eastAsia="zh-CN"/>
              </w:rPr>
            </w:pPr>
            <w:r>
              <w:rPr>
                <w:color w:val="auto"/>
                <w:lang w:eastAsia="zh-CN"/>
              </w:rPr>
              <w:t>项目工程组成见表</w:t>
            </w:r>
            <w:r>
              <w:rPr>
                <w:rFonts w:hint="eastAsia"/>
                <w:color w:val="auto"/>
                <w:lang w:eastAsia="zh-CN"/>
              </w:rPr>
              <w:t>2-1</w:t>
            </w:r>
            <w:r>
              <w:rPr>
                <w:color w:val="auto"/>
                <w:lang w:eastAsia="zh-CN"/>
              </w:rPr>
              <w:t>。</w:t>
            </w:r>
          </w:p>
          <w:p w14:paraId="0F5E167B">
            <w:pPr>
              <w:pStyle w:val="22"/>
              <w:bidi w:val="0"/>
              <w:rPr>
                <w:color w:val="auto"/>
                <w:lang w:eastAsia="zh-CN"/>
              </w:rPr>
            </w:pPr>
            <w:r>
              <w:rPr>
                <w:color w:val="auto"/>
                <w:lang w:eastAsia="zh-CN"/>
              </w:rPr>
              <w:t>表</w:t>
            </w:r>
            <w:r>
              <w:rPr>
                <w:rFonts w:hint="eastAsia"/>
                <w:color w:val="auto"/>
                <w:lang w:eastAsia="zh-CN"/>
              </w:rPr>
              <w:t xml:space="preserve">2-1    </w:t>
            </w:r>
            <w:r>
              <w:rPr>
                <w:color w:val="auto"/>
                <w:lang w:eastAsia="zh-CN"/>
              </w:rPr>
              <w:t>项目</w:t>
            </w:r>
            <w:r>
              <w:rPr>
                <w:rFonts w:hint="eastAsia"/>
                <w:color w:val="auto"/>
                <w:lang w:eastAsia="zh-CN"/>
              </w:rPr>
              <w:t>工程</w:t>
            </w:r>
            <w:r>
              <w:rPr>
                <w:color w:val="auto"/>
                <w:lang w:eastAsia="zh-CN"/>
              </w:rPr>
              <w:t>组成</w:t>
            </w:r>
            <w:r>
              <w:rPr>
                <w:rFonts w:hint="eastAsia"/>
                <w:color w:val="auto"/>
                <w:lang w:eastAsia="zh-CN"/>
              </w:rPr>
              <w:t>一览</w:t>
            </w:r>
            <w:r>
              <w:rPr>
                <w:color w:val="auto"/>
                <w:lang w:eastAsia="zh-CN"/>
              </w:rPr>
              <w:t>表</w:t>
            </w:r>
          </w:p>
          <w:tbl>
            <w:tblPr>
              <w:tblStyle w:val="14"/>
              <w:tblW w:w="825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2"/>
              <w:gridCol w:w="832"/>
              <w:gridCol w:w="1081"/>
              <w:gridCol w:w="322"/>
              <w:gridCol w:w="4414"/>
              <w:gridCol w:w="890"/>
            </w:tblGrid>
            <w:tr w14:paraId="17F64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44" w:type="dxa"/>
                  <w:gridSpan w:val="2"/>
                  <w:tcBorders>
                    <w:bottom w:val="single" w:color="auto" w:sz="12" w:space="0"/>
                  </w:tcBorders>
                  <w:noWrap w:val="0"/>
                  <w:vAlign w:val="center"/>
                </w:tcPr>
                <w:p w14:paraId="487270B6">
                  <w:pPr>
                    <w:pStyle w:val="28"/>
                    <w:bidi w:val="0"/>
                    <w:rPr>
                      <w:b/>
                      <w:bCs w:val="0"/>
                      <w:color w:val="auto"/>
                      <w:lang w:eastAsia="zh-CN"/>
                    </w:rPr>
                  </w:pPr>
                  <w:r>
                    <w:rPr>
                      <w:b/>
                      <w:bCs w:val="0"/>
                      <w:color w:val="auto"/>
                      <w:lang w:eastAsia="zh-CN"/>
                    </w:rPr>
                    <w:t>建设内容</w:t>
                  </w:r>
                </w:p>
              </w:tc>
              <w:tc>
                <w:tcPr>
                  <w:tcW w:w="5817" w:type="dxa"/>
                  <w:gridSpan w:val="3"/>
                  <w:tcBorders>
                    <w:bottom w:val="single" w:color="auto" w:sz="12" w:space="0"/>
                  </w:tcBorders>
                  <w:noWrap w:val="0"/>
                  <w:vAlign w:val="center"/>
                </w:tcPr>
                <w:p w14:paraId="6A6B0F1A">
                  <w:pPr>
                    <w:pStyle w:val="28"/>
                    <w:bidi w:val="0"/>
                    <w:rPr>
                      <w:b/>
                      <w:bCs w:val="0"/>
                      <w:color w:val="auto"/>
                      <w:lang w:eastAsia="zh-CN"/>
                    </w:rPr>
                  </w:pPr>
                  <w:r>
                    <w:rPr>
                      <w:b/>
                      <w:bCs w:val="0"/>
                      <w:color w:val="auto"/>
                      <w:lang w:eastAsia="zh-CN"/>
                    </w:rPr>
                    <w:t>建设规模</w:t>
                  </w:r>
                </w:p>
              </w:tc>
              <w:tc>
                <w:tcPr>
                  <w:tcW w:w="890" w:type="dxa"/>
                  <w:tcBorders>
                    <w:bottom w:val="single" w:color="auto" w:sz="12" w:space="0"/>
                  </w:tcBorders>
                  <w:noWrap w:val="0"/>
                  <w:vAlign w:val="center"/>
                </w:tcPr>
                <w:p w14:paraId="6B4784C6">
                  <w:pPr>
                    <w:pStyle w:val="28"/>
                    <w:bidi w:val="0"/>
                    <w:rPr>
                      <w:b/>
                      <w:bCs w:val="0"/>
                      <w:color w:val="auto"/>
                      <w:lang w:eastAsia="zh-CN"/>
                    </w:rPr>
                  </w:pPr>
                  <w:r>
                    <w:rPr>
                      <w:rFonts w:hint="eastAsia"/>
                      <w:b/>
                      <w:bCs w:val="0"/>
                      <w:color w:val="auto"/>
                      <w:lang w:eastAsia="zh-CN"/>
                    </w:rPr>
                    <w:t>备注</w:t>
                  </w:r>
                </w:p>
              </w:tc>
            </w:tr>
            <w:tr w14:paraId="2653E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544" w:type="dxa"/>
                  <w:gridSpan w:val="2"/>
                  <w:tcBorders>
                    <w:top w:val="single" w:color="auto" w:sz="12" w:space="0"/>
                  </w:tcBorders>
                  <w:noWrap w:val="0"/>
                  <w:vAlign w:val="center"/>
                </w:tcPr>
                <w:p w14:paraId="3A3CFBEB">
                  <w:pPr>
                    <w:pStyle w:val="28"/>
                    <w:bidi w:val="0"/>
                    <w:rPr>
                      <w:rFonts w:hint="default"/>
                      <w:color w:val="auto"/>
                      <w:lang w:val="en-US" w:eastAsia="zh-CN"/>
                    </w:rPr>
                  </w:pPr>
                  <w:r>
                    <w:rPr>
                      <w:rFonts w:hint="eastAsia"/>
                      <w:color w:val="auto"/>
                      <w:lang w:val="en-US" w:eastAsia="zh-CN"/>
                    </w:rPr>
                    <w:t>主体工程</w:t>
                  </w:r>
                </w:p>
              </w:tc>
              <w:tc>
                <w:tcPr>
                  <w:tcW w:w="5817" w:type="dxa"/>
                  <w:gridSpan w:val="3"/>
                  <w:tcBorders>
                    <w:top w:val="single" w:color="auto" w:sz="12" w:space="0"/>
                    <w:bottom w:val="single" w:color="auto" w:sz="4" w:space="0"/>
                  </w:tcBorders>
                  <w:noWrap w:val="0"/>
                  <w:vAlign w:val="center"/>
                </w:tcPr>
                <w:p w14:paraId="33CB9D2E">
                  <w:pPr>
                    <w:pStyle w:val="28"/>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bookmarkStart w:id="4" w:name="OLE_LINK110"/>
                  <w:r>
                    <w:rPr>
                      <w:rFonts w:hint="eastAsia"/>
                      <w:color w:val="auto"/>
                      <w:lang w:val="en-US" w:eastAsia="zh-CN"/>
                    </w:rPr>
                    <w:t>项目设置隔离室、诊疗室、手术室、住院部、药房、</w:t>
                  </w:r>
                  <w:r>
                    <w:rPr>
                      <w:rFonts w:hint="eastAsia" w:cs="Times New Roman"/>
                      <w:color w:val="auto"/>
                      <w:highlight w:val="none"/>
                      <w:lang w:val="en-US" w:eastAsia="zh-CN"/>
                    </w:rPr>
                    <w:t>处置室</w:t>
                  </w:r>
                  <w:r>
                    <w:rPr>
                      <w:rFonts w:hint="eastAsia"/>
                      <w:color w:val="auto"/>
                      <w:lang w:val="en-US" w:eastAsia="zh-CN"/>
                    </w:rPr>
                    <w:t>、DR室等工作室，主要提供动物治疗（一般为胸腔、腹腔、颅腔手术）、宠物食品、用品和药品销售。</w:t>
                  </w:r>
                  <w:bookmarkEnd w:id="4"/>
                </w:p>
              </w:tc>
              <w:tc>
                <w:tcPr>
                  <w:tcW w:w="890" w:type="dxa"/>
                  <w:tcBorders>
                    <w:top w:val="single" w:color="auto" w:sz="12" w:space="0"/>
                  </w:tcBorders>
                  <w:noWrap w:val="0"/>
                  <w:vAlign w:val="center"/>
                </w:tcPr>
                <w:p w14:paraId="37320ECD">
                  <w:pPr>
                    <w:pStyle w:val="28"/>
                    <w:bidi w:val="0"/>
                    <w:rPr>
                      <w:rFonts w:hint="default"/>
                      <w:color w:val="auto"/>
                      <w:lang w:val="en-US" w:eastAsia="zh-CN"/>
                    </w:rPr>
                  </w:pPr>
                  <w:r>
                    <w:rPr>
                      <w:rFonts w:hint="eastAsia"/>
                      <w:color w:val="auto"/>
                      <w:lang w:val="en-US" w:eastAsia="zh-CN"/>
                    </w:rPr>
                    <w:t>手术室新建</w:t>
                  </w:r>
                </w:p>
              </w:tc>
            </w:tr>
            <w:tr w14:paraId="6AC5D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restart"/>
                  <w:tcBorders>
                    <w:top w:val="single" w:color="auto" w:sz="2" w:space="0"/>
                  </w:tcBorders>
                  <w:noWrap w:val="0"/>
                  <w:vAlign w:val="center"/>
                </w:tcPr>
                <w:p w14:paraId="108E0414">
                  <w:pPr>
                    <w:pStyle w:val="28"/>
                    <w:bidi w:val="0"/>
                    <w:rPr>
                      <w:rFonts w:hint="eastAsia"/>
                      <w:color w:val="auto"/>
                      <w:lang w:val="en-US" w:eastAsia="zh-CN"/>
                    </w:rPr>
                  </w:pPr>
                  <w:r>
                    <w:rPr>
                      <w:rFonts w:hint="eastAsia"/>
                      <w:color w:val="auto"/>
                      <w:lang w:val="en-US" w:eastAsia="zh-CN"/>
                    </w:rPr>
                    <w:t>公用工程</w:t>
                  </w:r>
                </w:p>
              </w:tc>
              <w:tc>
                <w:tcPr>
                  <w:tcW w:w="832" w:type="dxa"/>
                  <w:tcBorders>
                    <w:top w:val="single" w:color="auto" w:sz="2" w:space="0"/>
                    <w:bottom w:val="single" w:color="auto" w:sz="2" w:space="0"/>
                  </w:tcBorders>
                  <w:noWrap w:val="0"/>
                  <w:vAlign w:val="center"/>
                </w:tcPr>
                <w:p w14:paraId="0D316E91">
                  <w:pPr>
                    <w:pStyle w:val="28"/>
                    <w:bidi w:val="0"/>
                    <w:rPr>
                      <w:rFonts w:hint="eastAsia"/>
                      <w:color w:val="auto"/>
                      <w:lang w:val="en-US" w:eastAsia="zh-CN"/>
                    </w:rPr>
                  </w:pPr>
                  <w:r>
                    <w:rPr>
                      <w:rFonts w:hint="eastAsia"/>
                      <w:color w:val="auto"/>
                      <w:lang w:val="en-US" w:eastAsia="zh-CN"/>
                    </w:rPr>
                    <w:t>供水</w:t>
                  </w:r>
                </w:p>
              </w:tc>
              <w:tc>
                <w:tcPr>
                  <w:tcW w:w="5817" w:type="dxa"/>
                  <w:gridSpan w:val="3"/>
                  <w:tcBorders>
                    <w:top w:val="single" w:color="auto" w:sz="4" w:space="0"/>
                    <w:bottom w:val="single" w:color="auto" w:sz="4" w:space="0"/>
                  </w:tcBorders>
                  <w:noWrap w:val="0"/>
                  <w:vAlign w:val="center"/>
                </w:tcPr>
                <w:p w14:paraId="45023908">
                  <w:pPr>
                    <w:pStyle w:val="28"/>
                    <w:bidi w:val="0"/>
                    <w:rPr>
                      <w:rFonts w:hint="eastAsia"/>
                      <w:color w:val="auto"/>
                      <w:lang w:val="en-US" w:eastAsia="zh-CN"/>
                    </w:rPr>
                  </w:pPr>
                  <w:r>
                    <w:rPr>
                      <w:rFonts w:hint="eastAsia"/>
                      <w:color w:val="auto"/>
                      <w:lang w:val="en-US" w:eastAsia="zh-CN"/>
                    </w:rPr>
                    <w:t>由市政供水管网供应</w:t>
                  </w:r>
                </w:p>
              </w:tc>
              <w:tc>
                <w:tcPr>
                  <w:tcW w:w="890" w:type="dxa"/>
                  <w:tcBorders>
                    <w:top w:val="single" w:color="auto" w:sz="4" w:space="0"/>
                    <w:bottom w:val="single" w:color="auto" w:sz="4" w:space="0"/>
                  </w:tcBorders>
                  <w:noWrap w:val="0"/>
                  <w:vAlign w:val="center"/>
                </w:tcPr>
                <w:p w14:paraId="221AA4AE">
                  <w:pPr>
                    <w:pStyle w:val="28"/>
                    <w:bidi w:val="0"/>
                    <w:rPr>
                      <w:color w:val="auto"/>
                      <w:lang w:eastAsia="zh-CN"/>
                    </w:rPr>
                  </w:pPr>
                  <w:r>
                    <w:rPr>
                      <w:rFonts w:hint="eastAsia"/>
                      <w:color w:val="auto"/>
                      <w:lang w:eastAsia="zh-CN"/>
                    </w:rPr>
                    <w:t>/</w:t>
                  </w:r>
                </w:p>
              </w:tc>
            </w:tr>
            <w:tr w14:paraId="189ACF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tcBorders>
                    <w:top w:val="single" w:color="auto" w:sz="2" w:space="0"/>
                  </w:tcBorders>
                  <w:noWrap w:val="0"/>
                  <w:vAlign w:val="center"/>
                </w:tcPr>
                <w:p w14:paraId="2ACE9EAD">
                  <w:pPr>
                    <w:pStyle w:val="28"/>
                    <w:bidi w:val="0"/>
                    <w:rPr>
                      <w:rFonts w:hint="eastAsia"/>
                      <w:color w:val="auto"/>
                      <w:lang w:val="en-US" w:eastAsia="zh-CN"/>
                    </w:rPr>
                  </w:pPr>
                </w:p>
              </w:tc>
              <w:tc>
                <w:tcPr>
                  <w:tcW w:w="832" w:type="dxa"/>
                  <w:tcBorders>
                    <w:top w:val="single" w:color="auto" w:sz="2" w:space="0"/>
                    <w:bottom w:val="single" w:color="auto" w:sz="2" w:space="0"/>
                  </w:tcBorders>
                  <w:noWrap w:val="0"/>
                  <w:vAlign w:val="center"/>
                </w:tcPr>
                <w:p w14:paraId="5F8C092F">
                  <w:pPr>
                    <w:pStyle w:val="28"/>
                    <w:bidi w:val="0"/>
                    <w:rPr>
                      <w:rFonts w:hint="eastAsia"/>
                      <w:color w:val="auto"/>
                      <w:lang w:val="en-US" w:eastAsia="zh-CN"/>
                    </w:rPr>
                  </w:pPr>
                  <w:r>
                    <w:rPr>
                      <w:rFonts w:hint="eastAsia"/>
                      <w:color w:val="auto"/>
                      <w:lang w:val="en-US" w:eastAsia="zh-CN"/>
                    </w:rPr>
                    <w:t>供电</w:t>
                  </w:r>
                </w:p>
              </w:tc>
              <w:tc>
                <w:tcPr>
                  <w:tcW w:w="5817" w:type="dxa"/>
                  <w:gridSpan w:val="3"/>
                  <w:tcBorders>
                    <w:top w:val="single" w:color="auto" w:sz="4" w:space="0"/>
                    <w:bottom w:val="single" w:color="auto" w:sz="4" w:space="0"/>
                  </w:tcBorders>
                  <w:noWrap w:val="0"/>
                  <w:vAlign w:val="center"/>
                </w:tcPr>
                <w:p w14:paraId="359FA66D">
                  <w:pPr>
                    <w:pStyle w:val="28"/>
                    <w:bidi w:val="0"/>
                    <w:rPr>
                      <w:rFonts w:hint="eastAsia"/>
                      <w:color w:val="auto"/>
                      <w:lang w:val="en-US" w:eastAsia="zh-CN"/>
                    </w:rPr>
                  </w:pPr>
                  <w:r>
                    <w:rPr>
                      <w:rFonts w:hint="eastAsia"/>
                      <w:color w:val="auto"/>
                      <w:lang w:val="en-US" w:eastAsia="zh-CN"/>
                    </w:rPr>
                    <w:t>当地电网供给</w:t>
                  </w:r>
                </w:p>
              </w:tc>
              <w:tc>
                <w:tcPr>
                  <w:tcW w:w="890" w:type="dxa"/>
                  <w:tcBorders>
                    <w:top w:val="single" w:color="auto" w:sz="4" w:space="0"/>
                    <w:bottom w:val="single" w:color="auto" w:sz="4" w:space="0"/>
                  </w:tcBorders>
                  <w:noWrap w:val="0"/>
                  <w:vAlign w:val="center"/>
                </w:tcPr>
                <w:p w14:paraId="436B2B70">
                  <w:pPr>
                    <w:pStyle w:val="28"/>
                    <w:bidi w:val="0"/>
                    <w:rPr>
                      <w:color w:val="auto"/>
                      <w:lang w:eastAsia="zh-CN"/>
                    </w:rPr>
                  </w:pPr>
                  <w:r>
                    <w:rPr>
                      <w:rFonts w:hint="eastAsia"/>
                      <w:color w:val="auto"/>
                      <w:lang w:eastAsia="zh-CN"/>
                    </w:rPr>
                    <w:t>/</w:t>
                  </w:r>
                </w:p>
              </w:tc>
            </w:tr>
            <w:tr w14:paraId="7DD9E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tcBorders>
                    <w:top w:val="single" w:color="auto" w:sz="2" w:space="0"/>
                  </w:tcBorders>
                  <w:noWrap w:val="0"/>
                  <w:vAlign w:val="center"/>
                </w:tcPr>
                <w:p w14:paraId="2BB48355">
                  <w:pPr>
                    <w:pStyle w:val="28"/>
                    <w:bidi w:val="0"/>
                    <w:rPr>
                      <w:rFonts w:hint="eastAsia"/>
                      <w:color w:val="auto"/>
                      <w:lang w:val="en-US" w:eastAsia="zh-CN"/>
                    </w:rPr>
                  </w:pPr>
                </w:p>
              </w:tc>
              <w:tc>
                <w:tcPr>
                  <w:tcW w:w="832" w:type="dxa"/>
                  <w:tcBorders>
                    <w:top w:val="single" w:color="auto" w:sz="2" w:space="0"/>
                    <w:bottom w:val="single" w:color="auto" w:sz="2" w:space="0"/>
                  </w:tcBorders>
                  <w:noWrap w:val="0"/>
                  <w:vAlign w:val="center"/>
                </w:tcPr>
                <w:p w14:paraId="48598771">
                  <w:pPr>
                    <w:pStyle w:val="28"/>
                    <w:bidi w:val="0"/>
                    <w:rPr>
                      <w:rFonts w:hint="eastAsia"/>
                      <w:color w:val="auto"/>
                      <w:lang w:val="en-US" w:eastAsia="zh-CN"/>
                    </w:rPr>
                  </w:pPr>
                  <w:r>
                    <w:rPr>
                      <w:rFonts w:hint="eastAsia"/>
                      <w:color w:val="auto"/>
                      <w:lang w:val="en-US" w:eastAsia="zh-CN"/>
                    </w:rPr>
                    <w:t>供热</w:t>
                  </w:r>
                </w:p>
              </w:tc>
              <w:tc>
                <w:tcPr>
                  <w:tcW w:w="5817" w:type="dxa"/>
                  <w:gridSpan w:val="3"/>
                  <w:tcBorders>
                    <w:top w:val="single" w:color="auto" w:sz="4" w:space="0"/>
                    <w:bottom w:val="single" w:color="auto" w:sz="4" w:space="0"/>
                  </w:tcBorders>
                  <w:noWrap w:val="0"/>
                  <w:vAlign w:val="center"/>
                </w:tcPr>
                <w:p w14:paraId="2280C5F7">
                  <w:pPr>
                    <w:pStyle w:val="28"/>
                    <w:bidi w:val="0"/>
                    <w:rPr>
                      <w:rFonts w:hint="eastAsia"/>
                      <w:color w:val="auto"/>
                      <w:lang w:val="en-US" w:eastAsia="zh-CN"/>
                    </w:rPr>
                  </w:pPr>
                  <w:r>
                    <w:rPr>
                      <w:rFonts w:hint="eastAsia"/>
                      <w:color w:val="auto"/>
                      <w:lang w:val="en-US" w:eastAsia="zh-CN"/>
                    </w:rPr>
                    <w:t>市集中供暖供应</w:t>
                  </w:r>
                </w:p>
              </w:tc>
              <w:tc>
                <w:tcPr>
                  <w:tcW w:w="890" w:type="dxa"/>
                  <w:tcBorders>
                    <w:top w:val="single" w:color="auto" w:sz="4" w:space="0"/>
                    <w:bottom w:val="single" w:color="auto" w:sz="4" w:space="0"/>
                  </w:tcBorders>
                  <w:noWrap w:val="0"/>
                  <w:vAlign w:val="center"/>
                </w:tcPr>
                <w:p w14:paraId="6374684D">
                  <w:pPr>
                    <w:pStyle w:val="28"/>
                    <w:bidi w:val="0"/>
                    <w:rPr>
                      <w:color w:val="auto"/>
                      <w:lang w:eastAsia="zh-CN"/>
                    </w:rPr>
                  </w:pPr>
                  <w:r>
                    <w:rPr>
                      <w:rFonts w:hint="eastAsia"/>
                      <w:color w:val="auto"/>
                      <w:lang w:eastAsia="zh-CN"/>
                    </w:rPr>
                    <w:t>/</w:t>
                  </w:r>
                </w:p>
              </w:tc>
            </w:tr>
            <w:tr w14:paraId="03C8D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tcBorders>
                    <w:top w:val="single" w:color="auto" w:sz="2" w:space="0"/>
                  </w:tcBorders>
                  <w:noWrap w:val="0"/>
                  <w:vAlign w:val="center"/>
                </w:tcPr>
                <w:p w14:paraId="65B874C5">
                  <w:pPr>
                    <w:pStyle w:val="28"/>
                    <w:bidi w:val="0"/>
                    <w:rPr>
                      <w:rFonts w:hint="eastAsia"/>
                      <w:color w:val="auto"/>
                      <w:lang w:val="en-US" w:eastAsia="zh-CN"/>
                    </w:rPr>
                  </w:pPr>
                  <w:bookmarkStart w:id="5" w:name="OLE_LINK16" w:colFirst="2" w:colLast="2"/>
                </w:p>
              </w:tc>
              <w:tc>
                <w:tcPr>
                  <w:tcW w:w="832" w:type="dxa"/>
                  <w:tcBorders>
                    <w:top w:val="single" w:color="auto" w:sz="2" w:space="0"/>
                  </w:tcBorders>
                  <w:noWrap w:val="0"/>
                  <w:vAlign w:val="center"/>
                </w:tcPr>
                <w:p w14:paraId="46C8316E">
                  <w:pPr>
                    <w:pStyle w:val="28"/>
                    <w:bidi w:val="0"/>
                    <w:rPr>
                      <w:rFonts w:hint="eastAsia"/>
                      <w:color w:val="auto"/>
                      <w:lang w:val="en-US" w:eastAsia="zh-CN"/>
                    </w:rPr>
                  </w:pPr>
                  <w:r>
                    <w:rPr>
                      <w:rFonts w:hint="eastAsia"/>
                      <w:color w:val="auto"/>
                      <w:lang w:val="en-US" w:eastAsia="zh-CN"/>
                    </w:rPr>
                    <w:t>排水</w:t>
                  </w:r>
                </w:p>
              </w:tc>
              <w:tc>
                <w:tcPr>
                  <w:tcW w:w="5817" w:type="dxa"/>
                  <w:gridSpan w:val="3"/>
                  <w:tcBorders>
                    <w:top w:val="single" w:color="auto" w:sz="4" w:space="0"/>
                    <w:bottom w:val="single" w:color="auto" w:sz="4" w:space="0"/>
                  </w:tcBorders>
                  <w:noWrap w:val="0"/>
                  <w:vAlign w:val="center"/>
                </w:tcPr>
                <w:p w14:paraId="1C1603CB">
                  <w:pPr>
                    <w:pStyle w:val="28"/>
                    <w:bidi w:val="0"/>
                    <w:rPr>
                      <w:rFonts w:hint="eastAsia"/>
                      <w:color w:val="auto"/>
                      <w:lang w:val="en-US" w:eastAsia="zh-CN"/>
                    </w:rPr>
                  </w:pPr>
                  <w:r>
                    <w:rPr>
                      <w:rFonts w:hint="eastAsia"/>
                      <w:color w:val="auto"/>
                      <w:lang w:val="en-US" w:eastAsia="zh-CN"/>
                    </w:rPr>
                    <w:t>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w:t>
                  </w:r>
                  <w:r>
                    <w:rPr>
                      <w:rFonts w:hint="eastAsia"/>
                      <w:color w:val="auto"/>
                      <w:lang w:val="en-US" w:eastAsia="zh-CN"/>
                    </w:rPr>
                    <w:t>经一体化污水处理设施（处理能力0.2m</w:t>
                  </w:r>
                  <w:r>
                    <w:rPr>
                      <w:rFonts w:hint="eastAsia"/>
                      <w:color w:val="auto"/>
                      <w:vertAlign w:val="superscript"/>
                      <w:lang w:val="en-US" w:eastAsia="zh-CN"/>
                    </w:rPr>
                    <w:t>3</w:t>
                  </w:r>
                  <w:r>
                    <w:rPr>
                      <w:rFonts w:hint="eastAsia"/>
                      <w:color w:val="auto"/>
                      <w:lang w:val="en-US" w:eastAsia="zh-CN"/>
                    </w:rPr>
                    <w:t>/d）预处理后与生活污水一同排入市政污水管网</w:t>
                  </w:r>
                </w:p>
              </w:tc>
              <w:tc>
                <w:tcPr>
                  <w:tcW w:w="890" w:type="dxa"/>
                  <w:tcBorders>
                    <w:top w:val="single" w:color="auto" w:sz="4" w:space="0"/>
                    <w:bottom w:val="single" w:color="auto" w:sz="4" w:space="0"/>
                  </w:tcBorders>
                  <w:noWrap w:val="0"/>
                  <w:vAlign w:val="center"/>
                </w:tcPr>
                <w:p w14:paraId="70D2A5F8">
                  <w:pPr>
                    <w:pStyle w:val="28"/>
                    <w:bidi w:val="0"/>
                    <w:rPr>
                      <w:color w:val="auto"/>
                      <w:lang w:eastAsia="zh-CN"/>
                    </w:rPr>
                  </w:pPr>
                  <w:r>
                    <w:rPr>
                      <w:rFonts w:hint="eastAsia"/>
                      <w:color w:val="auto"/>
                      <w:lang w:eastAsia="zh-CN"/>
                    </w:rPr>
                    <w:t>/</w:t>
                  </w:r>
                </w:p>
              </w:tc>
            </w:tr>
            <w:bookmarkEnd w:id="5"/>
            <w:tr w14:paraId="7CF027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restart"/>
                  <w:tcBorders>
                    <w:top w:val="single" w:color="auto" w:sz="2" w:space="0"/>
                  </w:tcBorders>
                  <w:noWrap w:val="0"/>
                  <w:vAlign w:val="center"/>
                </w:tcPr>
                <w:p w14:paraId="112260F4">
                  <w:pPr>
                    <w:pStyle w:val="28"/>
                    <w:bidi w:val="0"/>
                    <w:rPr>
                      <w:rFonts w:hint="eastAsia"/>
                      <w:color w:val="auto"/>
                      <w:lang w:val="en-US" w:eastAsia="zh-CN"/>
                    </w:rPr>
                  </w:pPr>
                  <w:r>
                    <w:rPr>
                      <w:rFonts w:hint="eastAsia"/>
                      <w:color w:val="auto"/>
                      <w:lang w:val="en-US" w:eastAsia="zh-CN"/>
                    </w:rPr>
                    <w:t>环保工程</w:t>
                  </w:r>
                </w:p>
              </w:tc>
              <w:tc>
                <w:tcPr>
                  <w:tcW w:w="832" w:type="dxa"/>
                  <w:vMerge w:val="restart"/>
                  <w:noWrap w:val="0"/>
                  <w:vAlign w:val="center"/>
                </w:tcPr>
                <w:p w14:paraId="422CD63A">
                  <w:pPr>
                    <w:pStyle w:val="28"/>
                    <w:bidi w:val="0"/>
                    <w:rPr>
                      <w:rFonts w:hint="eastAsia"/>
                      <w:color w:val="auto"/>
                      <w:lang w:val="en-US" w:eastAsia="zh-CN"/>
                    </w:rPr>
                  </w:pPr>
                  <w:r>
                    <w:rPr>
                      <w:rFonts w:hint="eastAsia"/>
                      <w:color w:val="auto"/>
                      <w:lang w:val="en-US" w:eastAsia="zh-CN"/>
                    </w:rPr>
                    <w:t>废气</w:t>
                  </w:r>
                </w:p>
              </w:tc>
              <w:tc>
                <w:tcPr>
                  <w:tcW w:w="1081" w:type="dxa"/>
                  <w:tcBorders>
                    <w:top w:val="single" w:color="auto" w:sz="4" w:space="0"/>
                    <w:bottom w:val="single" w:color="auto" w:sz="4" w:space="0"/>
                  </w:tcBorders>
                  <w:noWrap w:val="0"/>
                  <w:vAlign w:val="center"/>
                </w:tcPr>
                <w:p w14:paraId="2E7A238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eastAsia"/>
                      <w:color w:val="auto"/>
                      <w:lang w:val="en-US" w:eastAsia="zh-CN"/>
                    </w:rPr>
                  </w:pPr>
                  <w:r>
                    <w:rPr>
                      <w:rFonts w:hint="default" w:ascii="Times New Roman" w:hAnsi="Times New Roman" w:eastAsia="宋体" w:cs="Times New Roman"/>
                      <w:b w:val="0"/>
                      <w:bCs w:val="0"/>
                      <w:color w:val="auto"/>
                      <w:kern w:val="2"/>
                      <w:sz w:val="21"/>
                      <w:szCs w:val="21"/>
                      <w:lang w:val="en-US" w:eastAsia="zh-CN" w:bidi="ar-SA"/>
                    </w:rPr>
                    <w:t>宠物本身散发或排泄物</w:t>
                  </w:r>
                  <w:r>
                    <w:rPr>
                      <w:rFonts w:hint="eastAsia" w:ascii="Times New Roman" w:hAnsi="Times New Roman" w:eastAsia="宋体" w:cs="Times New Roman"/>
                      <w:b w:val="0"/>
                      <w:bCs w:val="0"/>
                      <w:color w:val="auto"/>
                      <w:kern w:val="2"/>
                      <w:sz w:val="21"/>
                      <w:szCs w:val="21"/>
                      <w:lang w:val="en-US" w:eastAsia="zh-CN" w:bidi="ar-SA"/>
                    </w:rPr>
                    <w:t>异味</w:t>
                  </w:r>
                </w:p>
              </w:tc>
              <w:tc>
                <w:tcPr>
                  <w:tcW w:w="4736" w:type="dxa"/>
                  <w:gridSpan w:val="2"/>
                  <w:tcBorders>
                    <w:top w:val="single" w:color="auto" w:sz="4" w:space="0"/>
                    <w:bottom w:val="single" w:color="auto" w:sz="4" w:space="0"/>
                  </w:tcBorders>
                  <w:shd w:val="clear" w:color="auto" w:fill="auto"/>
                  <w:noWrap w:val="0"/>
                  <w:vAlign w:val="center"/>
                </w:tcPr>
                <w:p w14:paraId="03912CA2">
                  <w:pPr>
                    <w:pStyle w:val="28"/>
                    <w:bidi w:val="0"/>
                    <w:rPr>
                      <w:rFonts w:hint="default" w:ascii="Times New Roman" w:hAnsi="Times New Roman" w:eastAsia="宋体" w:cs="Times New Roman"/>
                      <w:bCs/>
                      <w:snapToGrid w:val="0"/>
                      <w:color w:val="auto"/>
                      <w:spacing w:val="8"/>
                      <w:kern w:val="0"/>
                      <w:sz w:val="21"/>
                      <w:szCs w:val="72"/>
                      <w:lang w:val="en-US" w:eastAsia="zh-CN"/>
                    </w:rPr>
                  </w:pPr>
                  <w:r>
                    <w:rPr>
                      <w:rFonts w:hint="default"/>
                      <w:color w:val="auto"/>
                      <w:lang w:val="en-US" w:eastAsia="zh-CN"/>
                    </w:rPr>
                    <w:t>动物粪便及时清理，消毒后装入密封袋，减少暴露时间，减少臭气产生；房间内采取紫外灯消毒、</w:t>
                  </w:r>
                  <w:r>
                    <w:rPr>
                      <w:rFonts w:hint="eastAsia"/>
                      <w:color w:val="auto"/>
                      <w:lang w:val="en-US" w:eastAsia="zh-CN"/>
                    </w:rPr>
                    <w:t>新风系统</w:t>
                  </w:r>
                  <w:r>
                    <w:rPr>
                      <w:rFonts w:hint="default"/>
                      <w:color w:val="auto"/>
                      <w:lang w:val="en-US" w:eastAsia="zh-CN"/>
                    </w:rPr>
                    <w:t>、</w:t>
                  </w:r>
                  <w:r>
                    <w:rPr>
                      <w:rFonts w:hint="eastAsia"/>
                      <w:color w:val="auto"/>
                      <w:lang w:val="en-US" w:eastAsia="zh-CN"/>
                    </w:rPr>
                    <w:t>喷洒生物除臭剂</w:t>
                  </w:r>
                  <w:r>
                    <w:rPr>
                      <w:rFonts w:hint="default"/>
                      <w:color w:val="auto"/>
                      <w:lang w:val="en-US" w:eastAsia="zh-CN"/>
                    </w:rPr>
                    <w:t>等措施</w:t>
                  </w:r>
                  <w:r>
                    <w:rPr>
                      <w:rFonts w:hint="eastAsia"/>
                      <w:color w:val="auto"/>
                      <w:lang w:val="en-US" w:eastAsia="zh-CN"/>
                    </w:rPr>
                    <w:t>。</w:t>
                  </w:r>
                </w:p>
              </w:tc>
              <w:tc>
                <w:tcPr>
                  <w:tcW w:w="890" w:type="dxa"/>
                  <w:tcBorders>
                    <w:top w:val="single" w:color="auto" w:sz="4" w:space="0"/>
                    <w:bottom w:val="single" w:color="auto" w:sz="4" w:space="0"/>
                  </w:tcBorders>
                  <w:noWrap w:val="0"/>
                  <w:vAlign w:val="center"/>
                </w:tcPr>
                <w:p w14:paraId="599E9273">
                  <w:pPr>
                    <w:pStyle w:val="28"/>
                    <w:bidi w:val="0"/>
                    <w:jc w:val="center"/>
                    <w:rPr>
                      <w:rFonts w:hint="default"/>
                      <w:color w:val="auto"/>
                      <w:lang w:val="en-US" w:eastAsia="zh-CN"/>
                    </w:rPr>
                  </w:pPr>
                  <w:r>
                    <w:rPr>
                      <w:rFonts w:hint="eastAsia"/>
                      <w:color w:val="auto"/>
                      <w:highlight w:val="none"/>
                      <w:lang w:val="en-US" w:eastAsia="zh-CN"/>
                    </w:rPr>
                    <w:t>已建</w:t>
                  </w:r>
                </w:p>
              </w:tc>
            </w:tr>
            <w:tr w14:paraId="68C30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712" w:type="dxa"/>
                  <w:vMerge w:val="continue"/>
                  <w:noWrap w:val="0"/>
                  <w:vAlign w:val="center"/>
                </w:tcPr>
                <w:p w14:paraId="568F43FE">
                  <w:pPr>
                    <w:pStyle w:val="28"/>
                    <w:bidi w:val="0"/>
                    <w:rPr>
                      <w:rFonts w:hint="eastAsia"/>
                      <w:color w:val="auto"/>
                      <w:lang w:val="en-US" w:eastAsia="zh-CN"/>
                    </w:rPr>
                  </w:pPr>
                </w:p>
              </w:tc>
              <w:tc>
                <w:tcPr>
                  <w:tcW w:w="832" w:type="dxa"/>
                  <w:vMerge w:val="continue"/>
                  <w:noWrap w:val="0"/>
                  <w:vAlign w:val="center"/>
                </w:tcPr>
                <w:p w14:paraId="689A7453">
                  <w:pPr>
                    <w:pStyle w:val="28"/>
                    <w:bidi w:val="0"/>
                    <w:rPr>
                      <w:rFonts w:hint="eastAsia"/>
                      <w:color w:val="auto"/>
                      <w:lang w:val="en-US" w:eastAsia="zh-CN"/>
                    </w:rPr>
                  </w:pPr>
                </w:p>
              </w:tc>
              <w:tc>
                <w:tcPr>
                  <w:tcW w:w="1081" w:type="dxa"/>
                  <w:tcBorders>
                    <w:top w:val="single" w:color="auto" w:sz="4" w:space="0"/>
                    <w:bottom w:val="single" w:color="auto" w:sz="4" w:space="0"/>
                  </w:tcBorders>
                  <w:noWrap w:val="0"/>
                  <w:vAlign w:val="center"/>
                </w:tcPr>
                <w:p w14:paraId="2EC010A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Cs/>
                      <w:snapToGrid w:val="0"/>
                      <w:color w:val="auto"/>
                      <w:spacing w:val="8"/>
                      <w:kern w:val="0"/>
                      <w:sz w:val="21"/>
                      <w:szCs w:val="72"/>
                      <w:highlight w:val="none"/>
                      <w:lang w:val="en-US" w:eastAsia="zh-CN"/>
                    </w:rPr>
                    <w:t>污水处理设施异味</w:t>
                  </w:r>
                </w:p>
              </w:tc>
              <w:tc>
                <w:tcPr>
                  <w:tcW w:w="4736" w:type="dxa"/>
                  <w:gridSpan w:val="2"/>
                  <w:tcBorders>
                    <w:top w:val="single" w:color="auto" w:sz="4" w:space="0"/>
                    <w:bottom w:val="single" w:color="auto" w:sz="4" w:space="0"/>
                  </w:tcBorders>
                  <w:shd w:val="clear" w:color="auto" w:fill="auto"/>
                  <w:noWrap w:val="0"/>
                  <w:vAlign w:val="center"/>
                </w:tcPr>
                <w:p w14:paraId="69F5ADF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color w:val="auto"/>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密闭</w:t>
                  </w:r>
                  <w:r>
                    <w:rPr>
                      <w:rFonts w:hint="eastAsia" w:ascii="Times New Roman" w:hAnsi="Times New Roman" w:eastAsia="宋体" w:cs="Times New Roman"/>
                      <w:bCs/>
                      <w:snapToGrid w:val="0"/>
                      <w:color w:val="auto"/>
                      <w:spacing w:val="8"/>
                      <w:kern w:val="0"/>
                      <w:sz w:val="21"/>
                      <w:szCs w:val="72"/>
                      <w:highlight w:val="none"/>
                      <w:lang w:val="en-US" w:eastAsia="zh-CN"/>
                    </w:rPr>
                    <w:t>设备</w:t>
                  </w:r>
                  <w:r>
                    <w:rPr>
                      <w:rFonts w:hint="default" w:ascii="Times New Roman" w:hAnsi="Times New Roman" w:eastAsia="宋体" w:cs="Times New Roman"/>
                      <w:bCs/>
                      <w:snapToGrid w:val="0"/>
                      <w:color w:val="auto"/>
                      <w:spacing w:val="8"/>
                      <w:kern w:val="0"/>
                      <w:sz w:val="21"/>
                      <w:szCs w:val="72"/>
                      <w:highlight w:val="none"/>
                      <w:lang w:val="en-US" w:eastAsia="zh-CN"/>
                    </w:rPr>
                    <w:t>，规模较小，</w:t>
                  </w:r>
                  <w:r>
                    <w:rPr>
                      <w:rFonts w:hint="eastAsia" w:ascii="Times New Roman" w:hAnsi="Times New Roman" w:eastAsia="宋体" w:cs="Times New Roman"/>
                      <w:bCs/>
                      <w:snapToGrid w:val="0"/>
                      <w:color w:val="auto"/>
                      <w:spacing w:val="8"/>
                      <w:kern w:val="0"/>
                      <w:sz w:val="21"/>
                      <w:szCs w:val="72"/>
                      <w:highlight w:val="none"/>
                      <w:lang w:val="en-US" w:eastAsia="zh-CN"/>
                    </w:rPr>
                    <w:t>经</w:t>
                  </w:r>
                  <w:r>
                    <w:rPr>
                      <w:rFonts w:hint="default" w:ascii="Times New Roman" w:hAnsi="Times New Roman" w:eastAsia="宋体" w:cs="Times New Roman"/>
                      <w:bCs/>
                      <w:snapToGrid w:val="0"/>
                      <w:color w:val="auto"/>
                      <w:spacing w:val="8"/>
                      <w:kern w:val="0"/>
                      <w:sz w:val="21"/>
                      <w:szCs w:val="72"/>
                      <w:highlight w:val="none"/>
                      <w:lang w:val="en-US" w:eastAsia="zh-CN"/>
                    </w:rPr>
                    <w:t>加强通风和定期消毒处理</w:t>
                  </w:r>
                  <w:r>
                    <w:rPr>
                      <w:rFonts w:hint="eastAsia" w:ascii="Times New Roman" w:hAnsi="Times New Roman" w:eastAsia="宋体" w:cs="Times New Roman"/>
                      <w:bCs/>
                      <w:snapToGrid w:val="0"/>
                      <w:color w:val="auto"/>
                      <w:spacing w:val="8"/>
                      <w:kern w:val="0"/>
                      <w:sz w:val="21"/>
                      <w:szCs w:val="72"/>
                      <w:highlight w:val="none"/>
                      <w:lang w:val="en-US" w:eastAsia="zh-CN"/>
                    </w:rPr>
                    <w:t>。</w:t>
                  </w:r>
                </w:p>
              </w:tc>
              <w:tc>
                <w:tcPr>
                  <w:tcW w:w="890" w:type="dxa"/>
                  <w:tcBorders>
                    <w:top w:val="single" w:color="auto" w:sz="4" w:space="0"/>
                    <w:bottom w:val="single" w:color="auto" w:sz="4" w:space="0"/>
                  </w:tcBorders>
                  <w:shd w:val="clear" w:color="auto" w:fill="auto"/>
                  <w:noWrap w:val="0"/>
                  <w:vAlign w:val="center"/>
                </w:tcPr>
                <w:p w14:paraId="778DC641">
                  <w:pPr>
                    <w:pStyle w:val="28"/>
                    <w:bidi w:val="0"/>
                    <w:rPr>
                      <w:rFonts w:hint="eastAsia" w:ascii="Times New Roman" w:hAnsi="Times New Roman" w:eastAsia="宋体" w:cs="Times New Roman"/>
                      <w:bCs/>
                      <w:snapToGrid w:val="0"/>
                      <w:color w:val="auto"/>
                      <w:spacing w:val="8"/>
                      <w:kern w:val="0"/>
                      <w:sz w:val="21"/>
                      <w:szCs w:val="72"/>
                      <w:highlight w:val="none"/>
                      <w:lang w:val="en-US" w:eastAsia="zh-CN"/>
                    </w:rPr>
                  </w:pPr>
                  <w:r>
                    <w:rPr>
                      <w:rFonts w:hint="eastAsia"/>
                      <w:color w:val="auto"/>
                      <w:highlight w:val="none"/>
                      <w:lang w:val="en-US" w:eastAsia="zh-CN"/>
                    </w:rPr>
                    <w:t>处理设施新建</w:t>
                  </w:r>
                </w:p>
              </w:tc>
            </w:tr>
            <w:tr w14:paraId="328BE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41221463">
                  <w:pPr>
                    <w:pStyle w:val="28"/>
                    <w:bidi w:val="0"/>
                    <w:rPr>
                      <w:rFonts w:hint="eastAsia"/>
                      <w:color w:val="auto"/>
                      <w:lang w:val="en-US" w:eastAsia="zh-CN"/>
                    </w:rPr>
                  </w:pPr>
                </w:p>
              </w:tc>
              <w:tc>
                <w:tcPr>
                  <w:tcW w:w="832" w:type="dxa"/>
                  <w:vMerge w:val="continue"/>
                  <w:noWrap w:val="0"/>
                  <w:vAlign w:val="center"/>
                </w:tcPr>
                <w:p w14:paraId="7A9BD59F">
                  <w:pPr>
                    <w:pStyle w:val="28"/>
                    <w:bidi w:val="0"/>
                    <w:rPr>
                      <w:rFonts w:hint="eastAsia"/>
                      <w:color w:val="auto"/>
                      <w:lang w:val="en-US" w:eastAsia="zh-CN"/>
                    </w:rPr>
                  </w:pPr>
                </w:p>
              </w:tc>
              <w:tc>
                <w:tcPr>
                  <w:tcW w:w="1081" w:type="dxa"/>
                  <w:tcBorders>
                    <w:top w:val="single" w:color="auto" w:sz="4" w:space="0"/>
                    <w:bottom w:val="single" w:color="auto" w:sz="4" w:space="0"/>
                  </w:tcBorders>
                  <w:noWrap w:val="0"/>
                  <w:vAlign w:val="center"/>
                </w:tcPr>
                <w:p w14:paraId="594A658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eastAsia"/>
                      <w:color w:val="auto"/>
                      <w:lang w:val="en-US" w:eastAsia="zh-CN"/>
                    </w:rPr>
                  </w:pPr>
                  <w:r>
                    <w:rPr>
                      <w:rFonts w:hint="eastAsia" w:ascii="Times New Roman" w:hAnsi="Times New Roman" w:eastAsia="宋体" w:cs="Times New Roman"/>
                      <w:bCs/>
                      <w:snapToGrid w:val="0"/>
                      <w:color w:val="auto"/>
                      <w:spacing w:val="8"/>
                      <w:kern w:val="0"/>
                      <w:sz w:val="21"/>
                      <w:szCs w:val="72"/>
                      <w:highlight w:val="none"/>
                      <w:lang w:val="en-US" w:eastAsia="zh-CN"/>
                    </w:rPr>
                    <w:t>危险废物</w:t>
                  </w:r>
                  <w:r>
                    <w:rPr>
                      <w:rFonts w:hint="default" w:ascii="Times New Roman" w:hAnsi="Times New Roman" w:eastAsia="宋体" w:cs="Times New Roman"/>
                      <w:bCs/>
                      <w:snapToGrid w:val="0"/>
                      <w:color w:val="auto"/>
                      <w:spacing w:val="8"/>
                      <w:kern w:val="0"/>
                      <w:sz w:val="21"/>
                      <w:szCs w:val="72"/>
                      <w:highlight w:val="none"/>
                      <w:lang w:val="en-US" w:eastAsia="zh-CN"/>
                    </w:rPr>
                    <w:t>贮存间</w:t>
                  </w:r>
                  <w:r>
                    <w:rPr>
                      <w:rFonts w:hint="eastAsia" w:ascii="Times New Roman" w:hAnsi="Times New Roman" w:eastAsia="宋体" w:cs="Times New Roman"/>
                      <w:bCs/>
                      <w:snapToGrid w:val="0"/>
                      <w:color w:val="auto"/>
                      <w:spacing w:val="8"/>
                      <w:kern w:val="0"/>
                      <w:sz w:val="21"/>
                      <w:szCs w:val="72"/>
                      <w:highlight w:val="none"/>
                      <w:lang w:val="en-US" w:eastAsia="zh-CN"/>
                    </w:rPr>
                    <w:t>异味</w:t>
                  </w:r>
                </w:p>
              </w:tc>
              <w:tc>
                <w:tcPr>
                  <w:tcW w:w="4736" w:type="dxa"/>
                  <w:gridSpan w:val="2"/>
                  <w:tcBorders>
                    <w:top w:val="single" w:color="auto" w:sz="4" w:space="0"/>
                    <w:bottom w:val="single" w:color="auto" w:sz="4" w:space="0"/>
                  </w:tcBorders>
                  <w:noWrap w:val="0"/>
                  <w:vAlign w:val="center"/>
                </w:tcPr>
                <w:p w14:paraId="1E0E9AB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color w:val="auto"/>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对医疗废物储存加盖密封，同时加强管理，做好消毒工作，及时清运，定期进行医疗废物贮存间存储设施、设备的清洁和消毒工作，确保医疗废物的暂存时间最多不超过2天</w:t>
                  </w:r>
                  <w:r>
                    <w:rPr>
                      <w:rFonts w:hint="eastAsia" w:ascii="Times New Roman" w:hAnsi="Times New Roman" w:eastAsia="宋体" w:cs="Times New Roman"/>
                      <w:bCs/>
                      <w:snapToGrid w:val="0"/>
                      <w:color w:val="auto"/>
                      <w:spacing w:val="8"/>
                      <w:kern w:val="0"/>
                      <w:sz w:val="21"/>
                      <w:szCs w:val="72"/>
                      <w:highlight w:val="none"/>
                      <w:lang w:val="en-US" w:eastAsia="zh-CN"/>
                    </w:rPr>
                    <w:t>。</w:t>
                  </w:r>
                </w:p>
              </w:tc>
              <w:tc>
                <w:tcPr>
                  <w:tcW w:w="890" w:type="dxa"/>
                  <w:tcBorders>
                    <w:top w:val="single" w:color="auto" w:sz="4" w:space="0"/>
                    <w:bottom w:val="single" w:color="auto" w:sz="4" w:space="0"/>
                  </w:tcBorders>
                  <w:shd w:val="clear" w:color="auto" w:fill="auto"/>
                  <w:noWrap w:val="0"/>
                  <w:vAlign w:val="center"/>
                </w:tcPr>
                <w:p w14:paraId="7AD01188">
                  <w:pPr>
                    <w:pStyle w:val="28"/>
                    <w:bidi w:val="0"/>
                    <w:rPr>
                      <w:rFonts w:hint="eastAsia" w:ascii="Times New Roman" w:hAnsi="Times New Roman" w:eastAsia="宋体" w:cs="Times New Roman"/>
                      <w:bCs/>
                      <w:snapToGrid w:val="0"/>
                      <w:color w:val="auto"/>
                      <w:spacing w:val="8"/>
                      <w:kern w:val="0"/>
                      <w:sz w:val="21"/>
                      <w:szCs w:val="72"/>
                      <w:highlight w:val="none"/>
                      <w:lang w:val="en-US" w:eastAsia="zh-CN"/>
                    </w:rPr>
                  </w:pPr>
                  <w:r>
                    <w:rPr>
                      <w:rFonts w:hint="default"/>
                      <w:color w:val="auto"/>
                      <w:highlight w:val="none"/>
                      <w:lang w:val="en-US" w:eastAsia="zh-CN"/>
                    </w:rPr>
                    <w:t>医疗废物贮存间</w:t>
                  </w:r>
                  <w:r>
                    <w:rPr>
                      <w:rFonts w:hint="eastAsia"/>
                      <w:color w:val="auto"/>
                      <w:lang w:val="en-US" w:eastAsia="zh-CN"/>
                    </w:rPr>
                    <w:t>新</w:t>
                  </w:r>
                  <w:r>
                    <w:rPr>
                      <w:rFonts w:hint="eastAsia"/>
                      <w:color w:val="auto"/>
                      <w:highlight w:val="none"/>
                      <w:lang w:val="en-US" w:eastAsia="zh-CN"/>
                    </w:rPr>
                    <w:t>建</w:t>
                  </w:r>
                </w:p>
              </w:tc>
            </w:tr>
            <w:tr w14:paraId="65339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4AB12574">
                  <w:pPr>
                    <w:pStyle w:val="28"/>
                    <w:bidi w:val="0"/>
                    <w:rPr>
                      <w:rFonts w:hint="eastAsia"/>
                      <w:color w:val="auto"/>
                      <w:lang w:val="en-US" w:eastAsia="zh-CN"/>
                    </w:rPr>
                  </w:pPr>
                </w:p>
              </w:tc>
              <w:tc>
                <w:tcPr>
                  <w:tcW w:w="832" w:type="dxa"/>
                  <w:noWrap w:val="0"/>
                  <w:vAlign w:val="center"/>
                </w:tcPr>
                <w:p w14:paraId="041C7873">
                  <w:pPr>
                    <w:pStyle w:val="28"/>
                    <w:bidi w:val="0"/>
                    <w:rPr>
                      <w:rFonts w:hint="eastAsia"/>
                      <w:color w:val="auto"/>
                      <w:lang w:val="en-US" w:eastAsia="zh-CN"/>
                    </w:rPr>
                  </w:pPr>
                  <w:r>
                    <w:rPr>
                      <w:rFonts w:hint="eastAsia"/>
                      <w:color w:val="auto"/>
                      <w:lang w:val="en-US" w:eastAsia="zh-CN"/>
                    </w:rPr>
                    <w:t>废水</w:t>
                  </w:r>
                </w:p>
              </w:tc>
              <w:tc>
                <w:tcPr>
                  <w:tcW w:w="5817" w:type="dxa"/>
                  <w:gridSpan w:val="3"/>
                  <w:tcBorders>
                    <w:top w:val="single" w:color="auto" w:sz="4" w:space="0"/>
                    <w:bottom w:val="single" w:color="auto" w:sz="4" w:space="0"/>
                  </w:tcBorders>
                  <w:noWrap w:val="0"/>
                  <w:vAlign w:val="center"/>
                </w:tcPr>
                <w:p w14:paraId="3F5EE56E">
                  <w:pPr>
                    <w:pStyle w:val="28"/>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val="en-US" w:eastAsia="zh-CN"/>
                    </w:rPr>
                  </w:pPr>
                  <w:bookmarkStart w:id="6" w:name="OLE_LINK15"/>
                  <w:r>
                    <w:rPr>
                      <w:rFonts w:hint="eastAsia"/>
                      <w:color w:val="auto"/>
                      <w:lang w:val="en-US" w:eastAsia="zh-CN"/>
                    </w:rPr>
                    <w:t>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w:t>
                  </w:r>
                  <w:r>
                    <w:rPr>
                      <w:rFonts w:hint="eastAsia"/>
                      <w:color w:val="auto"/>
                      <w:lang w:val="en-US" w:eastAsia="zh-CN"/>
                    </w:rPr>
                    <w:t>经一体化污水处理设施（处理能力0.2m</w:t>
                  </w:r>
                  <w:r>
                    <w:rPr>
                      <w:rFonts w:hint="eastAsia"/>
                      <w:color w:val="auto"/>
                      <w:vertAlign w:val="superscript"/>
                      <w:lang w:val="en-US" w:eastAsia="zh-CN"/>
                    </w:rPr>
                    <w:t>3</w:t>
                  </w:r>
                  <w:r>
                    <w:rPr>
                      <w:rFonts w:hint="eastAsia"/>
                      <w:color w:val="auto"/>
                      <w:lang w:val="en-US" w:eastAsia="zh-CN"/>
                    </w:rPr>
                    <w:t>/d）预处理后与生活污水一同排入市政污水管网</w:t>
                  </w:r>
                  <w:bookmarkEnd w:id="6"/>
                  <w:r>
                    <w:rPr>
                      <w:rFonts w:hint="eastAsia"/>
                      <w:color w:val="auto"/>
                      <w:lang w:val="en-US" w:eastAsia="zh-CN"/>
                    </w:rPr>
                    <w:t>，本项目所有废水最终进入库尔勒市老城区污水处理厂。</w:t>
                  </w:r>
                </w:p>
              </w:tc>
              <w:tc>
                <w:tcPr>
                  <w:tcW w:w="890" w:type="dxa"/>
                  <w:tcBorders>
                    <w:top w:val="single" w:color="auto" w:sz="4" w:space="0"/>
                    <w:bottom w:val="single" w:color="auto" w:sz="4" w:space="0"/>
                  </w:tcBorders>
                  <w:noWrap w:val="0"/>
                  <w:vAlign w:val="center"/>
                </w:tcPr>
                <w:p w14:paraId="50DBBC88">
                  <w:pPr>
                    <w:pStyle w:val="28"/>
                    <w:bidi w:val="0"/>
                    <w:rPr>
                      <w:rFonts w:hint="default"/>
                      <w:color w:val="auto"/>
                      <w:lang w:val="en-US" w:eastAsia="zh-CN"/>
                    </w:rPr>
                  </w:pPr>
                  <w:r>
                    <w:rPr>
                      <w:rFonts w:hint="eastAsia"/>
                      <w:color w:val="auto"/>
                      <w:lang w:val="en-US" w:eastAsia="zh-CN"/>
                    </w:rPr>
                    <w:t>新建</w:t>
                  </w:r>
                </w:p>
              </w:tc>
            </w:tr>
            <w:tr w14:paraId="7D1A61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69493BF1">
                  <w:pPr>
                    <w:pStyle w:val="28"/>
                    <w:bidi w:val="0"/>
                    <w:rPr>
                      <w:rFonts w:hint="eastAsia"/>
                      <w:color w:val="auto"/>
                      <w:lang w:val="en-US" w:eastAsia="zh-CN"/>
                    </w:rPr>
                  </w:pPr>
                </w:p>
              </w:tc>
              <w:tc>
                <w:tcPr>
                  <w:tcW w:w="832" w:type="dxa"/>
                  <w:noWrap w:val="0"/>
                  <w:vAlign w:val="center"/>
                </w:tcPr>
                <w:p w14:paraId="6994DF51">
                  <w:pPr>
                    <w:pStyle w:val="28"/>
                    <w:bidi w:val="0"/>
                    <w:rPr>
                      <w:rFonts w:hint="eastAsia"/>
                      <w:color w:val="auto"/>
                      <w:lang w:val="en-US" w:eastAsia="zh-CN"/>
                    </w:rPr>
                  </w:pPr>
                  <w:r>
                    <w:rPr>
                      <w:rFonts w:hint="eastAsia"/>
                      <w:color w:val="auto"/>
                      <w:lang w:val="en-US" w:eastAsia="zh-CN"/>
                    </w:rPr>
                    <w:t>噪声</w:t>
                  </w:r>
                </w:p>
              </w:tc>
              <w:tc>
                <w:tcPr>
                  <w:tcW w:w="5817" w:type="dxa"/>
                  <w:gridSpan w:val="3"/>
                  <w:tcBorders>
                    <w:top w:val="single" w:color="auto" w:sz="4" w:space="0"/>
                    <w:bottom w:val="single" w:color="auto" w:sz="4" w:space="0"/>
                  </w:tcBorders>
                  <w:noWrap w:val="0"/>
                  <w:vAlign w:val="center"/>
                </w:tcPr>
                <w:p w14:paraId="7431770F">
                  <w:pPr>
                    <w:pStyle w:val="28"/>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r>
                    <w:rPr>
                      <w:rFonts w:hint="eastAsia"/>
                      <w:color w:val="auto"/>
                      <w:lang w:val="en-US" w:eastAsia="zh-CN"/>
                    </w:rPr>
                    <w:t>选用低噪声设备，设备安装基础减振设施，室内隔声等。</w:t>
                  </w:r>
                </w:p>
              </w:tc>
              <w:tc>
                <w:tcPr>
                  <w:tcW w:w="890" w:type="dxa"/>
                  <w:tcBorders>
                    <w:top w:val="single" w:color="auto" w:sz="4" w:space="0"/>
                    <w:bottom w:val="single" w:color="auto" w:sz="4" w:space="0"/>
                  </w:tcBorders>
                  <w:noWrap w:val="0"/>
                  <w:vAlign w:val="center"/>
                </w:tcPr>
                <w:p w14:paraId="1CB56DDD">
                  <w:pPr>
                    <w:pStyle w:val="28"/>
                    <w:bidi w:val="0"/>
                    <w:rPr>
                      <w:rFonts w:hint="default"/>
                      <w:color w:val="auto"/>
                      <w:lang w:val="en-US" w:eastAsia="zh-CN"/>
                    </w:rPr>
                  </w:pPr>
                  <w:r>
                    <w:rPr>
                      <w:rFonts w:hint="eastAsia" w:ascii="Times New Roman" w:hAnsi="Times New Roman" w:eastAsia="宋体" w:cs="Times New Roman"/>
                      <w:bCs/>
                      <w:snapToGrid w:val="0"/>
                      <w:color w:val="auto"/>
                      <w:spacing w:val="8"/>
                      <w:kern w:val="0"/>
                      <w:sz w:val="21"/>
                      <w:szCs w:val="72"/>
                      <w:highlight w:val="none"/>
                      <w:lang w:val="en-US" w:eastAsia="zh-CN"/>
                    </w:rPr>
                    <w:t>已建</w:t>
                  </w:r>
                </w:p>
              </w:tc>
            </w:tr>
            <w:tr w14:paraId="4E9FB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0D946230">
                  <w:pPr>
                    <w:pStyle w:val="28"/>
                    <w:bidi w:val="0"/>
                    <w:rPr>
                      <w:rFonts w:hint="eastAsia"/>
                      <w:color w:val="auto"/>
                      <w:lang w:val="en-US" w:eastAsia="zh-CN"/>
                    </w:rPr>
                  </w:pPr>
                </w:p>
              </w:tc>
              <w:tc>
                <w:tcPr>
                  <w:tcW w:w="832" w:type="dxa"/>
                  <w:noWrap w:val="0"/>
                  <w:vAlign w:val="center"/>
                </w:tcPr>
                <w:p w14:paraId="6641E755">
                  <w:pPr>
                    <w:pStyle w:val="28"/>
                    <w:bidi w:val="0"/>
                    <w:rPr>
                      <w:rFonts w:hint="eastAsia"/>
                      <w:color w:val="auto"/>
                      <w:lang w:val="en-US" w:eastAsia="zh-CN"/>
                    </w:rPr>
                  </w:pPr>
                  <w:r>
                    <w:rPr>
                      <w:rFonts w:hint="eastAsia"/>
                      <w:color w:val="auto"/>
                      <w:lang w:val="en-US" w:eastAsia="zh-CN"/>
                    </w:rPr>
                    <w:t>环境</w:t>
                  </w:r>
                </w:p>
                <w:p w14:paraId="06082AD6">
                  <w:pPr>
                    <w:pStyle w:val="28"/>
                    <w:bidi w:val="0"/>
                    <w:rPr>
                      <w:rFonts w:hint="default"/>
                      <w:color w:val="auto"/>
                      <w:lang w:val="en-US" w:eastAsia="zh-CN"/>
                    </w:rPr>
                  </w:pPr>
                  <w:r>
                    <w:rPr>
                      <w:rFonts w:hint="eastAsia"/>
                      <w:color w:val="auto"/>
                      <w:lang w:val="en-US" w:eastAsia="zh-CN"/>
                    </w:rPr>
                    <w:t>风险</w:t>
                  </w:r>
                </w:p>
              </w:tc>
              <w:tc>
                <w:tcPr>
                  <w:tcW w:w="5817" w:type="dxa"/>
                  <w:gridSpan w:val="3"/>
                  <w:tcBorders>
                    <w:top w:val="single" w:color="auto" w:sz="4" w:space="0"/>
                    <w:bottom w:val="single" w:color="auto" w:sz="4" w:space="0"/>
                  </w:tcBorders>
                  <w:noWrap w:val="0"/>
                  <w:vAlign w:val="center"/>
                </w:tcPr>
                <w:p w14:paraId="570CFAC2">
                  <w:pPr>
                    <w:pStyle w:val="28"/>
                    <w:bidi w:val="0"/>
                    <w:rPr>
                      <w:rFonts w:hint="eastAsia"/>
                      <w:color w:val="auto"/>
                      <w:lang w:val="en-US" w:eastAsia="zh-CN"/>
                    </w:rPr>
                  </w:pPr>
                  <w:r>
                    <w:rPr>
                      <w:rFonts w:hint="eastAsia"/>
                      <w:color w:val="auto"/>
                      <w:lang w:val="en-US" w:eastAsia="zh-CN"/>
                    </w:rPr>
                    <w:t>一旦一体化污水处理设施出现故障时，切断一体化污水处理设备的出口阀门，未处理废水由空桶（容积为0.2m</w:t>
                  </w:r>
                  <w:r>
                    <w:rPr>
                      <w:rFonts w:hint="eastAsia"/>
                      <w:color w:val="auto"/>
                      <w:vertAlign w:val="superscript"/>
                      <w:lang w:val="en-US" w:eastAsia="zh-CN"/>
                    </w:rPr>
                    <w:t>3</w:t>
                  </w:r>
                  <w:r>
                    <w:rPr>
                      <w:rFonts w:hint="eastAsia"/>
                      <w:color w:val="auto"/>
                      <w:lang w:val="en-US" w:eastAsia="zh-CN"/>
                    </w:rPr>
                    <w:t>）收集后待设备恢复正常运行再由一体化污水处理设施进行处理；做好医院内部消毒、杀虫、灭鼠工作，对于患病宠物和可疑患病宠物应加强管理。</w:t>
                  </w:r>
                </w:p>
              </w:tc>
              <w:tc>
                <w:tcPr>
                  <w:tcW w:w="890" w:type="dxa"/>
                  <w:tcBorders>
                    <w:top w:val="single" w:color="auto" w:sz="4" w:space="0"/>
                    <w:bottom w:val="single" w:color="auto" w:sz="4" w:space="0"/>
                  </w:tcBorders>
                  <w:noWrap w:val="0"/>
                  <w:vAlign w:val="center"/>
                </w:tcPr>
                <w:p w14:paraId="3C7F2800">
                  <w:pPr>
                    <w:pStyle w:val="28"/>
                    <w:bidi w:val="0"/>
                    <w:rPr>
                      <w:rFonts w:hint="eastAsia"/>
                      <w:color w:val="auto"/>
                      <w:lang w:val="en-US" w:eastAsia="zh-CN"/>
                    </w:rPr>
                  </w:pPr>
                  <w:r>
                    <w:rPr>
                      <w:rFonts w:hint="eastAsia"/>
                      <w:color w:val="auto"/>
                      <w:lang w:val="en-US" w:eastAsia="zh-CN"/>
                    </w:rPr>
                    <w:t>新建</w:t>
                  </w:r>
                </w:p>
              </w:tc>
            </w:tr>
            <w:tr w14:paraId="5F74D5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005270E7">
                  <w:pPr>
                    <w:pStyle w:val="28"/>
                    <w:bidi w:val="0"/>
                    <w:rPr>
                      <w:rFonts w:hint="eastAsia"/>
                      <w:color w:val="auto"/>
                      <w:lang w:val="en-US" w:eastAsia="zh-CN"/>
                    </w:rPr>
                  </w:pPr>
                </w:p>
              </w:tc>
              <w:tc>
                <w:tcPr>
                  <w:tcW w:w="832" w:type="dxa"/>
                  <w:vMerge w:val="restart"/>
                  <w:noWrap w:val="0"/>
                  <w:vAlign w:val="center"/>
                </w:tcPr>
                <w:p w14:paraId="123C78D4">
                  <w:pPr>
                    <w:pStyle w:val="28"/>
                    <w:bidi w:val="0"/>
                    <w:rPr>
                      <w:rFonts w:hint="default"/>
                      <w:color w:val="auto"/>
                      <w:lang w:val="en-US" w:eastAsia="zh-CN"/>
                    </w:rPr>
                  </w:pPr>
                  <w:r>
                    <w:rPr>
                      <w:rFonts w:hint="eastAsia"/>
                      <w:color w:val="auto"/>
                      <w:lang w:val="en-US" w:eastAsia="zh-CN"/>
                    </w:rPr>
                    <w:t>一般固废</w:t>
                  </w:r>
                </w:p>
              </w:tc>
              <w:tc>
                <w:tcPr>
                  <w:tcW w:w="1403" w:type="dxa"/>
                  <w:gridSpan w:val="2"/>
                  <w:tcBorders>
                    <w:top w:val="single" w:color="auto" w:sz="4" w:space="0"/>
                    <w:bottom w:val="single" w:color="auto" w:sz="4" w:space="0"/>
                    <w:right w:val="single" w:color="auto" w:sz="2" w:space="0"/>
                  </w:tcBorders>
                  <w:noWrap w:val="0"/>
                  <w:vAlign w:val="center"/>
                </w:tcPr>
                <w:p w14:paraId="7A157728">
                  <w:pPr>
                    <w:pStyle w:val="28"/>
                    <w:bidi w:val="0"/>
                    <w:rPr>
                      <w:rFonts w:hint="eastAsia"/>
                      <w:color w:val="auto"/>
                      <w:lang w:val="en-US" w:eastAsia="zh-CN"/>
                    </w:rPr>
                  </w:pPr>
                  <w:r>
                    <w:rPr>
                      <w:rFonts w:hint="default"/>
                      <w:color w:val="auto"/>
                      <w:lang w:val="en-US" w:eastAsia="zh-CN"/>
                    </w:rPr>
                    <w:t>拆包过程产生的废包装物、</w:t>
                  </w:r>
                  <w:r>
                    <w:rPr>
                      <w:rFonts w:hint="eastAsia"/>
                      <w:color w:val="auto"/>
                      <w:lang w:val="en-US" w:eastAsia="zh-CN"/>
                    </w:rPr>
                    <w:t>未被污染的</w:t>
                  </w:r>
                  <w:r>
                    <w:rPr>
                      <w:rFonts w:hint="default"/>
                      <w:color w:val="auto"/>
                      <w:lang w:val="en-US" w:eastAsia="zh-CN"/>
                    </w:rPr>
                    <w:t>输液瓶（袋）</w:t>
                  </w:r>
                </w:p>
              </w:tc>
              <w:tc>
                <w:tcPr>
                  <w:tcW w:w="4414" w:type="dxa"/>
                  <w:tcBorders>
                    <w:top w:val="single" w:color="auto" w:sz="4" w:space="0"/>
                    <w:left w:val="single" w:color="auto" w:sz="2" w:space="0"/>
                    <w:bottom w:val="single" w:color="auto" w:sz="4" w:space="0"/>
                  </w:tcBorders>
                  <w:noWrap w:val="0"/>
                  <w:vAlign w:val="center"/>
                </w:tcPr>
                <w:p w14:paraId="29D72DF5">
                  <w:pPr>
                    <w:pStyle w:val="28"/>
                    <w:bidi w:val="0"/>
                    <w:rPr>
                      <w:rFonts w:hint="eastAsia"/>
                      <w:color w:val="auto"/>
                      <w:lang w:val="en-US" w:eastAsia="zh-CN"/>
                    </w:rPr>
                  </w:pPr>
                  <w:r>
                    <w:rPr>
                      <w:rFonts w:hint="default"/>
                      <w:color w:val="auto"/>
                      <w:highlight w:val="none"/>
                      <w:lang w:val="en-US" w:eastAsia="zh-CN"/>
                    </w:rPr>
                    <w:t>收集暂存</w:t>
                  </w:r>
                  <w:r>
                    <w:rPr>
                      <w:rFonts w:hint="eastAsia"/>
                      <w:color w:val="auto"/>
                      <w:highlight w:val="none"/>
                      <w:lang w:val="en-US" w:eastAsia="zh-CN"/>
                    </w:rPr>
                    <w:t>一般固废暂存区</w:t>
                  </w:r>
                  <w:r>
                    <w:rPr>
                      <w:rFonts w:hint="default"/>
                      <w:color w:val="auto"/>
                      <w:highlight w:val="none"/>
                      <w:lang w:val="en-US" w:eastAsia="zh-CN"/>
                    </w:rPr>
                    <w:t>，交由</w:t>
                  </w:r>
                  <w:r>
                    <w:rPr>
                      <w:rFonts w:hint="eastAsia"/>
                      <w:color w:val="auto"/>
                      <w:highlight w:val="none"/>
                      <w:lang w:val="en-US" w:eastAsia="zh-CN"/>
                    </w:rPr>
                    <w:t>再生资源回收单位</w:t>
                  </w:r>
                  <w:r>
                    <w:rPr>
                      <w:rFonts w:hint="default"/>
                      <w:color w:val="auto"/>
                      <w:highlight w:val="none"/>
                      <w:lang w:val="en-US" w:eastAsia="zh-CN"/>
                    </w:rPr>
                    <w:t>处置。</w:t>
                  </w:r>
                </w:p>
              </w:tc>
              <w:tc>
                <w:tcPr>
                  <w:tcW w:w="890" w:type="dxa"/>
                  <w:tcBorders>
                    <w:top w:val="single" w:color="auto" w:sz="4" w:space="0"/>
                    <w:bottom w:val="single" w:color="auto" w:sz="4" w:space="0"/>
                  </w:tcBorders>
                  <w:noWrap w:val="0"/>
                  <w:vAlign w:val="center"/>
                </w:tcPr>
                <w:p w14:paraId="58AC0978">
                  <w:pPr>
                    <w:pStyle w:val="28"/>
                    <w:bidi w:val="0"/>
                    <w:rPr>
                      <w:rFonts w:hint="default"/>
                      <w:color w:val="auto"/>
                      <w:lang w:val="en-US" w:eastAsia="zh-CN"/>
                    </w:rPr>
                  </w:pPr>
                  <w:r>
                    <w:rPr>
                      <w:rFonts w:hint="eastAsia"/>
                      <w:color w:val="auto"/>
                      <w:lang w:val="en-US" w:eastAsia="zh-CN"/>
                    </w:rPr>
                    <w:t>/</w:t>
                  </w:r>
                </w:p>
              </w:tc>
            </w:tr>
            <w:tr w14:paraId="776528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44983AF6">
                  <w:pPr>
                    <w:pStyle w:val="28"/>
                    <w:bidi w:val="0"/>
                    <w:rPr>
                      <w:color w:val="auto"/>
                      <w:lang w:eastAsia="zh-CN"/>
                    </w:rPr>
                  </w:pPr>
                </w:p>
              </w:tc>
              <w:tc>
                <w:tcPr>
                  <w:tcW w:w="832" w:type="dxa"/>
                  <w:vMerge w:val="continue"/>
                  <w:noWrap w:val="0"/>
                  <w:vAlign w:val="center"/>
                </w:tcPr>
                <w:p w14:paraId="65803C44">
                  <w:pPr>
                    <w:pStyle w:val="28"/>
                    <w:bidi w:val="0"/>
                    <w:rPr>
                      <w:color w:val="auto"/>
                      <w:lang w:eastAsia="zh-CN"/>
                    </w:rPr>
                  </w:pPr>
                </w:p>
              </w:tc>
              <w:tc>
                <w:tcPr>
                  <w:tcW w:w="1403" w:type="dxa"/>
                  <w:gridSpan w:val="2"/>
                  <w:tcBorders>
                    <w:top w:val="single" w:color="auto" w:sz="4" w:space="0"/>
                    <w:bottom w:val="single" w:color="auto" w:sz="4" w:space="0"/>
                    <w:right w:val="single" w:color="auto" w:sz="2" w:space="0"/>
                  </w:tcBorders>
                  <w:noWrap w:val="0"/>
                  <w:vAlign w:val="center"/>
                </w:tcPr>
                <w:p w14:paraId="2213BCB1">
                  <w:pPr>
                    <w:pStyle w:val="28"/>
                    <w:bidi w:val="0"/>
                    <w:rPr>
                      <w:rFonts w:hint="default"/>
                      <w:color w:val="auto"/>
                      <w:lang w:val="en-US" w:eastAsia="zh-CN"/>
                    </w:rPr>
                  </w:pPr>
                  <w:r>
                    <w:rPr>
                      <w:rFonts w:hint="eastAsia"/>
                      <w:color w:val="auto"/>
                      <w:lang w:val="en-US" w:eastAsia="zh-CN"/>
                    </w:rPr>
                    <w:t>健康</w:t>
                  </w:r>
                  <w:r>
                    <w:rPr>
                      <w:rFonts w:hint="default"/>
                      <w:color w:val="auto"/>
                      <w:lang w:val="en-US" w:eastAsia="zh-CN"/>
                    </w:rPr>
                    <w:t>宠物粪便</w:t>
                  </w:r>
                  <w:r>
                    <w:rPr>
                      <w:rFonts w:hint="eastAsia"/>
                      <w:color w:val="auto"/>
                      <w:lang w:val="en-US" w:eastAsia="zh-CN"/>
                    </w:rPr>
                    <w:t>及猫砂</w:t>
                  </w:r>
                </w:p>
              </w:tc>
              <w:tc>
                <w:tcPr>
                  <w:tcW w:w="4414" w:type="dxa"/>
                  <w:tcBorders>
                    <w:top w:val="single" w:color="auto" w:sz="4" w:space="0"/>
                    <w:left w:val="single" w:color="auto" w:sz="2" w:space="0"/>
                    <w:bottom w:val="single" w:color="auto" w:sz="4" w:space="0"/>
                  </w:tcBorders>
                  <w:noWrap w:val="0"/>
                  <w:vAlign w:val="center"/>
                </w:tcPr>
                <w:p w14:paraId="5BF3A864">
                  <w:pPr>
                    <w:pStyle w:val="28"/>
                    <w:bidi w:val="0"/>
                    <w:rPr>
                      <w:rFonts w:hint="eastAsia"/>
                      <w:color w:val="auto"/>
                      <w:lang w:eastAsia="zh-CN"/>
                    </w:rPr>
                  </w:pPr>
                  <w:r>
                    <w:rPr>
                      <w:rFonts w:hint="eastAsia"/>
                      <w:color w:val="auto"/>
                      <w:lang w:val="en-US" w:eastAsia="zh-CN"/>
                    </w:rPr>
                    <w:t>采用专用包装袋收集后统一由环卫部门处置。</w:t>
                  </w:r>
                </w:p>
              </w:tc>
              <w:tc>
                <w:tcPr>
                  <w:tcW w:w="890" w:type="dxa"/>
                  <w:tcBorders>
                    <w:top w:val="single" w:color="auto" w:sz="4" w:space="0"/>
                    <w:bottom w:val="single" w:color="auto" w:sz="4" w:space="0"/>
                  </w:tcBorders>
                  <w:noWrap w:val="0"/>
                  <w:vAlign w:val="center"/>
                </w:tcPr>
                <w:p w14:paraId="2404C23C">
                  <w:pPr>
                    <w:pStyle w:val="28"/>
                    <w:bidi w:val="0"/>
                    <w:rPr>
                      <w:rFonts w:hint="default"/>
                      <w:color w:val="auto"/>
                      <w:lang w:val="en-US" w:eastAsia="zh-CN"/>
                    </w:rPr>
                  </w:pPr>
                  <w:r>
                    <w:rPr>
                      <w:rFonts w:hint="eastAsia"/>
                      <w:color w:val="auto"/>
                      <w:lang w:val="en-US" w:eastAsia="zh-CN"/>
                    </w:rPr>
                    <w:t>/</w:t>
                  </w:r>
                </w:p>
              </w:tc>
            </w:tr>
            <w:tr w14:paraId="3094C2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52C752AD">
                  <w:pPr>
                    <w:pStyle w:val="28"/>
                    <w:bidi w:val="0"/>
                    <w:rPr>
                      <w:color w:val="auto"/>
                      <w:lang w:eastAsia="zh-CN"/>
                    </w:rPr>
                  </w:pPr>
                </w:p>
              </w:tc>
              <w:tc>
                <w:tcPr>
                  <w:tcW w:w="832" w:type="dxa"/>
                  <w:vMerge w:val="continue"/>
                  <w:noWrap w:val="0"/>
                  <w:vAlign w:val="center"/>
                </w:tcPr>
                <w:p w14:paraId="401FA10E">
                  <w:pPr>
                    <w:pStyle w:val="28"/>
                    <w:bidi w:val="0"/>
                    <w:rPr>
                      <w:color w:val="auto"/>
                      <w:lang w:eastAsia="zh-CN"/>
                    </w:rPr>
                  </w:pPr>
                </w:p>
              </w:tc>
              <w:tc>
                <w:tcPr>
                  <w:tcW w:w="1403" w:type="dxa"/>
                  <w:gridSpan w:val="2"/>
                  <w:tcBorders>
                    <w:top w:val="single" w:color="auto" w:sz="4" w:space="0"/>
                    <w:bottom w:val="single" w:color="auto" w:sz="4" w:space="0"/>
                    <w:right w:val="single" w:color="auto" w:sz="2" w:space="0"/>
                  </w:tcBorders>
                  <w:noWrap w:val="0"/>
                  <w:vAlign w:val="center"/>
                </w:tcPr>
                <w:p w14:paraId="47F7B0E7">
                  <w:pPr>
                    <w:pStyle w:val="28"/>
                    <w:bidi w:val="0"/>
                    <w:rPr>
                      <w:rFonts w:hint="eastAsia"/>
                      <w:color w:val="auto"/>
                      <w:lang w:val="en-US" w:eastAsia="zh-CN"/>
                    </w:rPr>
                  </w:pPr>
                  <w:r>
                    <w:rPr>
                      <w:rFonts w:hint="default"/>
                      <w:color w:val="auto"/>
                      <w:highlight w:val="none"/>
                      <w:lang w:val="en-US" w:eastAsia="zh-CN"/>
                    </w:rPr>
                    <w:t>宠物毛发</w:t>
                  </w:r>
                </w:p>
              </w:tc>
              <w:tc>
                <w:tcPr>
                  <w:tcW w:w="4414" w:type="dxa"/>
                  <w:tcBorders>
                    <w:top w:val="single" w:color="auto" w:sz="4" w:space="0"/>
                    <w:left w:val="single" w:color="auto" w:sz="2" w:space="0"/>
                    <w:bottom w:val="single" w:color="auto" w:sz="4" w:space="0"/>
                  </w:tcBorders>
                  <w:noWrap w:val="0"/>
                  <w:vAlign w:val="center"/>
                </w:tcPr>
                <w:p w14:paraId="19AE873C">
                  <w:pPr>
                    <w:pStyle w:val="28"/>
                    <w:bidi w:val="0"/>
                    <w:rPr>
                      <w:rFonts w:hint="eastAsia"/>
                      <w:color w:val="auto"/>
                      <w:lang w:val="en-US" w:eastAsia="zh-CN"/>
                    </w:rPr>
                  </w:pPr>
                  <w:r>
                    <w:rPr>
                      <w:rFonts w:hint="default"/>
                      <w:color w:val="auto"/>
                      <w:highlight w:val="none"/>
                      <w:lang w:val="en-US" w:eastAsia="zh-CN"/>
                    </w:rPr>
                    <w:t>交由环卫部门处置。</w:t>
                  </w:r>
                </w:p>
              </w:tc>
              <w:tc>
                <w:tcPr>
                  <w:tcW w:w="890" w:type="dxa"/>
                  <w:tcBorders>
                    <w:top w:val="single" w:color="auto" w:sz="4" w:space="0"/>
                    <w:bottom w:val="single" w:color="auto" w:sz="4" w:space="0"/>
                  </w:tcBorders>
                  <w:noWrap w:val="0"/>
                  <w:vAlign w:val="center"/>
                </w:tcPr>
                <w:p w14:paraId="29F150AF">
                  <w:pPr>
                    <w:pStyle w:val="28"/>
                    <w:bidi w:val="0"/>
                    <w:rPr>
                      <w:rFonts w:hint="eastAsia"/>
                      <w:color w:val="auto"/>
                      <w:lang w:val="en-US" w:eastAsia="zh-CN"/>
                    </w:rPr>
                  </w:pPr>
                </w:p>
              </w:tc>
            </w:tr>
            <w:tr w14:paraId="1C827D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12" w:type="dxa"/>
                  <w:vMerge w:val="continue"/>
                  <w:noWrap w:val="0"/>
                  <w:vAlign w:val="center"/>
                </w:tcPr>
                <w:p w14:paraId="12A160C9">
                  <w:pPr>
                    <w:pStyle w:val="28"/>
                    <w:bidi w:val="0"/>
                    <w:rPr>
                      <w:color w:val="auto"/>
                      <w:lang w:eastAsia="zh-CN"/>
                    </w:rPr>
                  </w:pPr>
                </w:p>
              </w:tc>
              <w:tc>
                <w:tcPr>
                  <w:tcW w:w="832" w:type="dxa"/>
                  <w:vMerge w:val="continue"/>
                  <w:noWrap w:val="0"/>
                  <w:vAlign w:val="center"/>
                </w:tcPr>
                <w:p w14:paraId="6F6126F6">
                  <w:pPr>
                    <w:pStyle w:val="28"/>
                    <w:bidi w:val="0"/>
                    <w:rPr>
                      <w:color w:val="auto"/>
                      <w:lang w:eastAsia="zh-CN"/>
                    </w:rPr>
                  </w:pPr>
                </w:p>
              </w:tc>
              <w:tc>
                <w:tcPr>
                  <w:tcW w:w="1403" w:type="dxa"/>
                  <w:gridSpan w:val="2"/>
                  <w:tcBorders>
                    <w:top w:val="single" w:color="auto" w:sz="4" w:space="0"/>
                    <w:bottom w:val="single" w:color="auto" w:sz="4" w:space="0"/>
                    <w:right w:val="single" w:color="auto" w:sz="2" w:space="0"/>
                  </w:tcBorders>
                  <w:noWrap w:val="0"/>
                  <w:vAlign w:val="center"/>
                </w:tcPr>
                <w:p w14:paraId="06A188D2">
                  <w:pPr>
                    <w:pStyle w:val="28"/>
                    <w:bidi w:val="0"/>
                    <w:rPr>
                      <w:rFonts w:hint="default"/>
                      <w:color w:val="auto"/>
                      <w:lang w:val="en-US" w:eastAsia="zh-CN"/>
                    </w:rPr>
                  </w:pPr>
                  <w:r>
                    <w:rPr>
                      <w:rFonts w:hint="default"/>
                      <w:color w:val="auto"/>
                      <w:lang w:val="en-US" w:eastAsia="zh-CN"/>
                    </w:rPr>
                    <w:t>生活垃圾</w:t>
                  </w:r>
                </w:p>
              </w:tc>
              <w:tc>
                <w:tcPr>
                  <w:tcW w:w="4414" w:type="dxa"/>
                  <w:tcBorders>
                    <w:top w:val="single" w:color="auto" w:sz="4" w:space="0"/>
                    <w:left w:val="single" w:color="auto" w:sz="2" w:space="0"/>
                    <w:bottom w:val="single" w:color="auto" w:sz="4" w:space="0"/>
                  </w:tcBorders>
                  <w:noWrap w:val="0"/>
                  <w:vAlign w:val="center"/>
                </w:tcPr>
                <w:p w14:paraId="4EFC681E">
                  <w:pPr>
                    <w:pStyle w:val="28"/>
                    <w:bidi w:val="0"/>
                    <w:rPr>
                      <w:rFonts w:hint="eastAsia"/>
                      <w:color w:val="auto"/>
                      <w:lang w:eastAsia="zh-CN"/>
                    </w:rPr>
                  </w:pPr>
                  <w:r>
                    <w:rPr>
                      <w:rFonts w:hint="default"/>
                      <w:color w:val="auto"/>
                      <w:lang w:val="en-US" w:eastAsia="zh-CN"/>
                    </w:rPr>
                    <w:t>集中收集至垃圾桶后，由环卫部门统一收运处置。</w:t>
                  </w:r>
                </w:p>
              </w:tc>
              <w:tc>
                <w:tcPr>
                  <w:tcW w:w="890" w:type="dxa"/>
                  <w:tcBorders>
                    <w:top w:val="single" w:color="auto" w:sz="4" w:space="0"/>
                    <w:bottom w:val="single" w:color="auto" w:sz="4" w:space="0"/>
                  </w:tcBorders>
                  <w:noWrap w:val="0"/>
                  <w:vAlign w:val="center"/>
                </w:tcPr>
                <w:p w14:paraId="3BD28D02">
                  <w:pPr>
                    <w:pStyle w:val="28"/>
                    <w:bidi w:val="0"/>
                    <w:rPr>
                      <w:rFonts w:hint="default"/>
                      <w:color w:val="auto"/>
                      <w:lang w:val="en-US" w:eastAsia="zh-CN"/>
                    </w:rPr>
                  </w:pPr>
                  <w:r>
                    <w:rPr>
                      <w:rFonts w:hint="eastAsia"/>
                      <w:color w:val="auto"/>
                      <w:lang w:val="en-US" w:eastAsia="zh-CN"/>
                    </w:rPr>
                    <w:t>/</w:t>
                  </w:r>
                </w:p>
              </w:tc>
            </w:tr>
            <w:tr w14:paraId="140AF7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12" w:type="dxa"/>
                  <w:vMerge w:val="continue"/>
                  <w:noWrap w:val="0"/>
                  <w:vAlign w:val="center"/>
                </w:tcPr>
                <w:p w14:paraId="40E22D78">
                  <w:pPr>
                    <w:pStyle w:val="28"/>
                    <w:bidi w:val="0"/>
                    <w:rPr>
                      <w:color w:val="auto"/>
                      <w:lang w:eastAsia="zh-CN"/>
                    </w:rPr>
                  </w:pPr>
                </w:p>
              </w:tc>
              <w:tc>
                <w:tcPr>
                  <w:tcW w:w="832" w:type="dxa"/>
                  <w:vMerge w:val="continue"/>
                  <w:noWrap w:val="0"/>
                  <w:vAlign w:val="center"/>
                </w:tcPr>
                <w:p w14:paraId="79F7F569">
                  <w:pPr>
                    <w:pStyle w:val="28"/>
                    <w:bidi w:val="0"/>
                    <w:rPr>
                      <w:rFonts w:hint="default"/>
                      <w:color w:val="auto"/>
                      <w:lang w:val="en-US" w:eastAsia="zh-CN"/>
                    </w:rPr>
                  </w:pPr>
                </w:p>
              </w:tc>
              <w:tc>
                <w:tcPr>
                  <w:tcW w:w="1403" w:type="dxa"/>
                  <w:gridSpan w:val="2"/>
                  <w:tcBorders>
                    <w:top w:val="single" w:color="auto" w:sz="4" w:space="0"/>
                    <w:bottom w:val="single" w:color="auto" w:sz="4" w:space="0"/>
                    <w:right w:val="single" w:color="auto" w:sz="2" w:space="0"/>
                  </w:tcBorders>
                  <w:shd w:val="clear" w:color="auto" w:fill="auto"/>
                  <w:noWrap w:val="0"/>
                  <w:vAlign w:val="center"/>
                </w:tcPr>
                <w:p w14:paraId="543D4032">
                  <w:pPr>
                    <w:pStyle w:val="28"/>
                    <w:bidi w:val="0"/>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动物尸体</w:t>
                  </w:r>
                </w:p>
              </w:tc>
              <w:tc>
                <w:tcPr>
                  <w:tcW w:w="4414" w:type="dxa"/>
                  <w:tcBorders>
                    <w:top w:val="single" w:color="auto" w:sz="4" w:space="0"/>
                    <w:left w:val="single" w:color="auto" w:sz="2" w:space="0"/>
                    <w:bottom w:val="single" w:color="auto" w:sz="4" w:space="0"/>
                  </w:tcBorders>
                  <w:shd w:val="clear" w:color="auto" w:fill="auto"/>
                  <w:noWrap w:val="0"/>
                  <w:vAlign w:val="center"/>
                </w:tcPr>
                <w:p w14:paraId="4E4CC139">
                  <w:pPr>
                    <w:pStyle w:val="28"/>
                    <w:bidi w:val="0"/>
                    <w:rPr>
                      <w:rFonts w:hint="default" w:ascii="Times New Roman" w:hAnsi="Times New Roman" w:eastAsia="宋体" w:cs="Times New Roman"/>
                      <w:bCs/>
                      <w:snapToGrid w:val="0"/>
                      <w:color w:val="auto"/>
                      <w:spacing w:val="8"/>
                      <w:kern w:val="0"/>
                      <w:sz w:val="21"/>
                      <w:szCs w:val="72"/>
                      <w:lang w:val="en-US" w:eastAsia="zh-CN"/>
                    </w:rPr>
                  </w:pPr>
                  <w:r>
                    <w:rPr>
                      <w:rFonts w:hint="default"/>
                      <w:color w:val="auto"/>
                      <w:lang w:val="en-US" w:eastAsia="zh-CN"/>
                    </w:rPr>
                    <w:t>集中收集至垃圾桶后，由环卫部门统一收运处置。</w:t>
                  </w:r>
                </w:p>
              </w:tc>
              <w:tc>
                <w:tcPr>
                  <w:tcW w:w="890" w:type="dxa"/>
                  <w:tcBorders>
                    <w:top w:val="single" w:color="auto" w:sz="4" w:space="0"/>
                    <w:bottom w:val="single" w:color="auto" w:sz="4" w:space="0"/>
                  </w:tcBorders>
                  <w:shd w:val="clear" w:color="auto" w:fill="auto"/>
                  <w:noWrap w:val="0"/>
                  <w:vAlign w:val="center"/>
                </w:tcPr>
                <w:p w14:paraId="1B4B45C8">
                  <w:pPr>
                    <w:pStyle w:val="28"/>
                    <w:bidi w:val="0"/>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w:t>
                  </w:r>
                </w:p>
              </w:tc>
            </w:tr>
            <w:tr w14:paraId="50E28F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12" w:type="dxa"/>
                  <w:vMerge w:val="continue"/>
                  <w:noWrap w:val="0"/>
                  <w:vAlign w:val="center"/>
                </w:tcPr>
                <w:p w14:paraId="4F2A5FC6">
                  <w:pPr>
                    <w:pStyle w:val="28"/>
                    <w:bidi w:val="0"/>
                    <w:rPr>
                      <w:color w:val="auto"/>
                      <w:lang w:eastAsia="zh-CN"/>
                    </w:rPr>
                  </w:pPr>
                </w:p>
              </w:tc>
              <w:tc>
                <w:tcPr>
                  <w:tcW w:w="832" w:type="dxa"/>
                  <w:vMerge w:val="restart"/>
                  <w:noWrap w:val="0"/>
                  <w:vAlign w:val="center"/>
                </w:tcPr>
                <w:p w14:paraId="20BE9639">
                  <w:pPr>
                    <w:pStyle w:val="28"/>
                    <w:bidi w:val="0"/>
                    <w:rPr>
                      <w:rFonts w:hint="default"/>
                      <w:color w:val="auto"/>
                      <w:lang w:val="en-US" w:eastAsia="zh-CN"/>
                    </w:rPr>
                  </w:pPr>
                  <w:r>
                    <w:rPr>
                      <w:rFonts w:hint="eastAsia"/>
                      <w:color w:val="auto"/>
                      <w:lang w:val="en-US" w:eastAsia="zh-CN"/>
                    </w:rPr>
                    <w:t>危险废物</w:t>
                  </w:r>
                </w:p>
              </w:tc>
              <w:tc>
                <w:tcPr>
                  <w:tcW w:w="1403" w:type="dxa"/>
                  <w:gridSpan w:val="2"/>
                  <w:tcBorders>
                    <w:top w:val="single" w:color="auto" w:sz="4" w:space="0"/>
                    <w:bottom w:val="single" w:color="auto" w:sz="4" w:space="0"/>
                    <w:right w:val="single" w:color="auto" w:sz="2" w:space="0"/>
                  </w:tcBorders>
                  <w:noWrap w:val="0"/>
                  <w:vAlign w:val="center"/>
                </w:tcPr>
                <w:p w14:paraId="5EE68A7C">
                  <w:pPr>
                    <w:pStyle w:val="28"/>
                    <w:bidi w:val="0"/>
                    <w:rPr>
                      <w:rFonts w:hint="eastAsia"/>
                      <w:color w:val="auto"/>
                      <w:lang w:val="en-US" w:eastAsia="zh-CN"/>
                    </w:rPr>
                  </w:pPr>
                  <w:r>
                    <w:rPr>
                      <w:rFonts w:hint="default"/>
                      <w:color w:val="auto"/>
                      <w:lang w:val="en-US" w:eastAsia="zh-CN"/>
                    </w:rPr>
                    <w:t>医疗</w:t>
                  </w:r>
                  <w:r>
                    <w:rPr>
                      <w:rFonts w:hint="eastAsia"/>
                      <w:color w:val="auto"/>
                      <w:lang w:val="en-US" w:eastAsia="zh-CN"/>
                    </w:rPr>
                    <w:t>废物</w:t>
                  </w:r>
                </w:p>
              </w:tc>
              <w:tc>
                <w:tcPr>
                  <w:tcW w:w="4414" w:type="dxa"/>
                  <w:tcBorders>
                    <w:top w:val="single" w:color="auto" w:sz="4" w:space="0"/>
                    <w:left w:val="single" w:color="auto" w:sz="2" w:space="0"/>
                    <w:bottom w:val="single" w:color="auto" w:sz="4" w:space="0"/>
                  </w:tcBorders>
                  <w:noWrap w:val="0"/>
                  <w:vAlign w:val="center"/>
                </w:tcPr>
                <w:p w14:paraId="394FA9B3">
                  <w:pPr>
                    <w:pStyle w:val="28"/>
                    <w:bidi w:val="0"/>
                    <w:rPr>
                      <w:color w:val="auto"/>
                      <w:lang w:eastAsia="zh-CN"/>
                    </w:rPr>
                  </w:pPr>
                  <w:r>
                    <w:rPr>
                      <w:rFonts w:hint="default"/>
                      <w:color w:val="auto"/>
                      <w:lang w:val="en-US" w:eastAsia="zh-CN"/>
                    </w:rPr>
                    <w:t>收集</w:t>
                  </w:r>
                  <w:r>
                    <w:rPr>
                      <w:rFonts w:hint="eastAsia"/>
                      <w:color w:val="auto"/>
                      <w:lang w:val="en-US" w:eastAsia="zh-CN"/>
                    </w:rPr>
                    <w:t>消毒后</w:t>
                  </w:r>
                  <w:r>
                    <w:rPr>
                      <w:rFonts w:hint="default"/>
                      <w:color w:val="auto"/>
                      <w:lang w:val="en-US" w:eastAsia="zh-CN"/>
                    </w:rPr>
                    <w:t>暂存在</w:t>
                  </w:r>
                  <w:r>
                    <w:rPr>
                      <w:rFonts w:hint="eastAsia"/>
                      <w:color w:val="auto"/>
                      <w:lang w:val="en-US" w:eastAsia="zh-CN"/>
                    </w:rPr>
                    <w:t>危险废物贮存间（2m</w:t>
                  </w:r>
                  <w:r>
                    <w:rPr>
                      <w:rFonts w:hint="eastAsia"/>
                      <w:color w:val="auto"/>
                      <w:vertAlign w:val="superscript"/>
                      <w:lang w:val="en-US" w:eastAsia="zh-CN"/>
                    </w:rPr>
                    <w:t>2</w:t>
                  </w:r>
                  <w:r>
                    <w:rPr>
                      <w:rFonts w:hint="eastAsia"/>
                      <w:color w:val="auto"/>
                      <w:lang w:val="en-US" w:eastAsia="zh-CN"/>
                    </w:rPr>
                    <w:t>）</w:t>
                  </w:r>
                  <w:r>
                    <w:rPr>
                      <w:rFonts w:hint="default"/>
                      <w:color w:val="auto"/>
                      <w:lang w:val="en-US" w:eastAsia="zh-CN"/>
                    </w:rPr>
                    <w:t>，委托有资质单位</w:t>
                  </w:r>
                  <w:r>
                    <w:rPr>
                      <w:rFonts w:hint="eastAsia"/>
                      <w:color w:val="auto"/>
                      <w:lang w:val="en-US" w:eastAsia="zh-CN"/>
                    </w:rPr>
                    <w:t>上门回收</w:t>
                  </w:r>
                  <w:r>
                    <w:rPr>
                      <w:rFonts w:hint="default"/>
                      <w:color w:val="auto"/>
                      <w:lang w:val="en-US" w:eastAsia="zh-CN"/>
                    </w:rPr>
                    <w:t>处置。</w:t>
                  </w:r>
                </w:p>
              </w:tc>
              <w:tc>
                <w:tcPr>
                  <w:tcW w:w="890" w:type="dxa"/>
                  <w:tcBorders>
                    <w:top w:val="single" w:color="auto" w:sz="4" w:space="0"/>
                    <w:bottom w:val="single" w:color="auto" w:sz="4" w:space="0"/>
                  </w:tcBorders>
                  <w:noWrap w:val="0"/>
                  <w:vAlign w:val="center"/>
                </w:tcPr>
                <w:p w14:paraId="31A24CDE">
                  <w:pPr>
                    <w:pStyle w:val="28"/>
                    <w:bidi w:val="0"/>
                    <w:rPr>
                      <w:rFonts w:hint="default"/>
                      <w:color w:val="auto"/>
                      <w:lang w:val="en-US" w:eastAsia="zh-CN"/>
                    </w:rPr>
                  </w:pPr>
                  <w:r>
                    <w:rPr>
                      <w:rFonts w:hint="eastAsia"/>
                      <w:color w:val="auto"/>
                      <w:lang w:val="en-US" w:eastAsia="zh-CN"/>
                    </w:rPr>
                    <w:t>/</w:t>
                  </w:r>
                </w:p>
              </w:tc>
            </w:tr>
            <w:tr w14:paraId="0EE046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12" w:type="dxa"/>
                  <w:vMerge w:val="continue"/>
                  <w:noWrap w:val="0"/>
                  <w:vAlign w:val="center"/>
                </w:tcPr>
                <w:p w14:paraId="03AFC7C7">
                  <w:pPr>
                    <w:pStyle w:val="28"/>
                    <w:bidi w:val="0"/>
                    <w:rPr>
                      <w:color w:val="auto"/>
                      <w:lang w:eastAsia="zh-CN"/>
                    </w:rPr>
                  </w:pPr>
                </w:p>
              </w:tc>
              <w:tc>
                <w:tcPr>
                  <w:tcW w:w="832" w:type="dxa"/>
                  <w:vMerge w:val="continue"/>
                  <w:noWrap w:val="0"/>
                  <w:vAlign w:val="center"/>
                </w:tcPr>
                <w:p w14:paraId="0533FF63">
                  <w:pPr>
                    <w:pStyle w:val="28"/>
                    <w:bidi w:val="0"/>
                    <w:rPr>
                      <w:color w:val="auto"/>
                      <w:lang w:eastAsia="zh-CN"/>
                    </w:rPr>
                  </w:pPr>
                </w:p>
              </w:tc>
              <w:tc>
                <w:tcPr>
                  <w:tcW w:w="1403" w:type="dxa"/>
                  <w:gridSpan w:val="2"/>
                  <w:tcBorders>
                    <w:top w:val="single" w:color="auto" w:sz="4" w:space="0"/>
                    <w:bottom w:val="single" w:color="auto" w:sz="4" w:space="0"/>
                    <w:right w:val="single" w:color="auto" w:sz="2" w:space="0"/>
                  </w:tcBorders>
                  <w:noWrap w:val="0"/>
                  <w:vAlign w:val="center"/>
                </w:tcPr>
                <w:p w14:paraId="0535A61B">
                  <w:pPr>
                    <w:pStyle w:val="28"/>
                    <w:bidi w:val="0"/>
                    <w:rPr>
                      <w:rFonts w:hint="eastAsia"/>
                      <w:color w:val="auto"/>
                      <w:lang w:val="en-US" w:eastAsia="zh-CN"/>
                    </w:rPr>
                  </w:pPr>
                  <w:r>
                    <w:rPr>
                      <w:rFonts w:hint="default"/>
                      <w:color w:val="auto"/>
                      <w:lang w:val="en-US" w:eastAsia="zh-CN"/>
                    </w:rPr>
                    <w:t>废紫外线灯管</w:t>
                  </w:r>
                </w:p>
              </w:tc>
              <w:tc>
                <w:tcPr>
                  <w:tcW w:w="4414" w:type="dxa"/>
                  <w:tcBorders>
                    <w:top w:val="single" w:color="auto" w:sz="4" w:space="0"/>
                    <w:left w:val="single" w:color="auto" w:sz="2" w:space="0"/>
                    <w:bottom w:val="single" w:color="auto" w:sz="4" w:space="0"/>
                  </w:tcBorders>
                  <w:noWrap w:val="0"/>
                  <w:vAlign w:val="center"/>
                </w:tcPr>
                <w:p w14:paraId="53354191">
                  <w:pPr>
                    <w:pStyle w:val="28"/>
                    <w:bidi w:val="0"/>
                    <w:rPr>
                      <w:color w:val="auto"/>
                      <w:lang w:eastAsia="zh-CN"/>
                    </w:rPr>
                  </w:pPr>
                  <w:r>
                    <w:rPr>
                      <w:rFonts w:hint="default"/>
                      <w:color w:val="auto"/>
                      <w:lang w:val="en-US" w:eastAsia="zh-CN"/>
                    </w:rPr>
                    <w:t>暂存在</w:t>
                  </w:r>
                  <w:r>
                    <w:rPr>
                      <w:rFonts w:hint="eastAsia"/>
                      <w:color w:val="auto"/>
                      <w:lang w:val="en-US" w:eastAsia="zh-CN"/>
                    </w:rPr>
                    <w:t>危险废物贮存间（2m</w:t>
                  </w:r>
                  <w:r>
                    <w:rPr>
                      <w:rFonts w:hint="eastAsia"/>
                      <w:color w:val="auto"/>
                      <w:vertAlign w:val="superscript"/>
                      <w:lang w:val="en-US" w:eastAsia="zh-CN"/>
                    </w:rPr>
                    <w:t>2</w:t>
                  </w:r>
                  <w:r>
                    <w:rPr>
                      <w:rFonts w:hint="eastAsia"/>
                      <w:color w:val="auto"/>
                      <w:lang w:val="en-US" w:eastAsia="zh-CN"/>
                    </w:rPr>
                    <w:t>）</w:t>
                  </w:r>
                  <w:r>
                    <w:rPr>
                      <w:rFonts w:hint="default"/>
                      <w:color w:val="auto"/>
                      <w:lang w:val="en-US" w:eastAsia="zh-CN"/>
                    </w:rPr>
                    <w:t>，委托有资质单位</w:t>
                  </w:r>
                  <w:r>
                    <w:rPr>
                      <w:rFonts w:hint="eastAsia"/>
                      <w:color w:val="auto"/>
                      <w:lang w:val="en-US" w:eastAsia="zh-CN"/>
                    </w:rPr>
                    <w:t>上门回收</w:t>
                  </w:r>
                  <w:r>
                    <w:rPr>
                      <w:rFonts w:hint="default"/>
                      <w:color w:val="auto"/>
                      <w:lang w:val="en-US" w:eastAsia="zh-CN"/>
                    </w:rPr>
                    <w:t>处置。</w:t>
                  </w:r>
                </w:p>
              </w:tc>
              <w:tc>
                <w:tcPr>
                  <w:tcW w:w="890" w:type="dxa"/>
                  <w:tcBorders>
                    <w:top w:val="single" w:color="auto" w:sz="4" w:space="0"/>
                    <w:bottom w:val="single" w:color="auto" w:sz="4" w:space="0"/>
                  </w:tcBorders>
                  <w:noWrap w:val="0"/>
                  <w:vAlign w:val="center"/>
                </w:tcPr>
                <w:p w14:paraId="160930F9">
                  <w:pPr>
                    <w:pStyle w:val="28"/>
                    <w:bidi w:val="0"/>
                    <w:rPr>
                      <w:rFonts w:hint="default"/>
                      <w:color w:val="auto"/>
                      <w:lang w:val="en-US" w:eastAsia="zh-CN"/>
                    </w:rPr>
                  </w:pPr>
                  <w:r>
                    <w:rPr>
                      <w:rFonts w:hint="eastAsia"/>
                      <w:color w:val="auto"/>
                      <w:lang w:val="en-US" w:eastAsia="zh-CN"/>
                    </w:rPr>
                    <w:t>/</w:t>
                  </w:r>
                </w:p>
              </w:tc>
            </w:tr>
            <w:tr w14:paraId="7C7E3E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12" w:type="dxa"/>
                  <w:vMerge w:val="continue"/>
                  <w:noWrap w:val="0"/>
                  <w:vAlign w:val="center"/>
                </w:tcPr>
                <w:p w14:paraId="3287CA28">
                  <w:pPr>
                    <w:pStyle w:val="28"/>
                    <w:bidi w:val="0"/>
                    <w:rPr>
                      <w:color w:val="auto"/>
                      <w:lang w:eastAsia="zh-CN"/>
                    </w:rPr>
                  </w:pPr>
                </w:p>
              </w:tc>
              <w:tc>
                <w:tcPr>
                  <w:tcW w:w="832" w:type="dxa"/>
                  <w:vMerge w:val="continue"/>
                  <w:noWrap w:val="0"/>
                  <w:vAlign w:val="center"/>
                </w:tcPr>
                <w:p w14:paraId="7D5BC58B">
                  <w:pPr>
                    <w:pStyle w:val="28"/>
                    <w:bidi w:val="0"/>
                    <w:rPr>
                      <w:color w:val="auto"/>
                      <w:lang w:eastAsia="zh-CN"/>
                    </w:rPr>
                  </w:pPr>
                </w:p>
              </w:tc>
              <w:tc>
                <w:tcPr>
                  <w:tcW w:w="1403" w:type="dxa"/>
                  <w:gridSpan w:val="2"/>
                  <w:tcBorders>
                    <w:top w:val="single" w:color="auto" w:sz="4" w:space="0"/>
                    <w:bottom w:val="single" w:color="auto" w:sz="4" w:space="0"/>
                    <w:right w:val="single" w:color="auto" w:sz="2" w:space="0"/>
                  </w:tcBorders>
                  <w:noWrap w:val="0"/>
                  <w:vAlign w:val="center"/>
                </w:tcPr>
                <w:p w14:paraId="421F0FF4">
                  <w:pPr>
                    <w:pStyle w:val="28"/>
                    <w:bidi w:val="0"/>
                    <w:rPr>
                      <w:rFonts w:hint="eastAsia"/>
                      <w:color w:val="auto"/>
                      <w:lang w:val="en-US" w:eastAsia="zh-CN"/>
                    </w:rPr>
                  </w:pPr>
                  <w:r>
                    <w:rPr>
                      <w:rFonts w:hint="eastAsia"/>
                      <w:color w:val="auto"/>
                      <w:lang w:val="en-US" w:eastAsia="zh-CN"/>
                    </w:rPr>
                    <w:t>废水处理设施废渣</w:t>
                  </w:r>
                </w:p>
              </w:tc>
              <w:tc>
                <w:tcPr>
                  <w:tcW w:w="4414" w:type="dxa"/>
                  <w:tcBorders>
                    <w:top w:val="single" w:color="auto" w:sz="4" w:space="0"/>
                    <w:left w:val="single" w:color="auto" w:sz="2" w:space="0"/>
                    <w:bottom w:val="single" w:color="auto" w:sz="4" w:space="0"/>
                  </w:tcBorders>
                  <w:noWrap w:val="0"/>
                  <w:vAlign w:val="center"/>
                </w:tcPr>
                <w:p w14:paraId="025925C9">
                  <w:pPr>
                    <w:pStyle w:val="28"/>
                    <w:bidi w:val="0"/>
                    <w:rPr>
                      <w:color w:val="auto"/>
                      <w:lang w:eastAsia="zh-CN"/>
                    </w:rPr>
                  </w:pPr>
                  <w:r>
                    <w:rPr>
                      <w:rFonts w:hint="eastAsia"/>
                      <w:color w:val="auto"/>
                      <w:lang w:val="en-US" w:eastAsia="zh-CN"/>
                    </w:rPr>
                    <w:t>委托有资质单位定期清捞与处置，不在项目区贮存。</w:t>
                  </w:r>
                </w:p>
              </w:tc>
              <w:tc>
                <w:tcPr>
                  <w:tcW w:w="890" w:type="dxa"/>
                  <w:tcBorders>
                    <w:top w:val="single" w:color="auto" w:sz="4" w:space="0"/>
                    <w:bottom w:val="single" w:color="auto" w:sz="4" w:space="0"/>
                  </w:tcBorders>
                  <w:noWrap w:val="0"/>
                  <w:vAlign w:val="center"/>
                </w:tcPr>
                <w:p w14:paraId="46A0E58C">
                  <w:pPr>
                    <w:pStyle w:val="28"/>
                    <w:bidi w:val="0"/>
                    <w:rPr>
                      <w:rFonts w:hint="default"/>
                      <w:color w:val="auto"/>
                      <w:lang w:val="en-US" w:eastAsia="zh-CN"/>
                    </w:rPr>
                  </w:pPr>
                  <w:r>
                    <w:rPr>
                      <w:rFonts w:hint="eastAsia"/>
                      <w:color w:val="auto"/>
                      <w:lang w:val="en-US" w:eastAsia="zh-CN"/>
                    </w:rPr>
                    <w:t>/</w:t>
                  </w:r>
                </w:p>
              </w:tc>
            </w:tr>
            <w:tr w14:paraId="7EAB7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12" w:type="dxa"/>
                  <w:vMerge w:val="continue"/>
                  <w:noWrap w:val="0"/>
                  <w:vAlign w:val="center"/>
                </w:tcPr>
                <w:p w14:paraId="63913833">
                  <w:pPr>
                    <w:pStyle w:val="28"/>
                    <w:bidi w:val="0"/>
                    <w:rPr>
                      <w:color w:val="auto"/>
                      <w:lang w:eastAsia="zh-CN"/>
                    </w:rPr>
                  </w:pPr>
                </w:p>
              </w:tc>
              <w:tc>
                <w:tcPr>
                  <w:tcW w:w="832" w:type="dxa"/>
                  <w:vMerge w:val="continue"/>
                  <w:noWrap w:val="0"/>
                  <w:vAlign w:val="center"/>
                </w:tcPr>
                <w:p w14:paraId="24D58B97">
                  <w:pPr>
                    <w:pStyle w:val="28"/>
                    <w:bidi w:val="0"/>
                    <w:rPr>
                      <w:color w:val="auto"/>
                      <w:lang w:eastAsia="zh-CN"/>
                    </w:rPr>
                  </w:pPr>
                </w:p>
              </w:tc>
              <w:tc>
                <w:tcPr>
                  <w:tcW w:w="1403" w:type="dxa"/>
                  <w:gridSpan w:val="2"/>
                  <w:tcBorders>
                    <w:top w:val="single" w:color="auto" w:sz="4" w:space="0"/>
                    <w:bottom w:val="single" w:color="auto" w:sz="4" w:space="0"/>
                    <w:right w:val="single" w:color="auto" w:sz="2" w:space="0"/>
                  </w:tcBorders>
                  <w:noWrap w:val="0"/>
                  <w:vAlign w:val="center"/>
                </w:tcPr>
                <w:p w14:paraId="19C341EE">
                  <w:pPr>
                    <w:pStyle w:val="28"/>
                    <w:bidi w:val="0"/>
                    <w:rPr>
                      <w:rFonts w:hint="eastAsia"/>
                      <w:color w:val="auto"/>
                      <w:lang w:val="en-US" w:eastAsia="zh-CN"/>
                    </w:rPr>
                  </w:pPr>
                  <w:r>
                    <w:rPr>
                      <w:rFonts w:hint="eastAsia"/>
                      <w:color w:val="auto"/>
                      <w:lang w:val="en-US" w:eastAsia="zh-CN"/>
                    </w:rPr>
                    <w:t>患病</w:t>
                  </w:r>
                  <w:r>
                    <w:rPr>
                      <w:rFonts w:hint="default"/>
                      <w:color w:val="auto"/>
                      <w:lang w:val="en-US" w:eastAsia="zh-CN"/>
                    </w:rPr>
                    <w:t>宠物</w:t>
                  </w:r>
                  <w:r>
                    <w:rPr>
                      <w:rFonts w:hint="eastAsia"/>
                      <w:color w:val="auto"/>
                      <w:lang w:val="en-US" w:eastAsia="zh-CN"/>
                    </w:rPr>
                    <w:t>排泄物及猫砂</w:t>
                  </w:r>
                </w:p>
              </w:tc>
              <w:tc>
                <w:tcPr>
                  <w:tcW w:w="4414" w:type="dxa"/>
                  <w:tcBorders>
                    <w:top w:val="single" w:color="auto" w:sz="4" w:space="0"/>
                    <w:left w:val="single" w:color="auto" w:sz="2" w:space="0"/>
                    <w:bottom w:val="single" w:color="auto" w:sz="4" w:space="0"/>
                  </w:tcBorders>
                  <w:noWrap w:val="0"/>
                  <w:vAlign w:val="center"/>
                </w:tcPr>
                <w:p w14:paraId="1A000381">
                  <w:pPr>
                    <w:pStyle w:val="28"/>
                    <w:bidi w:val="0"/>
                    <w:rPr>
                      <w:color w:val="auto"/>
                      <w:lang w:eastAsia="zh-CN"/>
                    </w:rPr>
                  </w:pPr>
                  <w:r>
                    <w:rPr>
                      <w:rFonts w:hint="default"/>
                      <w:color w:val="auto"/>
                      <w:lang w:val="en-US" w:eastAsia="zh-CN"/>
                    </w:rPr>
                    <w:t>收集</w:t>
                  </w:r>
                  <w:r>
                    <w:rPr>
                      <w:rFonts w:hint="eastAsia"/>
                      <w:color w:val="auto"/>
                      <w:lang w:val="en-US" w:eastAsia="zh-CN"/>
                    </w:rPr>
                    <w:t>消毒后</w:t>
                  </w:r>
                  <w:r>
                    <w:rPr>
                      <w:rFonts w:hint="default"/>
                      <w:color w:val="auto"/>
                      <w:lang w:val="en-US" w:eastAsia="zh-CN"/>
                    </w:rPr>
                    <w:t>暂存在</w:t>
                  </w:r>
                  <w:r>
                    <w:rPr>
                      <w:rFonts w:hint="eastAsia"/>
                      <w:color w:val="auto"/>
                      <w:lang w:val="en-US" w:eastAsia="zh-CN"/>
                    </w:rPr>
                    <w:t>危险废物贮存间（2m</w:t>
                  </w:r>
                  <w:r>
                    <w:rPr>
                      <w:rFonts w:hint="eastAsia"/>
                      <w:color w:val="auto"/>
                      <w:vertAlign w:val="superscript"/>
                      <w:lang w:val="en-US" w:eastAsia="zh-CN"/>
                    </w:rPr>
                    <w:t>2</w:t>
                  </w:r>
                  <w:r>
                    <w:rPr>
                      <w:rFonts w:hint="eastAsia"/>
                      <w:color w:val="auto"/>
                      <w:lang w:val="en-US" w:eastAsia="zh-CN"/>
                    </w:rPr>
                    <w:t>）</w:t>
                  </w:r>
                  <w:r>
                    <w:rPr>
                      <w:rFonts w:hint="default"/>
                      <w:color w:val="auto"/>
                      <w:lang w:val="en-US" w:eastAsia="zh-CN"/>
                    </w:rPr>
                    <w:t>，委托有资质单位</w:t>
                  </w:r>
                  <w:r>
                    <w:rPr>
                      <w:rFonts w:hint="eastAsia"/>
                      <w:color w:val="auto"/>
                      <w:lang w:val="en-US" w:eastAsia="zh-CN"/>
                    </w:rPr>
                    <w:t>上门回收</w:t>
                  </w:r>
                  <w:r>
                    <w:rPr>
                      <w:rFonts w:hint="default"/>
                      <w:color w:val="auto"/>
                      <w:lang w:val="en-US" w:eastAsia="zh-CN"/>
                    </w:rPr>
                    <w:t>处置。</w:t>
                  </w:r>
                </w:p>
              </w:tc>
              <w:tc>
                <w:tcPr>
                  <w:tcW w:w="890" w:type="dxa"/>
                  <w:tcBorders>
                    <w:top w:val="single" w:color="auto" w:sz="4" w:space="0"/>
                    <w:bottom w:val="single" w:color="auto" w:sz="4" w:space="0"/>
                  </w:tcBorders>
                  <w:noWrap w:val="0"/>
                  <w:vAlign w:val="center"/>
                </w:tcPr>
                <w:p w14:paraId="73F7FE66">
                  <w:pPr>
                    <w:pStyle w:val="28"/>
                    <w:bidi w:val="0"/>
                    <w:rPr>
                      <w:rFonts w:hint="default"/>
                      <w:color w:val="auto"/>
                      <w:lang w:val="en-US" w:eastAsia="zh-CN"/>
                    </w:rPr>
                  </w:pPr>
                  <w:r>
                    <w:rPr>
                      <w:rFonts w:hint="eastAsia"/>
                      <w:color w:val="auto"/>
                      <w:lang w:val="en-US" w:eastAsia="zh-CN"/>
                    </w:rPr>
                    <w:t>/</w:t>
                  </w:r>
                </w:p>
              </w:tc>
            </w:tr>
          </w:tbl>
          <w:p w14:paraId="73231FF7">
            <w:pPr>
              <w:pStyle w:val="3"/>
              <w:bidi w:val="0"/>
              <w:spacing w:line="240" w:lineRule="auto"/>
              <w:rPr>
                <w:rFonts w:hint="eastAsia"/>
                <w:color w:val="auto"/>
                <w:lang w:eastAsia="zh-CN"/>
              </w:rPr>
            </w:pPr>
            <w:r>
              <w:rPr>
                <w:rFonts w:hint="eastAsia"/>
                <w:color w:val="auto"/>
                <w:lang w:val="en-US" w:eastAsia="zh-CN"/>
              </w:rPr>
              <w:t>2.4</w:t>
            </w:r>
            <w:r>
              <w:rPr>
                <w:rFonts w:hint="eastAsia"/>
                <w:color w:val="auto"/>
                <w:lang w:eastAsia="zh-CN"/>
              </w:rPr>
              <w:t>、主要设备</w:t>
            </w:r>
          </w:p>
          <w:p w14:paraId="3DD7F65A">
            <w:pPr>
              <w:widowControl w:val="0"/>
              <w:snapToGrid w:val="0"/>
              <w:spacing w:line="460" w:lineRule="exact"/>
              <w:ind w:firstLine="480"/>
              <w:jc w:val="both"/>
              <w:rPr>
                <w:color w:val="auto"/>
                <w:lang w:eastAsia="zh-CN"/>
              </w:rPr>
            </w:pPr>
            <w:r>
              <w:rPr>
                <w:rFonts w:hint="eastAsia"/>
                <w:color w:val="auto"/>
                <w:lang w:eastAsia="zh-CN"/>
              </w:rPr>
              <w:t>本项目主要设备见表2-</w:t>
            </w:r>
            <w:r>
              <w:rPr>
                <w:rFonts w:hint="eastAsia"/>
                <w:color w:val="auto"/>
                <w:lang w:val="en-US" w:eastAsia="zh-CN"/>
              </w:rPr>
              <w:t>2</w:t>
            </w:r>
            <w:r>
              <w:rPr>
                <w:rFonts w:hint="eastAsia"/>
                <w:color w:val="auto"/>
                <w:lang w:eastAsia="zh-CN"/>
              </w:rPr>
              <w:t>。</w:t>
            </w:r>
          </w:p>
          <w:p w14:paraId="3B60889B">
            <w:pPr>
              <w:pStyle w:val="22"/>
              <w:bidi w:val="0"/>
              <w:rPr>
                <w:color w:val="auto"/>
                <w:lang w:eastAsia="zh-CN"/>
              </w:rPr>
            </w:pPr>
            <w:r>
              <w:rPr>
                <w:color w:val="auto"/>
                <w:lang w:eastAsia="zh-CN"/>
              </w:rPr>
              <w:t>表2</w:t>
            </w:r>
            <w:r>
              <w:rPr>
                <w:rFonts w:hint="eastAsia"/>
                <w:color w:val="auto"/>
                <w:lang w:eastAsia="zh-CN"/>
              </w:rPr>
              <w:t>-</w:t>
            </w:r>
            <w:r>
              <w:rPr>
                <w:rFonts w:hint="eastAsia"/>
                <w:color w:val="auto"/>
                <w:lang w:val="en-US" w:eastAsia="zh-CN"/>
              </w:rPr>
              <w:t>2</w:t>
            </w:r>
            <w:r>
              <w:rPr>
                <w:color w:val="auto"/>
                <w:lang w:eastAsia="zh-CN"/>
              </w:rPr>
              <w:t xml:space="preserve">    主要设备一览表</w:t>
            </w:r>
          </w:p>
          <w:tbl>
            <w:tblPr>
              <w:tblStyle w:val="1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5"/>
              <w:gridCol w:w="2819"/>
              <w:gridCol w:w="1821"/>
              <w:gridCol w:w="1301"/>
              <w:gridCol w:w="1728"/>
            </w:tblGrid>
            <w:tr w14:paraId="2B51C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31" w:type="pct"/>
                  <w:tcBorders>
                    <w:bottom w:val="single" w:color="auto" w:sz="12" w:space="0"/>
                  </w:tcBorders>
                  <w:noWrap w:val="0"/>
                  <w:vAlign w:val="center"/>
                </w:tcPr>
                <w:p w14:paraId="73CBEDB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b/>
                      <w:bCs w:val="0"/>
                      <w:color w:val="auto"/>
                      <w:lang w:eastAsia="zh-CN"/>
                    </w:rPr>
                    <w:t>序号</w:t>
                  </w:r>
                </w:p>
              </w:tc>
              <w:tc>
                <w:tcPr>
                  <w:tcW w:w="1678" w:type="pct"/>
                  <w:tcBorders>
                    <w:bottom w:val="single" w:color="auto" w:sz="12" w:space="0"/>
                  </w:tcBorders>
                  <w:noWrap w:val="0"/>
                  <w:vAlign w:val="center"/>
                </w:tcPr>
                <w:p w14:paraId="1BC49F98">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b/>
                      <w:bCs w:val="0"/>
                      <w:color w:val="auto"/>
                      <w:lang w:eastAsia="zh-CN"/>
                    </w:rPr>
                    <w:t>名  称</w:t>
                  </w:r>
                </w:p>
              </w:tc>
              <w:tc>
                <w:tcPr>
                  <w:tcW w:w="1084" w:type="pct"/>
                  <w:tcBorders>
                    <w:left w:val="single" w:color="auto" w:sz="2" w:space="0"/>
                    <w:bottom w:val="single" w:color="auto" w:sz="12" w:space="0"/>
                    <w:right w:val="single" w:color="auto" w:sz="2" w:space="0"/>
                  </w:tcBorders>
                  <w:noWrap w:val="0"/>
                  <w:vAlign w:val="center"/>
                </w:tcPr>
                <w:p w14:paraId="08A85A4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rFonts w:hint="eastAsia"/>
                      <w:b/>
                      <w:bCs w:val="0"/>
                      <w:color w:val="auto"/>
                      <w:lang w:eastAsia="zh-CN"/>
                    </w:rPr>
                    <w:t>规格</w:t>
                  </w:r>
                </w:p>
              </w:tc>
              <w:tc>
                <w:tcPr>
                  <w:tcW w:w="775" w:type="pct"/>
                  <w:tcBorders>
                    <w:left w:val="single" w:color="auto" w:sz="2" w:space="0"/>
                    <w:bottom w:val="single" w:color="auto" w:sz="12" w:space="0"/>
                    <w:right w:val="single" w:color="auto" w:sz="2" w:space="0"/>
                  </w:tcBorders>
                  <w:noWrap w:val="0"/>
                  <w:vAlign w:val="center"/>
                </w:tcPr>
                <w:p w14:paraId="20AB9EF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rFonts w:hint="eastAsia"/>
                      <w:b/>
                      <w:bCs w:val="0"/>
                      <w:color w:val="auto"/>
                      <w:lang w:eastAsia="zh-CN"/>
                    </w:rPr>
                    <w:t>单位</w:t>
                  </w:r>
                </w:p>
              </w:tc>
              <w:tc>
                <w:tcPr>
                  <w:tcW w:w="1029" w:type="pct"/>
                  <w:tcBorders>
                    <w:left w:val="single" w:color="auto" w:sz="2" w:space="0"/>
                    <w:bottom w:val="single" w:color="auto" w:sz="12" w:space="0"/>
                  </w:tcBorders>
                  <w:noWrap w:val="0"/>
                  <w:vAlign w:val="center"/>
                </w:tcPr>
                <w:p w14:paraId="19905D8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b/>
                      <w:bCs w:val="0"/>
                      <w:color w:val="auto"/>
                      <w:lang w:eastAsia="zh-CN"/>
                    </w:rPr>
                    <w:t>数量</w:t>
                  </w:r>
                </w:p>
              </w:tc>
            </w:tr>
            <w:tr w14:paraId="476BE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431" w:type="pct"/>
                  <w:tcBorders>
                    <w:top w:val="single" w:color="auto" w:sz="4" w:space="0"/>
                  </w:tcBorders>
                  <w:shd w:val="clear" w:color="auto" w:fill="auto"/>
                  <w:noWrap w:val="0"/>
                  <w:vAlign w:val="center"/>
                </w:tcPr>
                <w:p w14:paraId="60991B8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c>
                <w:tcPr>
                  <w:tcW w:w="1678" w:type="pct"/>
                  <w:tcBorders>
                    <w:top w:val="single" w:color="auto" w:sz="4" w:space="0"/>
                  </w:tcBorders>
                  <w:noWrap w:val="0"/>
                  <w:vAlign w:val="center"/>
                </w:tcPr>
                <w:p w14:paraId="5B43BD1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麻醉工作站</w:t>
                  </w:r>
                </w:p>
              </w:tc>
              <w:tc>
                <w:tcPr>
                  <w:tcW w:w="1084" w:type="pct"/>
                  <w:tcBorders>
                    <w:top w:val="single" w:color="auto" w:sz="4" w:space="0"/>
                    <w:left w:val="single" w:color="auto" w:sz="2" w:space="0"/>
                    <w:bottom w:val="single" w:color="auto" w:sz="2" w:space="0"/>
                    <w:right w:val="single" w:color="auto" w:sz="2" w:space="0"/>
                  </w:tcBorders>
                  <w:noWrap w:val="0"/>
                  <w:vAlign w:val="center"/>
                </w:tcPr>
                <w:p w14:paraId="1DE0335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w:t>
                  </w:r>
                </w:p>
              </w:tc>
              <w:tc>
                <w:tcPr>
                  <w:tcW w:w="775" w:type="pct"/>
                  <w:tcBorders>
                    <w:top w:val="single" w:color="auto" w:sz="4" w:space="0"/>
                    <w:left w:val="single" w:color="auto" w:sz="2" w:space="0"/>
                    <w:bottom w:val="single" w:color="auto" w:sz="2" w:space="0"/>
                    <w:right w:val="single" w:color="auto" w:sz="2" w:space="0"/>
                  </w:tcBorders>
                  <w:noWrap w:val="0"/>
                  <w:vAlign w:val="center"/>
                </w:tcPr>
                <w:p w14:paraId="7A91302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4" w:space="0"/>
                    <w:left w:val="single" w:color="auto" w:sz="2" w:space="0"/>
                    <w:bottom w:val="single" w:color="auto" w:sz="2" w:space="0"/>
                  </w:tcBorders>
                  <w:noWrap w:val="0"/>
                  <w:vAlign w:val="center"/>
                </w:tcPr>
                <w:p w14:paraId="413F921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034C2C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431" w:type="pct"/>
                  <w:shd w:val="clear" w:color="auto" w:fill="auto"/>
                  <w:noWrap w:val="0"/>
                  <w:vAlign w:val="center"/>
                </w:tcPr>
                <w:p w14:paraId="770A2DA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w:t>
                  </w:r>
                </w:p>
              </w:tc>
              <w:tc>
                <w:tcPr>
                  <w:tcW w:w="1678" w:type="pct"/>
                  <w:noWrap w:val="0"/>
                  <w:vAlign w:val="center"/>
                </w:tcPr>
                <w:p w14:paraId="743B9A8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生化仪</w:t>
                  </w:r>
                </w:p>
              </w:tc>
              <w:tc>
                <w:tcPr>
                  <w:tcW w:w="1084" w:type="pct"/>
                  <w:tcBorders>
                    <w:left w:val="single" w:color="auto" w:sz="2" w:space="0"/>
                    <w:right w:val="single" w:color="auto" w:sz="2" w:space="0"/>
                  </w:tcBorders>
                  <w:noWrap w:val="0"/>
                  <w:vAlign w:val="center"/>
                </w:tcPr>
                <w:p w14:paraId="31E099A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291EBEB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left w:val="single" w:color="auto" w:sz="2" w:space="0"/>
                    <w:bottom w:val="single" w:color="auto" w:sz="2" w:space="0"/>
                  </w:tcBorders>
                  <w:noWrap w:val="0"/>
                  <w:vAlign w:val="center"/>
                </w:tcPr>
                <w:p w14:paraId="23C7E3F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5A56CB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3DBBD6E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3</w:t>
                  </w:r>
                </w:p>
              </w:tc>
              <w:tc>
                <w:tcPr>
                  <w:tcW w:w="1678" w:type="pct"/>
                  <w:noWrap w:val="0"/>
                  <w:vAlign w:val="center"/>
                </w:tcPr>
                <w:p w14:paraId="21E31B8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显微镜</w:t>
                  </w:r>
                </w:p>
              </w:tc>
              <w:tc>
                <w:tcPr>
                  <w:tcW w:w="1084" w:type="pct"/>
                  <w:tcBorders>
                    <w:left w:val="single" w:color="auto" w:sz="2" w:space="0"/>
                    <w:right w:val="single" w:color="auto" w:sz="2" w:space="0"/>
                  </w:tcBorders>
                  <w:noWrap w:val="0"/>
                  <w:vAlign w:val="center"/>
                </w:tcPr>
                <w:p w14:paraId="7C894F9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F7D2B7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144B853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218A57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601B3FC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4</w:t>
                  </w:r>
                </w:p>
              </w:tc>
              <w:tc>
                <w:tcPr>
                  <w:tcW w:w="1678" w:type="pct"/>
                  <w:noWrap w:val="0"/>
                  <w:vAlign w:val="center"/>
                </w:tcPr>
                <w:p w14:paraId="5C992E1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DR影像（属于医用Ⅱ类射线装置）</w:t>
                  </w:r>
                </w:p>
              </w:tc>
              <w:tc>
                <w:tcPr>
                  <w:tcW w:w="1084" w:type="pct"/>
                  <w:tcBorders>
                    <w:left w:val="single" w:color="auto" w:sz="2" w:space="0"/>
                    <w:right w:val="single" w:color="auto" w:sz="2" w:space="0"/>
                  </w:tcBorders>
                  <w:noWrap w:val="0"/>
                  <w:vAlign w:val="center"/>
                </w:tcPr>
                <w:p w14:paraId="5A085C5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3868E5C">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14BF6C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78E82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35BC5483">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5</w:t>
                  </w:r>
                </w:p>
              </w:tc>
              <w:tc>
                <w:tcPr>
                  <w:tcW w:w="1678" w:type="pct"/>
                  <w:noWrap w:val="0"/>
                  <w:vAlign w:val="center"/>
                </w:tcPr>
                <w:p w14:paraId="1A612BB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污水处理器</w:t>
                  </w:r>
                </w:p>
              </w:tc>
              <w:tc>
                <w:tcPr>
                  <w:tcW w:w="1084" w:type="pct"/>
                  <w:tcBorders>
                    <w:left w:val="single" w:color="auto" w:sz="2" w:space="0"/>
                    <w:right w:val="single" w:color="auto" w:sz="2" w:space="0"/>
                  </w:tcBorders>
                  <w:noWrap w:val="0"/>
                  <w:vAlign w:val="center"/>
                </w:tcPr>
                <w:p w14:paraId="0009AAF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4AE9A44C">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套</w:t>
                  </w:r>
                </w:p>
              </w:tc>
              <w:tc>
                <w:tcPr>
                  <w:tcW w:w="1029" w:type="pct"/>
                  <w:tcBorders>
                    <w:top w:val="single" w:color="auto" w:sz="2" w:space="0"/>
                    <w:left w:val="single" w:color="auto" w:sz="2" w:space="0"/>
                    <w:bottom w:val="single" w:color="auto" w:sz="2" w:space="0"/>
                  </w:tcBorders>
                  <w:noWrap w:val="0"/>
                  <w:vAlign w:val="center"/>
                </w:tcPr>
                <w:p w14:paraId="27C371B4">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70E1F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26B7E32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6</w:t>
                  </w:r>
                </w:p>
              </w:tc>
              <w:tc>
                <w:tcPr>
                  <w:tcW w:w="1678" w:type="pct"/>
                  <w:noWrap w:val="0"/>
                  <w:vAlign w:val="center"/>
                </w:tcPr>
                <w:p w14:paraId="7420B26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冰箱</w:t>
                  </w:r>
                </w:p>
              </w:tc>
              <w:tc>
                <w:tcPr>
                  <w:tcW w:w="1084" w:type="pct"/>
                  <w:tcBorders>
                    <w:left w:val="single" w:color="auto" w:sz="2" w:space="0"/>
                    <w:right w:val="single" w:color="auto" w:sz="2" w:space="0"/>
                  </w:tcBorders>
                  <w:noWrap w:val="0"/>
                  <w:vAlign w:val="center"/>
                </w:tcPr>
                <w:p w14:paraId="05BBEB5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C6CFBD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73D40534">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2</w:t>
                  </w:r>
                </w:p>
              </w:tc>
            </w:tr>
            <w:tr w14:paraId="278F68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0FB4E3A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7</w:t>
                  </w:r>
                </w:p>
              </w:tc>
              <w:tc>
                <w:tcPr>
                  <w:tcW w:w="1678" w:type="pct"/>
                  <w:noWrap w:val="0"/>
                  <w:vAlign w:val="center"/>
                </w:tcPr>
                <w:p w14:paraId="138F402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监护仪</w:t>
                  </w:r>
                </w:p>
              </w:tc>
              <w:tc>
                <w:tcPr>
                  <w:tcW w:w="1084" w:type="pct"/>
                  <w:tcBorders>
                    <w:left w:val="single" w:color="auto" w:sz="2" w:space="0"/>
                    <w:right w:val="single" w:color="auto" w:sz="2" w:space="0"/>
                  </w:tcBorders>
                  <w:noWrap w:val="0"/>
                  <w:vAlign w:val="center"/>
                </w:tcPr>
                <w:p w14:paraId="7D8DEA5C">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戴瑞DERRY兽用多参数监护仪D8B台</w:t>
                  </w:r>
                </w:p>
              </w:tc>
              <w:tc>
                <w:tcPr>
                  <w:tcW w:w="775" w:type="pct"/>
                  <w:tcBorders>
                    <w:left w:val="single" w:color="auto" w:sz="2" w:space="0"/>
                    <w:right w:val="single" w:color="auto" w:sz="2" w:space="0"/>
                  </w:tcBorders>
                  <w:noWrap w:val="0"/>
                  <w:vAlign w:val="center"/>
                </w:tcPr>
                <w:p w14:paraId="1347841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3A36EE4">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1B2B9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31" w:type="pct"/>
                  <w:shd w:val="clear" w:color="auto" w:fill="auto"/>
                  <w:noWrap w:val="0"/>
                  <w:vAlign w:val="center"/>
                </w:tcPr>
                <w:p w14:paraId="336C181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8</w:t>
                  </w:r>
                </w:p>
              </w:tc>
              <w:tc>
                <w:tcPr>
                  <w:tcW w:w="1678" w:type="pct"/>
                  <w:noWrap w:val="0"/>
                  <w:vAlign w:val="center"/>
                </w:tcPr>
                <w:p w14:paraId="6A3A4BD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X光机</w:t>
                  </w:r>
                </w:p>
              </w:tc>
              <w:tc>
                <w:tcPr>
                  <w:tcW w:w="1084" w:type="pct"/>
                  <w:tcBorders>
                    <w:left w:val="single" w:color="auto" w:sz="2" w:space="0"/>
                    <w:right w:val="single" w:color="auto" w:sz="2" w:space="0"/>
                  </w:tcBorders>
                  <w:noWrap w:val="0"/>
                  <w:vAlign w:val="center"/>
                </w:tcPr>
                <w:p w14:paraId="72FBCAF2">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日本Mikasa高周波X线机MikasaHF400Va便携式X线机台</w:t>
                  </w:r>
                </w:p>
              </w:tc>
              <w:tc>
                <w:tcPr>
                  <w:tcW w:w="775" w:type="pct"/>
                  <w:tcBorders>
                    <w:left w:val="single" w:color="auto" w:sz="2" w:space="0"/>
                    <w:right w:val="single" w:color="auto" w:sz="2" w:space="0"/>
                  </w:tcBorders>
                  <w:noWrap w:val="0"/>
                  <w:vAlign w:val="center"/>
                </w:tcPr>
                <w:p w14:paraId="7854A32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AA42B12">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53B52E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44072BB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9</w:t>
                  </w:r>
                </w:p>
              </w:tc>
              <w:tc>
                <w:tcPr>
                  <w:tcW w:w="1678" w:type="pct"/>
                  <w:noWrap w:val="0"/>
                  <w:vAlign w:val="center"/>
                </w:tcPr>
                <w:p w14:paraId="5E938FD2">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空调</w:t>
                  </w:r>
                </w:p>
              </w:tc>
              <w:tc>
                <w:tcPr>
                  <w:tcW w:w="1084" w:type="pct"/>
                  <w:tcBorders>
                    <w:left w:val="single" w:color="auto" w:sz="2" w:space="0"/>
                    <w:right w:val="single" w:color="auto" w:sz="2" w:space="0"/>
                  </w:tcBorders>
                  <w:noWrap w:val="0"/>
                  <w:vAlign w:val="center"/>
                </w:tcPr>
                <w:p w14:paraId="7AE216B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2429FE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708017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2</w:t>
                  </w:r>
                </w:p>
              </w:tc>
            </w:tr>
            <w:tr w14:paraId="47776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31" w:type="pct"/>
                  <w:shd w:val="clear" w:color="auto" w:fill="auto"/>
                  <w:noWrap w:val="0"/>
                  <w:vAlign w:val="center"/>
                </w:tcPr>
                <w:p w14:paraId="5D1476B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10</w:t>
                  </w:r>
                </w:p>
              </w:tc>
              <w:tc>
                <w:tcPr>
                  <w:tcW w:w="1678" w:type="pct"/>
                  <w:noWrap w:val="0"/>
                  <w:vAlign w:val="center"/>
                </w:tcPr>
                <w:p w14:paraId="1724C94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血球仪</w:t>
                  </w:r>
                </w:p>
              </w:tc>
              <w:tc>
                <w:tcPr>
                  <w:tcW w:w="1084" w:type="pct"/>
                  <w:tcBorders>
                    <w:left w:val="single" w:color="auto" w:sz="2" w:space="0"/>
                    <w:right w:val="single" w:color="auto" w:sz="2" w:space="0"/>
                  </w:tcBorders>
                  <w:noWrap w:val="0"/>
                  <w:vAlign w:val="center"/>
                </w:tcPr>
                <w:p w14:paraId="603A1CE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4D3BA6B8">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6A01FF3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45E72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31" w:type="pct"/>
                  <w:shd w:val="clear" w:color="auto" w:fill="auto"/>
                  <w:noWrap w:val="0"/>
                  <w:vAlign w:val="center"/>
                </w:tcPr>
                <w:p w14:paraId="3C54E683">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11</w:t>
                  </w:r>
                </w:p>
              </w:tc>
              <w:tc>
                <w:tcPr>
                  <w:tcW w:w="1678" w:type="pct"/>
                  <w:noWrap w:val="0"/>
                  <w:vAlign w:val="center"/>
                </w:tcPr>
                <w:p w14:paraId="3C6E886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离心机</w:t>
                  </w:r>
                </w:p>
              </w:tc>
              <w:tc>
                <w:tcPr>
                  <w:tcW w:w="1084" w:type="pct"/>
                  <w:tcBorders>
                    <w:left w:val="single" w:color="auto" w:sz="2" w:space="0"/>
                    <w:right w:val="single" w:color="auto" w:sz="2" w:space="0"/>
                  </w:tcBorders>
                  <w:noWrap w:val="0"/>
                  <w:vAlign w:val="center"/>
                </w:tcPr>
                <w:p w14:paraId="7841A84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4A6DCB8">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5A29C242">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2E5BFA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31" w:type="pct"/>
                  <w:shd w:val="clear" w:color="auto" w:fill="auto"/>
                  <w:noWrap w:val="0"/>
                  <w:vAlign w:val="center"/>
                </w:tcPr>
                <w:p w14:paraId="5B0622F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12</w:t>
                  </w:r>
                </w:p>
              </w:tc>
              <w:tc>
                <w:tcPr>
                  <w:tcW w:w="1678" w:type="pct"/>
                  <w:noWrap w:val="0"/>
                  <w:vAlign w:val="center"/>
                </w:tcPr>
                <w:p w14:paraId="6B3B1132">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手术无影灯</w:t>
                  </w:r>
                </w:p>
              </w:tc>
              <w:tc>
                <w:tcPr>
                  <w:tcW w:w="1084" w:type="pct"/>
                  <w:tcBorders>
                    <w:left w:val="single" w:color="auto" w:sz="2" w:space="0"/>
                    <w:right w:val="single" w:color="auto" w:sz="2" w:space="0"/>
                  </w:tcBorders>
                  <w:noWrap w:val="0"/>
                  <w:vAlign w:val="center"/>
                </w:tcPr>
                <w:p w14:paraId="19CB51E2">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1D267D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11226AA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701B64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7601394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13</w:t>
                  </w:r>
                </w:p>
              </w:tc>
              <w:tc>
                <w:tcPr>
                  <w:tcW w:w="1678" w:type="pct"/>
                  <w:noWrap w:val="0"/>
                  <w:vAlign w:val="center"/>
                </w:tcPr>
                <w:p w14:paraId="353D208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动物手术台</w:t>
                  </w:r>
                </w:p>
              </w:tc>
              <w:tc>
                <w:tcPr>
                  <w:tcW w:w="1084" w:type="pct"/>
                  <w:tcBorders>
                    <w:left w:val="single" w:color="auto" w:sz="2" w:space="0"/>
                    <w:right w:val="single" w:color="auto" w:sz="2" w:space="0"/>
                  </w:tcBorders>
                  <w:noWrap w:val="0"/>
                  <w:vAlign w:val="center"/>
                </w:tcPr>
                <w:p w14:paraId="658A3B6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3CBC35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5285ADB3">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4A435C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3CC16A4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14</w:t>
                  </w:r>
                </w:p>
              </w:tc>
              <w:tc>
                <w:tcPr>
                  <w:tcW w:w="1678" w:type="pct"/>
                  <w:noWrap w:val="0"/>
                  <w:vAlign w:val="center"/>
                </w:tcPr>
                <w:p w14:paraId="343E311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雾化机</w:t>
                  </w:r>
                </w:p>
              </w:tc>
              <w:tc>
                <w:tcPr>
                  <w:tcW w:w="1084" w:type="pct"/>
                  <w:tcBorders>
                    <w:left w:val="single" w:color="auto" w:sz="2" w:space="0"/>
                    <w:right w:val="single" w:color="auto" w:sz="2" w:space="0"/>
                  </w:tcBorders>
                  <w:noWrap w:val="0"/>
                  <w:vAlign w:val="center"/>
                </w:tcPr>
                <w:p w14:paraId="3412AAB3">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49A9B9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7583F6B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4D308C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230D23A4">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15</w:t>
                  </w:r>
                </w:p>
              </w:tc>
              <w:tc>
                <w:tcPr>
                  <w:tcW w:w="1678" w:type="pct"/>
                  <w:noWrap w:val="0"/>
                  <w:vAlign w:val="center"/>
                </w:tcPr>
                <w:p w14:paraId="2452867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宠物医院信息管理系统</w:t>
                  </w:r>
                </w:p>
              </w:tc>
              <w:tc>
                <w:tcPr>
                  <w:tcW w:w="1084" w:type="pct"/>
                  <w:tcBorders>
                    <w:left w:val="single" w:color="auto" w:sz="2" w:space="0"/>
                    <w:right w:val="single" w:color="auto" w:sz="2" w:space="0"/>
                  </w:tcBorders>
                  <w:noWrap w:val="0"/>
                  <w:vAlign w:val="center"/>
                </w:tcPr>
                <w:p w14:paraId="3510F2C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3F405F8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52D76774">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23AA72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04309D5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16</w:t>
                  </w:r>
                </w:p>
              </w:tc>
              <w:tc>
                <w:tcPr>
                  <w:tcW w:w="1678" w:type="pct"/>
                  <w:noWrap w:val="0"/>
                  <w:vAlign w:val="center"/>
                </w:tcPr>
                <w:p w14:paraId="0B97BE8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电脑</w:t>
                  </w:r>
                </w:p>
              </w:tc>
              <w:tc>
                <w:tcPr>
                  <w:tcW w:w="1084" w:type="pct"/>
                  <w:tcBorders>
                    <w:left w:val="single" w:color="auto" w:sz="2" w:space="0"/>
                    <w:right w:val="single" w:color="auto" w:sz="2" w:space="0"/>
                  </w:tcBorders>
                  <w:noWrap w:val="0"/>
                  <w:vAlign w:val="center"/>
                </w:tcPr>
                <w:p w14:paraId="3BBF9EE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31805AF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7213D45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3</w:t>
                  </w:r>
                </w:p>
              </w:tc>
            </w:tr>
            <w:tr w14:paraId="389D1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431" w:type="pct"/>
                  <w:shd w:val="clear" w:color="auto" w:fill="auto"/>
                  <w:noWrap w:val="0"/>
                  <w:vAlign w:val="center"/>
                </w:tcPr>
                <w:p w14:paraId="1FF66513">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17</w:t>
                  </w:r>
                </w:p>
              </w:tc>
              <w:tc>
                <w:tcPr>
                  <w:tcW w:w="1678" w:type="pct"/>
                  <w:noWrap w:val="0"/>
                  <w:vAlign w:val="center"/>
                </w:tcPr>
                <w:p w14:paraId="400AB8C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地秤</w:t>
                  </w:r>
                </w:p>
              </w:tc>
              <w:tc>
                <w:tcPr>
                  <w:tcW w:w="1084" w:type="pct"/>
                  <w:tcBorders>
                    <w:left w:val="single" w:color="auto" w:sz="2" w:space="0"/>
                    <w:right w:val="single" w:color="auto" w:sz="2" w:space="0"/>
                  </w:tcBorders>
                  <w:noWrap w:val="0"/>
                  <w:vAlign w:val="center"/>
                </w:tcPr>
                <w:p w14:paraId="0141335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1784F5D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305A4CF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1A6F8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4109CFE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18</w:t>
                  </w:r>
                </w:p>
              </w:tc>
              <w:tc>
                <w:tcPr>
                  <w:tcW w:w="1678" w:type="pct"/>
                  <w:noWrap w:val="0"/>
                  <w:vAlign w:val="center"/>
                </w:tcPr>
                <w:p w14:paraId="46FC6E64">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海威特荧光检测分析仪</w:t>
                  </w:r>
                </w:p>
              </w:tc>
              <w:tc>
                <w:tcPr>
                  <w:tcW w:w="1084" w:type="pct"/>
                  <w:tcBorders>
                    <w:left w:val="single" w:color="auto" w:sz="2" w:space="0"/>
                    <w:right w:val="single" w:color="auto" w:sz="2" w:space="0"/>
                  </w:tcBorders>
                  <w:noWrap w:val="0"/>
                  <w:vAlign w:val="center"/>
                </w:tcPr>
                <w:p w14:paraId="1100E6B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379A2B7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37E36B9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187E8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10EC52E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19</w:t>
                  </w:r>
                </w:p>
              </w:tc>
              <w:tc>
                <w:tcPr>
                  <w:tcW w:w="1678" w:type="pct"/>
                  <w:noWrap w:val="0"/>
                  <w:vAlign w:val="center"/>
                </w:tcPr>
                <w:p w14:paraId="08803DA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西门子呼吸麻醉机</w:t>
                  </w:r>
                </w:p>
              </w:tc>
              <w:tc>
                <w:tcPr>
                  <w:tcW w:w="1084" w:type="pct"/>
                  <w:tcBorders>
                    <w:left w:val="single" w:color="auto" w:sz="2" w:space="0"/>
                    <w:right w:val="single" w:color="auto" w:sz="2" w:space="0"/>
                  </w:tcBorders>
                  <w:noWrap w:val="0"/>
                  <w:vAlign w:val="center"/>
                </w:tcPr>
                <w:p w14:paraId="6C9FAB2E">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73D3482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DEF890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73160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055B7C2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20</w:t>
                  </w:r>
                </w:p>
              </w:tc>
              <w:tc>
                <w:tcPr>
                  <w:tcW w:w="1678" w:type="pct"/>
                  <w:noWrap w:val="0"/>
                  <w:vAlign w:val="center"/>
                </w:tcPr>
                <w:p w14:paraId="61FA407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高压消毒锅</w:t>
                  </w:r>
                </w:p>
              </w:tc>
              <w:tc>
                <w:tcPr>
                  <w:tcW w:w="1084" w:type="pct"/>
                  <w:tcBorders>
                    <w:left w:val="single" w:color="auto" w:sz="2" w:space="0"/>
                    <w:right w:val="single" w:color="auto" w:sz="2" w:space="0"/>
                  </w:tcBorders>
                  <w:noWrap w:val="0"/>
                  <w:vAlign w:val="center"/>
                </w:tcPr>
                <w:p w14:paraId="0E0A6E4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1258BC9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098BF4E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294694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1E03ED12">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21</w:t>
                  </w:r>
                </w:p>
              </w:tc>
              <w:tc>
                <w:tcPr>
                  <w:tcW w:w="1678" w:type="pct"/>
                  <w:noWrap w:val="0"/>
                  <w:vAlign w:val="center"/>
                </w:tcPr>
                <w:p w14:paraId="05F38B6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伍德氏灯</w:t>
                  </w:r>
                </w:p>
              </w:tc>
              <w:tc>
                <w:tcPr>
                  <w:tcW w:w="1084" w:type="pct"/>
                  <w:tcBorders>
                    <w:left w:val="single" w:color="auto" w:sz="2" w:space="0"/>
                    <w:right w:val="single" w:color="auto" w:sz="2" w:space="0"/>
                  </w:tcBorders>
                  <w:noWrap w:val="0"/>
                  <w:vAlign w:val="center"/>
                </w:tcPr>
                <w:p w14:paraId="0F05C6E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2B7A119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07AD984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61BC0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5EAE502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22</w:t>
                  </w:r>
                </w:p>
              </w:tc>
              <w:tc>
                <w:tcPr>
                  <w:tcW w:w="1678" w:type="pct"/>
                  <w:noWrap w:val="0"/>
                  <w:vAlign w:val="center"/>
                </w:tcPr>
                <w:p w14:paraId="4988F06C">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宠物智能输液泵</w:t>
                  </w:r>
                </w:p>
              </w:tc>
              <w:tc>
                <w:tcPr>
                  <w:tcW w:w="1084" w:type="pct"/>
                  <w:tcBorders>
                    <w:left w:val="single" w:color="auto" w:sz="2" w:space="0"/>
                    <w:right w:val="single" w:color="auto" w:sz="2" w:space="0"/>
                  </w:tcBorders>
                  <w:noWrap w:val="0"/>
                  <w:vAlign w:val="center"/>
                </w:tcPr>
                <w:p w14:paraId="0C8B717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A16B71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4BE494A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5</w:t>
                  </w:r>
                </w:p>
              </w:tc>
            </w:tr>
            <w:tr w14:paraId="0CE80A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419E5F4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23</w:t>
                  </w:r>
                </w:p>
              </w:tc>
              <w:tc>
                <w:tcPr>
                  <w:tcW w:w="1678" w:type="pct"/>
                  <w:noWrap w:val="0"/>
                  <w:vAlign w:val="center"/>
                </w:tcPr>
                <w:p w14:paraId="4107CB1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移液器</w:t>
                  </w:r>
                </w:p>
              </w:tc>
              <w:tc>
                <w:tcPr>
                  <w:tcW w:w="1084" w:type="pct"/>
                  <w:tcBorders>
                    <w:left w:val="single" w:color="auto" w:sz="2" w:space="0"/>
                    <w:right w:val="single" w:color="auto" w:sz="2" w:space="0"/>
                  </w:tcBorders>
                  <w:noWrap w:val="0"/>
                  <w:vAlign w:val="center"/>
                </w:tcPr>
                <w:p w14:paraId="71D3A234">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0C5E4DBC">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0970070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w:t>
                  </w:r>
                </w:p>
              </w:tc>
            </w:tr>
            <w:tr w14:paraId="1C1B1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5E6D04CD">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24</w:t>
                  </w:r>
                </w:p>
              </w:tc>
              <w:tc>
                <w:tcPr>
                  <w:tcW w:w="1678" w:type="pct"/>
                  <w:noWrap w:val="0"/>
                  <w:vAlign w:val="center"/>
                </w:tcPr>
                <w:p w14:paraId="141DE493">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监控摄像头</w:t>
                  </w:r>
                </w:p>
              </w:tc>
              <w:tc>
                <w:tcPr>
                  <w:tcW w:w="1084" w:type="pct"/>
                  <w:tcBorders>
                    <w:left w:val="single" w:color="auto" w:sz="2" w:space="0"/>
                    <w:right w:val="single" w:color="auto" w:sz="2" w:space="0"/>
                  </w:tcBorders>
                  <w:noWrap w:val="0"/>
                  <w:vAlign w:val="center"/>
                </w:tcPr>
                <w:p w14:paraId="7E210A1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27F6F4B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49A0D93B">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8</w:t>
                  </w:r>
                </w:p>
              </w:tc>
            </w:tr>
            <w:tr w14:paraId="10BE6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0D1EC5FF">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25</w:t>
                  </w:r>
                </w:p>
              </w:tc>
              <w:tc>
                <w:tcPr>
                  <w:tcW w:w="1678" w:type="pct"/>
                  <w:noWrap w:val="0"/>
                  <w:vAlign w:val="center"/>
                </w:tcPr>
                <w:p w14:paraId="2CD619B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打印机</w:t>
                  </w:r>
                </w:p>
              </w:tc>
              <w:tc>
                <w:tcPr>
                  <w:tcW w:w="1084" w:type="pct"/>
                  <w:tcBorders>
                    <w:left w:val="single" w:color="auto" w:sz="2" w:space="0"/>
                    <w:right w:val="single" w:color="auto" w:sz="2" w:space="0"/>
                  </w:tcBorders>
                  <w:noWrap w:val="0"/>
                  <w:vAlign w:val="center"/>
                </w:tcPr>
                <w:p w14:paraId="7FC4D657">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B72CB5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75CAF987">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1F7771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4CC5FA74">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26</w:t>
                  </w:r>
                </w:p>
              </w:tc>
              <w:tc>
                <w:tcPr>
                  <w:tcW w:w="1678" w:type="pct"/>
                  <w:noWrap w:val="0"/>
                  <w:vAlign w:val="center"/>
                </w:tcPr>
                <w:p w14:paraId="232258E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宠物桌称</w:t>
                  </w:r>
                </w:p>
              </w:tc>
              <w:tc>
                <w:tcPr>
                  <w:tcW w:w="1084" w:type="pct"/>
                  <w:tcBorders>
                    <w:left w:val="single" w:color="auto" w:sz="2" w:space="0"/>
                    <w:right w:val="single" w:color="auto" w:sz="2" w:space="0"/>
                  </w:tcBorders>
                  <w:noWrap w:val="0"/>
                  <w:vAlign w:val="center"/>
                </w:tcPr>
                <w:p w14:paraId="6DA02C6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1CD0AA50">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4294E01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w:t>
                  </w:r>
                </w:p>
              </w:tc>
            </w:tr>
            <w:tr w14:paraId="33CDC9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72B7302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27</w:t>
                  </w:r>
                </w:p>
              </w:tc>
              <w:tc>
                <w:tcPr>
                  <w:tcW w:w="1678" w:type="pct"/>
                  <w:noWrap w:val="0"/>
                  <w:vAlign w:val="center"/>
                </w:tcPr>
                <w:p w14:paraId="30CE5AA3">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斯玛特生化分析仪</w:t>
                  </w:r>
                </w:p>
              </w:tc>
              <w:tc>
                <w:tcPr>
                  <w:tcW w:w="1084" w:type="pct"/>
                  <w:tcBorders>
                    <w:left w:val="single" w:color="auto" w:sz="2" w:space="0"/>
                    <w:right w:val="single" w:color="auto" w:sz="2" w:space="0"/>
                  </w:tcBorders>
                  <w:noWrap w:val="0"/>
                  <w:vAlign w:val="center"/>
                </w:tcPr>
                <w:p w14:paraId="2365BF91">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12703585">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1A10452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1AADF6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1EFD4472">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28</w:t>
                  </w:r>
                </w:p>
              </w:tc>
              <w:tc>
                <w:tcPr>
                  <w:tcW w:w="1678" w:type="pct"/>
                  <w:noWrap w:val="0"/>
                  <w:vAlign w:val="center"/>
                </w:tcPr>
                <w:p w14:paraId="3D04274A">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eastAsia="zh-CN"/>
                    </w:rPr>
                  </w:pPr>
                  <w:r>
                    <w:rPr>
                      <w:rFonts w:hint="eastAsia"/>
                      <w:color w:val="auto"/>
                      <w:lang w:val="en-US" w:eastAsia="zh-CN"/>
                    </w:rPr>
                    <w:t>推车式紫外线灯</w:t>
                  </w:r>
                </w:p>
              </w:tc>
              <w:tc>
                <w:tcPr>
                  <w:tcW w:w="1084" w:type="pct"/>
                  <w:tcBorders>
                    <w:left w:val="single" w:color="auto" w:sz="2" w:space="0"/>
                    <w:right w:val="single" w:color="auto" w:sz="2" w:space="0"/>
                  </w:tcBorders>
                  <w:noWrap w:val="0"/>
                  <w:vAlign w:val="center"/>
                </w:tcPr>
                <w:p w14:paraId="65EC32C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6353899">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73DC2EE6">
                  <w:pPr>
                    <w:pStyle w:val="28"/>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w:t>
                  </w:r>
                </w:p>
              </w:tc>
            </w:tr>
          </w:tbl>
          <w:p w14:paraId="38AE935B">
            <w:pPr>
              <w:pStyle w:val="3"/>
              <w:bidi w:val="0"/>
              <w:rPr>
                <w:rFonts w:hint="eastAsia"/>
                <w:color w:val="auto"/>
                <w:lang w:eastAsia="zh-CN"/>
              </w:rPr>
            </w:pPr>
            <w:r>
              <w:rPr>
                <w:rFonts w:hint="eastAsia"/>
                <w:color w:val="auto"/>
                <w:lang w:val="en-US" w:eastAsia="zh-CN"/>
              </w:rPr>
              <w:t>2.5</w:t>
            </w:r>
            <w:r>
              <w:rPr>
                <w:rFonts w:hint="eastAsia"/>
                <w:color w:val="auto"/>
                <w:lang w:eastAsia="zh-CN"/>
              </w:rPr>
              <w:t>、主要原辅材料表</w:t>
            </w:r>
          </w:p>
          <w:p w14:paraId="3B5D78D6">
            <w:pPr>
              <w:pStyle w:val="29"/>
              <w:bidi w:val="0"/>
              <w:rPr>
                <w:rFonts w:hint="eastAsia"/>
                <w:color w:val="auto"/>
                <w:lang w:val="en-US" w:eastAsia="zh-CN"/>
              </w:rPr>
            </w:pPr>
            <w:r>
              <w:rPr>
                <w:rFonts w:hint="eastAsia"/>
                <w:color w:val="auto"/>
                <w:lang w:val="en-US" w:eastAsia="zh-CN"/>
              </w:rPr>
              <w:t>医院的主要原辅材料种类繁多，包括药物、试剂、消毒液以及除此之外的其他各类物资。原辅材料运输、贮存和使用须严格遵守相关管理规范，避免扩散到人群和环境中造成危害。项目主要药物使用见表2-3，主要医疗用品及能源消耗见表2-4。</w:t>
            </w:r>
          </w:p>
          <w:p w14:paraId="1C35E833">
            <w:pPr>
              <w:pStyle w:val="22"/>
              <w:bidi w:val="0"/>
              <w:rPr>
                <w:rFonts w:hint="default"/>
                <w:color w:val="auto"/>
                <w:lang w:val="en-US" w:eastAsia="zh-CN"/>
              </w:rPr>
            </w:pPr>
            <w:r>
              <w:rPr>
                <w:color w:val="auto"/>
                <w:lang w:eastAsia="zh-CN"/>
              </w:rPr>
              <w:t>表2-</w:t>
            </w:r>
            <w:r>
              <w:rPr>
                <w:rFonts w:hint="eastAsia"/>
                <w:color w:val="auto"/>
                <w:lang w:val="en-US" w:eastAsia="zh-CN"/>
              </w:rPr>
              <w:t>3</w:t>
            </w:r>
            <w:r>
              <w:rPr>
                <w:color w:val="auto"/>
                <w:lang w:eastAsia="zh-CN"/>
              </w:rPr>
              <w:t xml:space="preserve">    </w:t>
            </w:r>
            <w:r>
              <w:rPr>
                <w:rFonts w:hint="eastAsia"/>
                <w:color w:val="auto"/>
                <w:lang w:eastAsia="zh-CN"/>
              </w:rPr>
              <w:t>主要</w:t>
            </w:r>
            <w:r>
              <w:rPr>
                <w:rFonts w:hint="eastAsia"/>
                <w:color w:val="auto"/>
                <w:lang w:val="en-US" w:eastAsia="zh-CN"/>
              </w:rPr>
              <w:t>药物使用情况</w:t>
            </w:r>
          </w:p>
          <w:tbl>
            <w:tblPr>
              <w:tblStyle w:val="15"/>
              <w:tblW w:w="785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6"/>
              <w:gridCol w:w="3045"/>
              <w:gridCol w:w="1695"/>
              <w:gridCol w:w="1350"/>
              <w:gridCol w:w="1229"/>
            </w:tblGrid>
            <w:tr w14:paraId="78512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36" w:type="dxa"/>
                  <w:tcBorders>
                    <w:tl2br w:val="nil"/>
                    <w:tr2bl w:val="nil"/>
                  </w:tcBorders>
                  <w:noWrap w:val="0"/>
                  <w:vAlign w:val="center"/>
                </w:tcPr>
                <w:p w14:paraId="0281324F">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3045" w:type="dxa"/>
                  <w:tcBorders>
                    <w:tl2br w:val="nil"/>
                    <w:tr2bl w:val="nil"/>
                  </w:tcBorders>
                  <w:noWrap w:val="0"/>
                  <w:vAlign w:val="center"/>
                </w:tcPr>
                <w:p w14:paraId="5AFA10A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品名</w:t>
                  </w:r>
                </w:p>
              </w:tc>
              <w:tc>
                <w:tcPr>
                  <w:tcW w:w="1695" w:type="dxa"/>
                  <w:tcBorders>
                    <w:tl2br w:val="nil"/>
                    <w:tr2bl w:val="nil"/>
                  </w:tcBorders>
                  <w:noWrap w:val="0"/>
                  <w:vAlign w:val="center"/>
                </w:tcPr>
                <w:p w14:paraId="0113A6A7">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规格</w:t>
                  </w:r>
                </w:p>
              </w:tc>
              <w:tc>
                <w:tcPr>
                  <w:tcW w:w="1350" w:type="dxa"/>
                  <w:tcBorders>
                    <w:tl2br w:val="nil"/>
                    <w:tr2bl w:val="nil"/>
                  </w:tcBorders>
                  <w:noWrap w:val="0"/>
                  <w:vAlign w:val="center"/>
                </w:tcPr>
                <w:p w14:paraId="4CE2B2EC">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年耗量</w:t>
                  </w:r>
                </w:p>
              </w:tc>
              <w:tc>
                <w:tcPr>
                  <w:tcW w:w="1229" w:type="dxa"/>
                  <w:tcBorders>
                    <w:tl2br w:val="nil"/>
                    <w:tr2bl w:val="nil"/>
                  </w:tcBorders>
                  <w:noWrap w:val="0"/>
                  <w:vAlign w:val="center"/>
                </w:tcPr>
                <w:p w14:paraId="062A1A67">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备注</w:t>
                  </w:r>
                </w:p>
              </w:tc>
            </w:tr>
            <w:tr w14:paraId="61A00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1AB9E7E2">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045" w:type="dxa"/>
                  <w:tcBorders>
                    <w:tl2br w:val="nil"/>
                    <w:tr2bl w:val="nil"/>
                  </w:tcBorders>
                  <w:noWrap w:val="0"/>
                  <w:vAlign w:val="center"/>
                </w:tcPr>
                <w:p w14:paraId="29B942B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拜有利</w:t>
                  </w:r>
                </w:p>
              </w:tc>
              <w:tc>
                <w:tcPr>
                  <w:tcW w:w="1695" w:type="dxa"/>
                  <w:tcBorders>
                    <w:tl2br w:val="nil"/>
                    <w:tr2bl w:val="nil"/>
                  </w:tcBorders>
                  <w:noWrap w:val="0"/>
                  <w:vAlign w:val="center"/>
                </w:tcPr>
                <w:p w14:paraId="50197A3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100毫升</w:t>
                  </w:r>
                </w:p>
              </w:tc>
              <w:tc>
                <w:tcPr>
                  <w:tcW w:w="1350" w:type="dxa"/>
                  <w:tcBorders>
                    <w:tl2br w:val="nil"/>
                    <w:tr2bl w:val="nil"/>
                  </w:tcBorders>
                  <w:noWrap w:val="0"/>
                  <w:vAlign w:val="center"/>
                </w:tcPr>
                <w:p w14:paraId="0D8D93C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瓶</w:t>
                  </w:r>
                </w:p>
              </w:tc>
              <w:tc>
                <w:tcPr>
                  <w:tcW w:w="1229" w:type="dxa"/>
                  <w:vMerge w:val="restart"/>
                  <w:tcBorders>
                    <w:tl2br w:val="nil"/>
                    <w:tr2bl w:val="nil"/>
                  </w:tcBorders>
                  <w:noWrap w:val="0"/>
                  <w:vAlign w:val="center"/>
                </w:tcPr>
                <w:p w14:paraId="27350DBA">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抗生素</w:t>
                  </w:r>
                </w:p>
              </w:tc>
            </w:tr>
            <w:tr w14:paraId="55DCF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vMerge w:val="restart"/>
                  <w:tcBorders>
                    <w:tl2br w:val="nil"/>
                    <w:tr2bl w:val="nil"/>
                  </w:tcBorders>
                  <w:noWrap w:val="0"/>
                  <w:vAlign w:val="center"/>
                </w:tcPr>
                <w:p w14:paraId="4F87BAA9">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3045" w:type="dxa"/>
                  <w:vMerge w:val="restart"/>
                  <w:tcBorders>
                    <w:tl2br w:val="nil"/>
                    <w:tr2bl w:val="nil"/>
                  </w:tcBorders>
                  <w:noWrap w:val="0"/>
                  <w:vAlign w:val="center"/>
                </w:tcPr>
                <w:p w14:paraId="170A410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莫比新</w:t>
                  </w:r>
                </w:p>
              </w:tc>
              <w:tc>
                <w:tcPr>
                  <w:tcW w:w="1695" w:type="dxa"/>
                  <w:tcBorders>
                    <w:tl2br w:val="nil"/>
                    <w:tr2bl w:val="nil"/>
                  </w:tcBorders>
                  <w:noWrap w:val="0"/>
                  <w:vAlign w:val="center"/>
                </w:tcPr>
                <w:p w14:paraId="688DC2C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50毫克</w:t>
                  </w:r>
                </w:p>
              </w:tc>
              <w:tc>
                <w:tcPr>
                  <w:tcW w:w="1350" w:type="dxa"/>
                  <w:tcBorders>
                    <w:tl2br w:val="nil"/>
                    <w:tr2bl w:val="nil"/>
                  </w:tcBorders>
                  <w:noWrap w:val="0"/>
                  <w:vAlign w:val="center"/>
                </w:tcPr>
                <w:p w14:paraId="7DE4D3A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vMerge w:val="continue"/>
                  <w:tcBorders>
                    <w:tl2br w:val="nil"/>
                    <w:tr2bl w:val="nil"/>
                  </w:tcBorders>
                  <w:noWrap w:val="0"/>
                  <w:vAlign w:val="center"/>
                </w:tcPr>
                <w:p w14:paraId="3058EE90">
                  <w:pPr>
                    <w:widowControl w:val="0"/>
                    <w:rPr>
                      <w:rFonts w:hint="eastAsia" w:ascii="Times New Roman" w:hAnsi="Times New Roman" w:eastAsia="宋体" w:cs="Times New Roman"/>
                      <w:color w:val="auto"/>
                      <w:sz w:val="21"/>
                      <w:szCs w:val="21"/>
                      <w:lang w:val="en-US" w:eastAsia="zh-CN"/>
                    </w:rPr>
                  </w:pPr>
                </w:p>
              </w:tc>
            </w:tr>
            <w:tr w14:paraId="431D0E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noWrap w:val="0"/>
                  <w:vAlign w:val="top"/>
                </w:tcPr>
                <w:p w14:paraId="6FD32E1E">
                  <w:pPr>
                    <w:widowControl w:val="0"/>
                    <w:rPr>
                      <w:rFonts w:hint="eastAsia" w:ascii="Times New Roman" w:hAnsi="Times New Roman" w:eastAsia="宋体" w:cs="Times New Roman"/>
                      <w:color w:val="auto"/>
                      <w:sz w:val="21"/>
                      <w:szCs w:val="21"/>
                      <w:lang w:val="en-US" w:eastAsia="zh-CN"/>
                    </w:rPr>
                  </w:pPr>
                </w:p>
              </w:tc>
              <w:tc>
                <w:tcPr>
                  <w:tcW w:w="3045" w:type="dxa"/>
                  <w:vMerge w:val="continue"/>
                  <w:tcBorders>
                    <w:tl2br w:val="nil"/>
                    <w:tr2bl w:val="nil"/>
                  </w:tcBorders>
                  <w:noWrap w:val="0"/>
                  <w:vAlign w:val="top"/>
                </w:tcPr>
                <w:p w14:paraId="000736D2">
                  <w:pPr>
                    <w:widowControl w:val="0"/>
                    <w:rPr>
                      <w:rFonts w:hint="eastAsia" w:ascii="Times New Roman" w:hAnsi="Times New Roman" w:eastAsia="宋体" w:cs="Times New Roman"/>
                      <w:color w:val="auto"/>
                      <w:sz w:val="21"/>
                      <w:szCs w:val="21"/>
                      <w:lang w:val="en-US" w:eastAsia="zh-CN"/>
                    </w:rPr>
                  </w:pPr>
                </w:p>
              </w:tc>
              <w:tc>
                <w:tcPr>
                  <w:tcW w:w="1695" w:type="dxa"/>
                  <w:tcBorders>
                    <w:tl2br w:val="nil"/>
                    <w:tr2bl w:val="nil"/>
                  </w:tcBorders>
                  <w:noWrap w:val="0"/>
                  <w:vAlign w:val="center"/>
                </w:tcPr>
                <w:p w14:paraId="2E14A38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250毫克</w:t>
                  </w:r>
                </w:p>
              </w:tc>
              <w:tc>
                <w:tcPr>
                  <w:tcW w:w="1350" w:type="dxa"/>
                  <w:tcBorders>
                    <w:tl2br w:val="nil"/>
                    <w:tr2bl w:val="nil"/>
                  </w:tcBorders>
                  <w:noWrap w:val="0"/>
                  <w:vAlign w:val="center"/>
                </w:tcPr>
                <w:p w14:paraId="5E354E9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盒</w:t>
                  </w:r>
                </w:p>
              </w:tc>
              <w:tc>
                <w:tcPr>
                  <w:tcW w:w="1229" w:type="dxa"/>
                  <w:vMerge w:val="continue"/>
                  <w:tcBorders>
                    <w:tl2br w:val="nil"/>
                    <w:tr2bl w:val="nil"/>
                  </w:tcBorders>
                  <w:noWrap w:val="0"/>
                  <w:vAlign w:val="center"/>
                </w:tcPr>
                <w:p w14:paraId="3377C5B5">
                  <w:pPr>
                    <w:widowControl w:val="0"/>
                    <w:rPr>
                      <w:rFonts w:hint="eastAsia" w:ascii="Times New Roman" w:hAnsi="Times New Roman" w:eastAsia="宋体" w:cs="Times New Roman"/>
                      <w:color w:val="auto"/>
                      <w:sz w:val="21"/>
                      <w:szCs w:val="21"/>
                      <w:lang w:val="en-US" w:eastAsia="zh-CN"/>
                    </w:rPr>
                  </w:pPr>
                </w:p>
              </w:tc>
            </w:tr>
            <w:tr w14:paraId="4B86F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noWrap w:val="0"/>
                  <w:vAlign w:val="top"/>
                </w:tcPr>
                <w:p w14:paraId="6040559B">
                  <w:pPr>
                    <w:widowControl w:val="0"/>
                    <w:rPr>
                      <w:rFonts w:hint="eastAsia" w:ascii="Times New Roman" w:hAnsi="Times New Roman" w:eastAsia="宋体" w:cs="Times New Roman"/>
                      <w:color w:val="auto"/>
                      <w:sz w:val="21"/>
                      <w:szCs w:val="21"/>
                      <w:lang w:val="en-US" w:eastAsia="zh-CN"/>
                    </w:rPr>
                  </w:pPr>
                </w:p>
              </w:tc>
              <w:tc>
                <w:tcPr>
                  <w:tcW w:w="3045" w:type="dxa"/>
                  <w:vMerge w:val="continue"/>
                  <w:tcBorders>
                    <w:tl2br w:val="nil"/>
                    <w:tr2bl w:val="nil"/>
                  </w:tcBorders>
                  <w:noWrap w:val="0"/>
                  <w:vAlign w:val="top"/>
                </w:tcPr>
                <w:p w14:paraId="5B294320">
                  <w:pPr>
                    <w:widowControl w:val="0"/>
                    <w:rPr>
                      <w:rFonts w:hint="eastAsia" w:ascii="Times New Roman" w:hAnsi="Times New Roman" w:eastAsia="宋体" w:cs="Times New Roman"/>
                      <w:color w:val="auto"/>
                      <w:sz w:val="21"/>
                      <w:szCs w:val="21"/>
                      <w:lang w:val="en-US" w:eastAsia="zh-CN"/>
                    </w:rPr>
                  </w:pPr>
                </w:p>
              </w:tc>
              <w:tc>
                <w:tcPr>
                  <w:tcW w:w="1695" w:type="dxa"/>
                  <w:tcBorders>
                    <w:tl2br w:val="nil"/>
                    <w:tr2bl w:val="nil"/>
                  </w:tcBorders>
                  <w:noWrap w:val="0"/>
                  <w:vAlign w:val="center"/>
                </w:tcPr>
                <w:p w14:paraId="5C10402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500毫克</w:t>
                  </w:r>
                </w:p>
              </w:tc>
              <w:tc>
                <w:tcPr>
                  <w:tcW w:w="1350" w:type="dxa"/>
                  <w:tcBorders>
                    <w:tl2br w:val="nil"/>
                    <w:tr2bl w:val="nil"/>
                  </w:tcBorders>
                  <w:noWrap w:val="0"/>
                  <w:vAlign w:val="center"/>
                </w:tcPr>
                <w:p w14:paraId="6DBF5BB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盒</w:t>
                  </w:r>
                </w:p>
              </w:tc>
              <w:tc>
                <w:tcPr>
                  <w:tcW w:w="1229" w:type="dxa"/>
                  <w:vMerge w:val="continue"/>
                  <w:tcBorders>
                    <w:tl2br w:val="nil"/>
                    <w:tr2bl w:val="nil"/>
                  </w:tcBorders>
                  <w:noWrap w:val="0"/>
                  <w:vAlign w:val="center"/>
                </w:tcPr>
                <w:p w14:paraId="540E8091">
                  <w:pPr>
                    <w:widowControl w:val="0"/>
                    <w:rPr>
                      <w:rFonts w:hint="eastAsia" w:ascii="Times New Roman" w:hAnsi="Times New Roman" w:eastAsia="宋体" w:cs="Times New Roman"/>
                      <w:color w:val="auto"/>
                      <w:sz w:val="21"/>
                      <w:szCs w:val="21"/>
                      <w:lang w:val="en-US" w:eastAsia="zh-CN"/>
                    </w:rPr>
                  </w:pPr>
                </w:p>
              </w:tc>
            </w:tr>
            <w:tr w14:paraId="459E19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36" w:type="dxa"/>
                  <w:tcBorders>
                    <w:tl2br w:val="nil"/>
                    <w:tr2bl w:val="nil"/>
                  </w:tcBorders>
                  <w:noWrap w:val="0"/>
                  <w:vAlign w:val="center"/>
                </w:tcPr>
                <w:p w14:paraId="2C51A554">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045" w:type="dxa"/>
                  <w:tcBorders>
                    <w:tl2br w:val="nil"/>
                    <w:tr2bl w:val="nil"/>
                  </w:tcBorders>
                  <w:noWrap w:val="0"/>
                  <w:vAlign w:val="center"/>
                </w:tcPr>
                <w:p w14:paraId="3C10193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倍诺林</w:t>
                  </w:r>
                </w:p>
              </w:tc>
              <w:tc>
                <w:tcPr>
                  <w:tcW w:w="1695" w:type="dxa"/>
                  <w:tcBorders>
                    <w:tl2br w:val="nil"/>
                    <w:tr2bl w:val="nil"/>
                  </w:tcBorders>
                  <w:noWrap w:val="0"/>
                  <w:vAlign w:val="center"/>
                </w:tcPr>
                <w:p w14:paraId="3C8B5522">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0.1g/支</w:t>
                  </w:r>
                </w:p>
              </w:tc>
              <w:tc>
                <w:tcPr>
                  <w:tcW w:w="1350" w:type="dxa"/>
                  <w:tcBorders>
                    <w:tl2br w:val="nil"/>
                    <w:tr2bl w:val="nil"/>
                  </w:tcBorders>
                  <w:noWrap w:val="0"/>
                  <w:vAlign w:val="center"/>
                </w:tcPr>
                <w:p w14:paraId="3B874BD9">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3盒</w:t>
                  </w:r>
                </w:p>
              </w:tc>
              <w:tc>
                <w:tcPr>
                  <w:tcW w:w="1229" w:type="dxa"/>
                  <w:tcBorders>
                    <w:tl2br w:val="nil"/>
                    <w:tr2bl w:val="nil"/>
                  </w:tcBorders>
                  <w:noWrap w:val="0"/>
                  <w:vAlign w:val="center"/>
                </w:tcPr>
                <w:p w14:paraId="6CD93AA8">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抗生素</w:t>
                  </w:r>
                </w:p>
              </w:tc>
            </w:tr>
            <w:tr w14:paraId="44856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5A49CE61">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3045" w:type="dxa"/>
                  <w:tcBorders>
                    <w:tl2br w:val="nil"/>
                    <w:tr2bl w:val="nil"/>
                  </w:tcBorders>
                  <w:noWrap w:val="0"/>
                  <w:vAlign w:val="center"/>
                </w:tcPr>
                <w:p w14:paraId="5AEB34A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大宠爱</w:t>
                  </w:r>
                </w:p>
              </w:tc>
              <w:tc>
                <w:tcPr>
                  <w:tcW w:w="1695" w:type="dxa"/>
                  <w:tcBorders>
                    <w:tl2br w:val="nil"/>
                    <w:tr2bl w:val="nil"/>
                  </w:tcBorders>
                  <w:noWrap w:val="0"/>
                  <w:vAlign w:val="center"/>
                </w:tcPr>
                <w:p w14:paraId="2FE5711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0.25毫升</w:t>
                  </w:r>
                </w:p>
              </w:tc>
              <w:tc>
                <w:tcPr>
                  <w:tcW w:w="1350" w:type="dxa"/>
                  <w:tcBorders>
                    <w:tl2br w:val="nil"/>
                    <w:tr2bl w:val="nil"/>
                  </w:tcBorders>
                  <w:noWrap w:val="0"/>
                  <w:vAlign w:val="center"/>
                </w:tcPr>
                <w:p w14:paraId="56D5670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10盒</w:t>
                  </w:r>
                </w:p>
              </w:tc>
              <w:tc>
                <w:tcPr>
                  <w:tcW w:w="1229" w:type="dxa"/>
                  <w:tcBorders>
                    <w:tl2br w:val="nil"/>
                    <w:tr2bl w:val="nil"/>
                  </w:tcBorders>
                  <w:noWrap w:val="0"/>
                  <w:vAlign w:val="center"/>
                </w:tcPr>
                <w:p w14:paraId="01C5508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体外驱虫</w:t>
                  </w:r>
                </w:p>
              </w:tc>
            </w:tr>
            <w:tr w14:paraId="318C0E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D849088">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3045" w:type="dxa"/>
                  <w:tcBorders>
                    <w:tl2br w:val="nil"/>
                    <w:tr2bl w:val="nil"/>
                  </w:tcBorders>
                  <w:noWrap w:val="0"/>
                  <w:vAlign w:val="center"/>
                </w:tcPr>
                <w:p w14:paraId="1FFF14B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海乐旺</w:t>
                  </w:r>
                </w:p>
              </w:tc>
              <w:tc>
                <w:tcPr>
                  <w:tcW w:w="1695" w:type="dxa"/>
                  <w:tcBorders>
                    <w:tl2br w:val="nil"/>
                    <w:tr2bl w:val="nil"/>
                  </w:tcBorders>
                  <w:noWrap w:val="0"/>
                  <w:vAlign w:val="center"/>
                </w:tcPr>
                <w:p w14:paraId="5B508FA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1350" w:type="dxa"/>
                  <w:tcBorders>
                    <w:tl2br w:val="nil"/>
                    <w:tr2bl w:val="nil"/>
                  </w:tcBorders>
                  <w:noWrap w:val="0"/>
                  <w:vAlign w:val="center"/>
                </w:tcPr>
                <w:p w14:paraId="7A296D6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0B72548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4AC2F5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56D34E4D">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3045" w:type="dxa"/>
                  <w:tcBorders>
                    <w:tl2br w:val="nil"/>
                    <w:tr2bl w:val="nil"/>
                  </w:tcBorders>
                  <w:noWrap w:val="0"/>
                  <w:vAlign w:val="center"/>
                </w:tcPr>
                <w:p w14:paraId="28F8275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海乐旺</w:t>
                  </w:r>
                </w:p>
              </w:tc>
              <w:tc>
                <w:tcPr>
                  <w:tcW w:w="1695" w:type="dxa"/>
                  <w:tcBorders>
                    <w:tl2br w:val="nil"/>
                    <w:tr2bl w:val="nil"/>
                  </w:tcBorders>
                  <w:noWrap w:val="0"/>
                  <w:vAlign w:val="center"/>
                </w:tcPr>
                <w:p w14:paraId="6D9C7E9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1350" w:type="dxa"/>
                  <w:tcBorders>
                    <w:tl2br w:val="nil"/>
                    <w:tr2bl w:val="nil"/>
                  </w:tcBorders>
                  <w:noWrap w:val="0"/>
                  <w:vAlign w:val="center"/>
                </w:tcPr>
                <w:p w14:paraId="5CB8482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693DC25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5FF4B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B8F26A4">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3045" w:type="dxa"/>
                  <w:tcBorders>
                    <w:tl2br w:val="nil"/>
                    <w:tr2bl w:val="nil"/>
                  </w:tcBorders>
                  <w:noWrap w:val="0"/>
                  <w:vAlign w:val="center"/>
                </w:tcPr>
                <w:p w14:paraId="44FCD33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海乐妙</w:t>
                  </w:r>
                </w:p>
              </w:tc>
              <w:tc>
                <w:tcPr>
                  <w:tcW w:w="1695" w:type="dxa"/>
                  <w:tcBorders>
                    <w:tl2br w:val="nil"/>
                    <w:tr2bl w:val="nil"/>
                  </w:tcBorders>
                  <w:noWrap w:val="0"/>
                  <w:vAlign w:val="center"/>
                </w:tcPr>
                <w:p w14:paraId="0A6202E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1350" w:type="dxa"/>
                  <w:tcBorders>
                    <w:tl2br w:val="nil"/>
                    <w:tr2bl w:val="nil"/>
                  </w:tcBorders>
                  <w:noWrap w:val="0"/>
                  <w:vAlign w:val="center"/>
                </w:tcPr>
                <w:p w14:paraId="29728B2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36EB718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4FA21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7B85247A">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3045" w:type="dxa"/>
                  <w:tcBorders>
                    <w:tl2br w:val="nil"/>
                    <w:tr2bl w:val="nil"/>
                  </w:tcBorders>
                  <w:noWrap w:val="0"/>
                  <w:vAlign w:val="center"/>
                </w:tcPr>
                <w:p w14:paraId="048C8A0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拜宠清</w:t>
                  </w:r>
                </w:p>
              </w:tc>
              <w:tc>
                <w:tcPr>
                  <w:tcW w:w="1695" w:type="dxa"/>
                  <w:tcBorders>
                    <w:tl2br w:val="nil"/>
                    <w:tr2bl w:val="nil"/>
                  </w:tcBorders>
                  <w:noWrap w:val="0"/>
                  <w:vAlign w:val="center"/>
                </w:tcPr>
                <w:p w14:paraId="0829612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1350" w:type="dxa"/>
                  <w:tcBorders>
                    <w:tl2br w:val="nil"/>
                    <w:tr2bl w:val="nil"/>
                  </w:tcBorders>
                  <w:noWrap w:val="0"/>
                  <w:vAlign w:val="center"/>
                </w:tcPr>
                <w:p w14:paraId="355A00C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223FD43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391AF3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3DB0810">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3045" w:type="dxa"/>
                  <w:tcBorders>
                    <w:tl2br w:val="nil"/>
                    <w:tr2bl w:val="nil"/>
                  </w:tcBorders>
                  <w:noWrap w:val="0"/>
                  <w:vAlign w:val="center"/>
                </w:tcPr>
                <w:p w14:paraId="0ADABED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赛瑞宁</w:t>
                  </w:r>
                </w:p>
              </w:tc>
              <w:tc>
                <w:tcPr>
                  <w:tcW w:w="1695" w:type="dxa"/>
                  <w:tcBorders>
                    <w:tl2br w:val="nil"/>
                    <w:tr2bl w:val="nil"/>
                  </w:tcBorders>
                  <w:noWrap w:val="0"/>
                  <w:vAlign w:val="center"/>
                </w:tcPr>
                <w:p w14:paraId="51EC72D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10毫升/盒</w:t>
                  </w:r>
                </w:p>
              </w:tc>
              <w:tc>
                <w:tcPr>
                  <w:tcW w:w="1350" w:type="dxa"/>
                  <w:tcBorders>
                    <w:tl2br w:val="nil"/>
                    <w:tr2bl w:val="nil"/>
                  </w:tcBorders>
                  <w:noWrap w:val="0"/>
                  <w:vAlign w:val="center"/>
                </w:tcPr>
                <w:p w14:paraId="7A125C8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2瓶</w:t>
                  </w:r>
                </w:p>
              </w:tc>
              <w:tc>
                <w:tcPr>
                  <w:tcW w:w="1229" w:type="dxa"/>
                  <w:tcBorders>
                    <w:tl2br w:val="nil"/>
                    <w:tr2bl w:val="nil"/>
                  </w:tcBorders>
                  <w:noWrap w:val="0"/>
                  <w:vAlign w:val="center"/>
                </w:tcPr>
                <w:p w14:paraId="05D8712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止吐</w:t>
                  </w:r>
                </w:p>
              </w:tc>
            </w:tr>
            <w:tr w14:paraId="74E8BA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38BDCF1">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3045" w:type="dxa"/>
                  <w:tcBorders>
                    <w:tl2br w:val="nil"/>
                    <w:tr2bl w:val="nil"/>
                  </w:tcBorders>
                  <w:noWrap w:val="0"/>
                  <w:vAlign w:val="center"/>
                </w:tcPr>
                <w:p w14:paraId="3FFAFE0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生理盐水</w:t>
                  </w:r>
                </w:p>
              </w:tc>
              <w:tc>
                <w:tcPr>
                  <w:tcW w:w="1695" w:type="dxa"/>
                  <w:tcBorders>
                    <w:tl2br w:val="nil"/>
                    <w:tr2bl w:val="nil"/>
                  </w:tcBorders>
                  <w:noWrap w:val="0"/>
                  <w:vAlign w:val="center"/>
                </w:tcPr>
                <w:p w14:paraId="05385AA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24瓶</w:t>
                  </w:r>
                </w:p>
              </w:tc>
              <w:tc>
                <w:tcPr>
                  <w:tcW w:w="1350" w:type="dxa"/>
                  <w:tcBorders>
                    <w:tl2br w:val="nil"/>
                    <w:tr2bl w:val="nil"/>
                  </w:tcBorders>
                  <w:noWrap w:val="0"/>
                  <w:vAlign w:val="center"/>
                </w:tcPr>
                <w:p w14:paraId="746E782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箱</w:t>
                  </w:r>
                </w:p>
              </w:tc>
              <w:tc>
                <w:tcPr>
                  <w:tcW w:w="1229" w:type="dxa"/>
                  <w:tcBorders>
                    <w:tl2br w:val="nil"/>
                    <w:tr2bl w:val="nil"/>
                  </w:tcBorders>
                  <w:noWrap w:val="0"/>
                  <w:vAlign w:val="center"/>
                </w:tcPr>
                <w:p w14:paraId="51B75A5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液体</w:t>
                  </w:r>
                </w:p>
              </w:tc>
            </w:tr>
            <w:tr w14:paraId="3D1FE7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5EA70514">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3045" w:type="dxa"/>
                  <w:tcBorders>
                    <w:tl2br w:val="nil"/>
                    <w:tr2bl w:val="nil"/>
                  </w:tcBorders>
                  <w:noWrap w:val="0"/>
                  <w:vAlign w:val="center"/>
                </w:tcPr>
                <w:p w14:paraId="57DD177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5%葡萄糖注射液</w:t>
                  </w:r>
                </w:p>
              </w:tc>
              <w:tc>
                <w:tcPr>
                  <w:tcW w:w="1695" w:type="dxa"/>
                  <w:tcBorders>
                    <w:tl2br w:val="nil"/>
                    <w:tr2bl w:val="nil"/>
                  </w:tcBorders>
                  <w:noWrap w:val="0"/>
                  <w:vAlign w:val="center"/>
                </w:tcPr>
                <w:p w14:paraId="093901A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24瓶</w:t>
                  </w:r>
                </w:p>
              </w:tc>
              <w:tc>
                <w:tcPr>
                  <w:tcW w:w="1350" w:type="dxa"/>
                  <w:tcBorders>
                    <w:tl2br w:val="nil"/>
                    <w:tr2bl w:val="nil"/>
                  </w:tcBorders>
                  <w:noWrap w:val="0"/>
                  <w:vAlign w:val="center"/>
                </w:tcPr>
                <w:p w14:paraId="7D3A013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箱</w:t>
                  </w:r>
                </w:p>
              </w:tc>
              <w:tc>
                <w:tcPr>
                  <w:tcW w:w="1229" w:type="dxa"/>
                  <w:tcBorders>
                    <w:tl2br w:val="nil"/>
                    <w:tr2bl w:val="nil"/>
                  </w:tcBorders>
                  <w:noWrap w:val="0"/>
                  <w:vAlign w:val="center"/>
                </w:tcPr>
                <w:p w14:paraId="4A004A0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液体</w:t>
                  </w:r>
                </w:p>
              </w:tc>
            </w:tr>
            <w:tr w14:paraId="157E1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7D0A3D48">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3045" w:type="dxa"/>
                  <w:tcBorders>
                    <w:tl2br w:val="nil"/>
                    <w:tr2bl w:val="nil"/>
                  </w:tcBorders>
                  <w:noWrap w:val="0"/>
                  <w:vAlign w:val="center"/>
                </w:tcPr>
                <w:p w14:paraId="6C02D67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复方Nacl</w:t>
                  </w:r>
                </w:p>
              </w:tc>
              <w:tc>
                <w:tcPr>
                  <w:tcW w:w="1695" w:type="dxa"/>
                  <w:tcBorders>
                    <w:tl2br w:val="nil"/>
                    <w:tr2bl w:val="nil"/>
                  </w:tcBorders>
                  <w:noWrap w:val="0"/>
                  <w:vAlign w:val="center"/>
                </w:tcPr>
                <w:p w14:paraId="2DE83C6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24瓶</w:t>
                  </w:r>
                </w:p>
              </w:tc>
              <w:tc>
                <w:tcPr>
                  <w:tcW w:w="1350" w:type="dxa"/>
                  <w:tcBorders>
                    <w:tl2br w:val="nil"/>
                    <w:tr2bl w:val="nil"/>
                  </w:tcBorders>
                  <w:noWrap w:val="0"/>
                  <w:vAlign w:val="center"/>
                </w:tcPr>
                <w:p w14:paraId="217DED9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箱</w:t>
                  </w:r>
                </w:p>
              </w:tc>
              <w:tc>
                <w:tcPr>
                  <w:tcW w:w="1229" w:type="dxa"/>
                  <w:tcBorders>
                    <w:tl2br w:val="nil"/>
                    <w:tr2bl w:val="nil"/>
                  </w:tcBorders>
                  <w:noWrap w:val="0"/>
                  <w:vAlign w:val="center"/>
                </w:tcPr>
                <w:p w14:paraId="7063DA3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液体</w:t>
                  </w:r>
                </w:p>
              </w:tc>
            </w:tr>
            <w:tr w14:paraId="03593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2F9C039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w:t>
                  </w:r>
                </w:p>
              </w:tc>
              <w:tc>
                <w:tcPr>
                  <w:tcW w:w="3045" w:type="dxa"/>
                  <w:tcBorders>
                    <w:tl2br w:val="nil"/>
                    <w:tr2bl w:val="nil"/>
                  </w:tcBorders>
                  <w:noWrap w:val="0"/>
                  <w:vAlign w:val="center"/>
                </w:tcPr>
                <w:p w14:paraId="2E03BF0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麻佛</w:t>
                  </w:r>
                </w:p>
              </w:tc>
              <w:tc>
                <w:tcPr>
                  <w:tcW w:w="1695" w:type="dxa"/>
                  <w:tcBorders>
                    <w:tl2br w:val="nil"/>
                    <w:tr2bl w:val="nil"/>
                  </w:tcBorders>
                  <w:noWrap w:val="0"/>
                  <w:vAlign w:val="center"/>
                </w:tcPr>
                <w:p w14:paraId="1559792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10片/盒</w:t>
                  </w:r>
                </w:p>
              </w:tc>
              <w:tc>
                <w:tcPr>
                  <w:tcW w:w="1350" w:type="dxa"/>
                  <w:tcBorders>
                    <w:tl2br w:val="nil"/>
                    <w:tr2bl w:val="nil"/>
                  </w:tcBorders>
                  <w:noWrap w:val="0"/>
                  <w:vAlign w:val="center"/>
                </w:tcPr>
                <w:p w14:paraId="38275A5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3ED8B9A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抗生素</w:t>
                  </w:r>
                </w:p>
              </w:tc>
            </w:tr>
            <w:tr w14:paraId="2EB30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2A13F492">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14</w:t>
                  </w:r>
                </w:p>
              </w:tc>
              <w:tc>
                <w:tcPr>
                  <w:tcW w:w="3045" w:type="dxa"/>
                  <w:tcBorders>
                    <w:tl2br w:val="nil"/>
                    <w:tr2bl w:val="nil"/>
                  </w:tcBorders>
                  <w:noWrap w:val="0"/>
                  <w:vAlign w:val="center"/>
                </w:tcPr>
                <w:p w14:paraId="57E502E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耳漂</w:t>
                  </w:r>
                </w:p>
              </w:tc>
              <w:tc>
                <w:tcPr>
                  <w:tcW w:w="1695" w:type="dxa"/>
                  <w:tcBorders>
                    <w:tl2br w:val="nil"/>
                    <w:tr2bl w:val="nil"/>
                  </w:tcBorders>
                  <w:noWrap w:val="0"/>
                  <w:vAlign w:val="center"/>
                </w:tcPr>
                <w:p w14:paraId="56939EA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12瓶</w:t>
                  </w:r>
                </w:p>
              </w:tc>
              <w:tc>
                <w:tcPr>
                  <w:tcW w:w="1350" w:type="dxa"/>
                  <w:tcBorders>
                    <w:tl2br w:val="nil"/>
                    <w:tr2bl w:val="nil"/>
                  </w:tcBorders>
                  <w:noWrap w:val="0"/>
                  <w:vAlign w:val="center"/>
                </w:tcPr>
                <w:p w14:paraId="2625EF1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2盒</w:t>
                  </w:r>
                </w:p>
              </w:tc>
              <w:tc>
                <w:tcPr>
                  <w:tcW w:w="1229" w:type="dxa"/>
                  <w:tcBorders>
                    <w:tl2br w:val="nil"/>
                    <w:tr2bl w:val="nil"/>
                  </w:tcBorders>
                  <w:noWrap w:val="0"/>
                  <w:vAlign w:val="center"/>
                </w:tcPr>
                <w:p w14:paraId="4DF31F6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洗耳水</w:t>
                  </w:r>
                </w:p>
              </w:tc>
            </w:tr>
            <w:tr w14:paraId="0D540E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231CA58F">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3045" w:type="dxa"/>
                  <w:tcBorders>
                    <w:tl2br w:val="nil"/>
                    <w:tr2bl w:val="nil"/>
                  </w:tcBorders>
                  <w:noWrap w:val="0"/>
                  <w:vAlign w:val="center"/>
                </w:tcPr>
                <w:p w14:paraId="0FAF0AD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安立消</w:t>
                  </w:r>
                </w:p>
              </w:tc>
              <w:tc>
                <w:tcPr>
                  <w:tcW w:w="1695" w:type="dxa"/>
                  <w:tcBorders>
                    <w:tl2br w:val="nil"/>
                    <w:tr2bl w:val="nil"/>
                  </w:tcBorders>
                  <w:noWrap w:val="0"/>
                  <w:vAlign w:val="center"/>
                </w:tcPr>
                <w:p w14:paraId="19FF7F9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500毫升</w:t>
                  </w:r>
                </w:p>
              </w:tc>
              <w:tc>
                <w:tcPr>
                  <w:tcW w:w="1350" w:type="dxa"/>
                  <w:tcBorders>
                    <w:tl2br w:val="nil"/>
                    <w:tr2bl w:val="nil"/>
                  </w:tcBorders>
                  <w:noWrap w:val="0"/>
                  <w:vAlign w:val="center"/>
                </w:tcPr>
                <w:p w14:paraId="68A86E0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20</w:t>
                  </w:r>
                  <w:r>
                    <w:rPr>
                      <w:rFonts w:hint="eastAsia" w:ascii="Times New Roman" w:hAnsi="Times New Roman" w:eastAsia="宋体" w:cs="Times New Roman"/>
                      <w:color w:val="auto"/>
                      <w:sz w:val="21"/>
                      <w:szCs w:val="21"/>
                      <w:lang w:val="en-US" w:eastAsia="zh-CN"/>
                    </w:rPr>
                    <w:t>瓶</w:t>
                  </w:r>
                </w:p>
              </w:tc>
              <w:tc>
                <w:tcPr>
                  <w:tcW w:w="1229" w:type="dxa"/>
                  <w:tcBorders>
                    <w:tl2br w:val="nil"/>
                    <w:tr2bl w:val="nil"/>
                  </w:tcBorders>
                  <w:noWrap w:val="0"/>
                  <w:vAlign w:val="center"/>
                </w:tcPr>
                <w:p w14:paraId="655045E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消毒液</w:t>
                  </w:r>
                </w:p>
              </w:tc>
            </w:tr>
            <w:tr w14:paraId="3A1454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A53CDA8">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16</w:t>
                  </w:r>
                </w:p>
              </w:tc>
              <w:tc>
                <w:tcPr>
                  <w:tcW w:w="3045" w:type="dxa"/>
                  <w:tcBorders>
                    <w:tl2br w:val="nil"/>
                    <w:tr2bl w:val="nil"/>
                  </w:tcBorders>
                  <w:noWrap w:val="0"/>
                  <w:vAlign w:val="center"/>
                </w:tcPr>
                <w:p w14:paraId="173440E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异氟烷</w:t>
                  </w:r>
                </w:p>
              </w:tc>
              <w:tc>
                <w:tcPr>
                  <w:tcW w:w="1695" w:type="dxa"/>
                  <w:tcBorders>
                    <w:tl2br w:val="nil"/>
                    <w:tr2bl w:val="nil"/>
                  </w:tcBorders>
                  <w:noWrap w:val="0"/>
                  <w:vAlign w:val="center"/>
                </w:tcPr>
                <w:p w14:paraId="48C1AC3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100毫升/瓶</w:t>
                  </w:r>
                </w:p>
              </w:tc>
              <w:tc>
                <w:tcPr>
                  <w:tcW w:w="1350" w:type="dxa"/>
                  <w:tcBorders>
                    <w:tl2br w:val="nil"/>
                    <w:tr2bl w:val="nil"/>
                  </w:tcBorders>
                  <w:noWrap w:val="0"/>
                  <w:vAlign w:val="center"/>
                </w:tcPr>
                <w:p w14:paraId="16E1748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8瓶</w:t>
                  </w:r>
                </w:p>
              </w:tc>
              <w:tc>
                <w:tcPr>
                  <w:tcW w:w="1229" w:type="dxa"/>
                  <w:tcBorders>
                    <w:tl2br w:val="nil"/>
                    <w:tr2bl w:val="nil"/>
                  </w:tcBorders>
                  <w:noWrap w:val="0"/>
                  <w:vAlign w:val="center"/>
                </w:tcPr>
                <w:p w14:paraId="2FBC900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0A32AE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6C6E3361">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17</w:t>
                  </w:r>
                </w:p>
              </w:tc>
              <w:tc>
                <w:tcPr>
                  <w:tcW w:w="3045" w:type="dxa"/>
                  <w:tcBorders>
                    <w:tl2br w:val="nil"/>
                    <w:tr2bl w:val="nil"/>
                  </w:tcBorders>
                  <w:noWrap w:val="0"/>
                  <w:vAlign w:val="center"/>
                </w:tcPr>
                <w:p w14:paraId="141563D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舒泰50</w:t>
                  </w:r>
                </w:p>
              </w:tc>
              <w:tc>
                <w:tcPr>
                  <w:tcW w:w="1695" w:type="dxa"/>
                  <w:tcBorders>
                    <w:tl2br w:val="nil"/>
                    <w:tr2bl w:val="nil"/>
                  </w:tcBorders>
                  <w:noWrap w:val="0"/>
                  <w:vAlign w:val="center"/>
                </w:tcPr>
                <w:p w14:paraId="723F357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250毫克/瓶</w:t>
                  </w:r>
                </w:p>
              </w:tc>
              <w:tc>
                <w:tcPr>
                  <w:tcW w:w="1350" w:type="dxa"/>
                  <w:tcBorders>
                    <w:tl2br w:val="nil"/>
                    <w:tr2bl w:val="nil"/>
                  </w:tcBorders>
                  <w:noWrap w:val="0"/>
                  <w:vAlign w:val="center"/>
                </w:tcPr>
                <w:p w14:paraId="427E9E8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瓶</w:t>
                  </w:r>
                </w:p>
              </w:tc>
              <w:tc>
                <w:tcPr>
                  <w:tcW w:w="1229" w:type="dxa"/>
                  <w:tcBorders>
                    <w:tl2br w:val="nil"/>
                    <w:tr2bl w:val="nil"/>
                  </w:tcBorders>
                  <w:noWrap w:val="0"/>
                  <w:vAlign w:val="center"/>
                </w:tcPr>
                <w:p w14:paraId="5729572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5593D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046B7E4">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18</w:t>
                  </w:r>
                </w:p>
              </w:tc>
              <w:tc>
                <w:tcPr>
                  <w:tcW w:w="3045" w:type="dxa"/>
                  <w:tcBorders>
                    <w:tl2br w:val="nil"/>
                    <w:tr2bl w:val="nil"/>
                  </w:tcBorders>
                  <w:noWrap w:val="0"/>
                  <w:vAlign w:val="center"/>
                </w:tcPr>
                <w:p w14:paraId="4775FBF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棉制品</w:t>
                  </w:r>
                </w:p>
              </w:tc>
              <w:tc>
                <w:tcPr>
                  <w:tcW w:w="1695" w:type="dxa"/>
                  <w:tcBorders>
                    <w:tl2br w:val="nil"/>
                    <w:tr2bl w:val="nil"/>
                  </w:tcBorders>
                  <w:noWrap w:val="0"/>
                  <w:vAlign w:val="center"/>
                </w:tcPr>
                <w:p w14:paraId="2FB9F3E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100支/包</w:t>
                  </w:r>
                </w:p>
              </w:tc>
              <w:tc>
                <w:tcPr>
                  <w:tcW w:w="1350" w:type="dxa"/>
                  <w:tcBorders>
                    <w:tl2br w:val="nil"/>
                    <w:tr2bl w:val="nil"/>
                  </w:tcBorders>
                  <w:noWrap w:val="0"/>
                  <w:vAlign w:val="center"/>
                </w:tcPr>
                <w:p w14:paraId="3B0A829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3包</w:t>
                  </w:r>
                </w:p>
              </w:tc>
              <w:tc>
                <w:tcPr>
                  <w:tcW w:w="1229" w:type="dxa"/>
                  <w:tcBorders>
                    <w:tl2br w:val="nil"/>
                    <w:tr2bl w:val="nil"/>
                  </w:tcBorders>
                  <w:noWrap w:val="0"/>
                  <w:vAlign w:val="center"/>
                </w:tcPr>
                <w:p w14:paraId="1922455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2D95D7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10B3F6C3">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w:t>
                  </w:r>
                </w:p>
              </w:tc>
              <w:tc>
                <w:tcPr>
                  <w:tcW w:w="3045" w:type="dxa"/>
                  <w:tcBorders>
                    <w:tl2br w:val="nil"/>
                    <w:tr2bl w:val="nil"/>
                  </w:tcBorders>
                  <w:noWrap w:val="0"/>
                  <w:vAlign w:val="center"/>
                </w:tcPr>
                <w:p w14:paraId="29A0643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丙泊酚</w:t>
                  </w:r>
                </w:p>
              </w:tc>
              <w:tc>
                <w:tcPr>
                  <w:tcW w:w="1695" w:type="dxa"/>
                  <w:tcBorders>
                    <w:tl2br w:val="nil"/>
                    <w:tr2bl w:val="nil"/>
                  </w:tcBorders>
                  <w:noWrap w:val="0"/>
                  <w:vAlign w:val="center"/>
                </w:tcPr>
                <w:p w14:paraId="770F66B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20毫升</w:t>
                  </w:r>
                </w:p>
              </w:tc>
              <w:tc>
                <w:tcPr>
                  <w:tcW w:w="1350" w:type="dxa"/>
                  <w:tcBorders>
                    <w:tl2br w:val="nil"/>
                    <w:tr2bl w:val="nil"/>
                  </w:tcBorders>
                  <w:noWrap w:val="0"/>
                  <w:vAlign w:val="center"/>
                </w:tcPr>
                <w:p w14:paraId="044DF13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497BE59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7313B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52506FA2">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045" w:type="dxa"/>
                  <w:tcBorders>
                    <w:tl2br w:val="nil"/>
                    <w:tr2bl w:val="nil"/>
                  </w:tcBorders>
                  <w:noWrap w:val="0"/>
                  <w:vAlign w:val="center"/>
                </w:tcPr>
                <w:p w14:paraId="5EE2D3E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一次性手套</w:t>
                  </w:r>
                </w:p>
              </w:tc>
              <w:tc>
                <w:tcPr>
                  <w:tcW w:w="1695" w:type="dxa"/>
                  <w:tcBorders>
                    <w:tl2br w:val="nil"/>
                    <w:tr2bl w:val="nil"/>
                  </w:tcBorders>
                  <w:noWrap w:val="0"/>
                  <w:vAlign w:val="center"/>
                </w:tcPr>
                <w:p w14:paraId="3E6A29B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1350" w:type="dxa"/>
                  <w:tcBorders>
                    <w:tl2br w:val="nil"/>
                    <w:tr2bl w:val="nil"/>
                  </w:tcBorders>
                  <w:noWrap w:val="0"/>
                  <w:vAlign w:val="center"/>
                </w:tcPr>
                <w:p w14:paraId="2476DFE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7F98520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4D274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116B5676">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21</w:t>
                  </w:r>
                </w:p>
              </w:tc>
              <w:tc>
                <w:tcPr>
                  <w:tcW w:w="3045" w:type="dxa"/>
                  <w:tcBorders>
                    <w:tl2br w:val="nil"/>
                    <w:tr2bl w:val="nil"/>
                  </w:tcBorders>
                  <w:noWrap w:val="0"/>
                  <w:vAlign w:val="center"/>
                </w:tcPr>
                <w:p w14:paraId="348F464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一次性口罩</w:t>
                  </w:r>
                </w:p>
              </w:tc>
              <w:tc>
                <w:tcPr>
                  <w:tcW w:w="1695" w:type="dxa"/>
                  <w:tcBorders>
                    <w:tl2br w:val="nil"/>
                    <w:tr2bl w:val="nil"/>
                  </w:tcBorders>
                  <w:noWrap w:val="0"/>
                  <w:vAlign w:val="center"/>
                </w:tcPr>
                <w:p w14:paraId="6C12BA1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350" w:type="dxa"/>
                  <w:tcBorders>
                    <w:tl2br w:val="nil"/>
                    <w:tr2bl w:val="nil"/>
                  </w:tcBorders>
                  <w:noWrap w:val="0"/>
                  <w:vAlign w:val="center"/>
                </w:tcPr>
                <w:p w14:paraId="71CD40E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30</w:t>
                  </w:r>
                  <w:r>
                    <w:rPr>
                      <w:rFonts w:hint="eastAsia" w:ascii="Times New Roman" w:hAnsi="Times New Roman" w:eastAsia="宋体" w:cs="Times New Roman"/>
                      <w:color w:val="auto"/>
                      <w:sz w:val="21"/>
                      <w:szCs w:val="21"/>
                      <w:lang w:val="en-US" w:eastAsia="zh-CN"/>
                    </w:rPr>
                    <w:t>包</w:t>
                  </w:r>
                </w:p>
              </w:tc>
              <w:tc>
                <w:tcPr>
                  <w:tcW w:w="1229" w:type="dxa"/>
                  <w:tcBorders>
                    <w:tl2br w:val="nil"/>
                    <w:tr2bl w:val="nil"/>
                  </w:tcBorders>
                  <w:noWrap w:val="0"/>
                  <w:vAlign w:val="center"/>
                </w:tcPr>
                <w:p w14:paraId="148B25C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52B77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6" w:type="dxa"/>
                  <w:tcBorders>
                    <w:tl2br w:val="nil"/>
                    <w:tr2bl w:val="nil"/>
                  </w:tcBorders>
                  <w:noWrap w:val="0"/>
                  <w:vAlign w:val="top"/>
                </w:tcPr>
                <w:p w14:paraId="70358187">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22</w:t>
                  </w:r>
                </w:p>
              </w:tc>
              <w:tc>
                <w:tcPr>
                  <w:tcW w:w="3045" w:type="dxa"/>
                  <w:tcBorders>
                    <w:tl2br w:val="nil"/>
                    <w:tr2bl w:val="nil"/>
                  </w:tcBorders>
                  <w:noWrap w:val="0"/>
                  <w:vAlign w:val="center"/>
                </w:tcPr>
                <w:p w14:paraId="675AAA4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双氧水</w:t>
                  </w:r>
                </w:p>
              </w:tc>
              <w:tc>
                <w:tcPr>
                  <w:tcW w:w="1695" w:type="dxa"/>
                  <w:tcBorders>
                    <w:tl2br w:val="nil"/>
                    <w:tr2bl w:val="nil"/>
                  </w:tcBorders>
                  <w:noWrap w:val="0"/>
                  <w:vAlign w:val="center"/>
                </w:tcPr>
                <w:p w14:paraId="1B9A802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100毫升/瓶</w:t>
                  </w:r>
                </w:p>
              </w:tc>
              <w:tc>
                <w:tcPr>
                  <w:tcW w:w="1350" w:type="dxa"/>
                  <w:tcBorders>
                    <w:tl2br w:val="nil"/>
                    <w:tr2bl w:val="nil"/>
                  </w:tcBorders>
                  <w:noWrap w:val="0"/>
                  <w:vAlign w:val="center"/>
                </w:tcPr>
                <w:p w14:paraId="10B7E08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662481C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4BC132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7C426579">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23</w:t>
                  </w:r>
                </w:p>
              </w:tc>
              <w:tc>
                <w:tcPr>
                  <w:tcW w:w="3045" w:type="dxa"/>
                  <w:tcBorders>
                    <w:tl2br w:val="nil"/>
                    <w:tr2bl w:val="nil"/>
                  </w:tcBorders>
                  <w:noWrap w:val="0"/>
                  <w:vAlign w:val="center"/>
                </w:tcPr>
                <w:p w14:paraId="07D6A50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医用酒精</w:t>
                  </w:r>
                </w:p>
              </w:tc>
              <w:tc>
                <w:tcPr>
                  <w:tcW w:w="1695" w:type="dxa"/>
                  <w:tcBorders>
                    <w:tl2br w:val="nil"/>
                    <w:tr2bl w:val="nil"/>
                  </w:tcBorders>
                  <w:noWrap w:val="0"/>
                  <w:vAlign w:val="center"/>
                </w:tcPr>
                <w:p w14:paraId="4A59376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500毫升</w:t>
                  </w:r>
                </w:p>
              </w:tc>
              <w:tc>
                <w:tcPr>
                  <w:tcW w:w="1350" w:type="dxa"/>
                  <w:tcBorders>
                    <w:tl2br w:val="nil"/>
                    <w:tr2bl w:val="nil"/>
                  </w:tcBorders>
                  <w:noWrap w:val="0"/>
                  <w:vAlign w:val="center"/>
                </w:tcPr>
                <w:p w14:paraId="5B8A8DA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15</w:t>
                  </w:r>
                  <w:r>
                    <w:rPr>
                      <w:rFonts w:hint="eastAsia" w:ascii="Times New Roman" w:hAnsi="Times New Roman" w:eastAsia="宋体" w:cs="Times New Roman"/>
                      <w:color w:val="auto"/>
                      <w:sz w:val="21"/>
                      <w:szCs w:val="21"/>
                      <w:lang w:val="en-US" w:eastAsia="zh-CN"/>
                    </w:rPr>
                    <w:t>瓶</w:t>
                  </w:r>
                </w:p>
              </w:tc>
              <w:tc>
                <w:tcPr>
                  <w:tcW w:w="1229" w:type="dxa"/>
                  <w:tcBorders>
                    <w:tl2br w:val="nil"/>
                    <w:tr2bl w:val="nil"/>
                  </w:tcBorders>
                  <w:noWrap w:val="0"/>
                  <w:vAlign w:val="center"/>
                </w:tcPr>
                <w:p w14:paraId="709ABAB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4A3EFA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67D9C05E">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24</w:t>
                  </w:r>
                </w:p>
              </w:tc>
              <w:tc>
                <w:tcPr>
                  <w:tcW w:w="3045" w:type="dxa"/>
                  <w:tcBorders>
                    <w:tl2br w:val="nil"/>
                    <w:tr2bl w:val="nil"/>
                  </w:tcBorders>
                  <w:noWrap w:val="0"/>
                  <w:vAlign w:val="center"/>
                </w:tcPr>
                <w:p w14:paraId="762594B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注射器</w:t>
                  </w:r>
                </w:p>
              </w:tc>
              <w:tc>
                <w:tcPr>
                  <w:tcW w:w="1695" w:type="dxa"/>
                  <w:tcBorders>
                    <w:tl2br w:val="nil"/>
                    <w:tr2bl w:val="nil"/>
                  </w:tcBorders>
                  <w:noWrap w:val="0"/>
                  <w:vAlign w:val="center"/>
                </w:tcPr>
                <w:p w14:paraId="3909DF1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100支/盒</w:t>
                  </w:r>
                </w:p>
              </w:tc>
              <w:tc>
                <w:tcPr>
                  <w:tcW w:w="1350" w:type="dxa"/>
                  <w:tcBorders>
                    <w:tl2br w:val="nil"/>
                    <w:tr2bl w:val="nil"/>
                  </w:tcBorders>
                  <w:noWrap w:val="0"/>
                  <w:vAlign w:val="center"/>
                </w:tcPr>
                <w:p w14:paraId="26F1BB2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10808B8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6D8D2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2510948B">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25</w:t>
                  </w:r>
                </w:p>
              </w:tc>
              <w:tc>
                <w:tcPr>
                  <w:tcW w:w="3045" w:type="dxa"/>
                  <w:tcBorders>
                    <w:tl2br w:val="nil"/>
                    <w:tr2bl w:val="nil"/>
                  </w:tcBorders>
                  <w:noWrap w:val="0"/>
                  <w:vAlign w:val="center"/>
                </w:tcPr>
                <w:p w14:paraId="05E17C2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一次性垫单</w:t>
                  </w:r>
                </w:p>
              </w:tc>
              <w:tc>
                <w:tcPr>
                  <w:tcW w:w="1695" w:type="dxa"/>
                  <w:tcBorders>
                    <w:tl2br w:val="nil"/>
                    <w:tr2bl w:val="nil"/>
                  </w:tcBorders>
                  <w:noWrap w:val="0"/>
                  <w:vAlign w:val="center"/>
                </w:tcPr>
                <w:p w14:paraId="61BA461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10张/袋</w:t>
                  </w:r>
                </w:p>
              </w:tc>
              <w:tc>
                <w:tcPr>
                  <w:tcW w:w="1350" w:type="dxa"/>
                  <w:tcBorders>
                    <w:tl2br w:val="nil"/>
                    <w:tr2bl w:val="nil"/>
                  </w:tcBorders>
                  <w:noWrap w:val="0"/>
                  <w:vAlign w:val="center"/>
                </w:tcPr>
                <w:p w14:paraId="30AEFBD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lang w:val="en-US" w:eastAsia="zh-CN"/>
                    </w:rPr>
                    <w:t>袋</w:t>
                  </w:r>
                </w:p>
              </w:tc>
              <w:tc>
                <w:tcPr>
                  <w:tcW w:w="1229" w:type="dxa"/>
                  <w:tcBorders>
                    <w:tl2br w:val="nil"/>
                    <w:tr2bl w:val="nil"/>
                  </w:tcBorders>
                  <w:noWrap w:val="0"/>
                  <w:vAlign w:val="center"/>
                </w:tcPr>
                <w:p w14:paraId="3B18EA8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42130B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5921AD46">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26</w:t>
                  </w:r>
                </w:p>
              </w:tc>
              <w:tc>
                <w:tcPr>
                  <w:tcW w:w="3045" w:type="dxa"/>
                  <w:tcBorders>
                    <w:tl2br w:val="nil"/>
                    <w:tr2bl w:val="nil"/>
                  </w:tcBorders>
                  <w:noWrap w:val="0"/>
                  <w:vAlign w:val="center"/>
                </w:tcPr>
                <w:p w14:paraId="51ADE05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疫苗</w:t>
                  </w:r>
                </w:p>
              </w:tc>
              <w:tc>
                <w:tcPr>
                  <w:tcW w:w="1695" w:type="dxa"/>
                  <w:tcBorders>
                    <w:tl2br w:val="nil"/>
                    <w:tr2bl w:val="nil"/>
                  </w:tcBorders>
                  <w:noWrap w:val="0"/>
                  <w:vAlign w:val="center"/>
                </w:tcPr>
                <w:p w14:paraId="053E218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25支/盒</w:t>
                  </w:r>
                </w:p>
              </w:tc>
              <w:tc>
                <w:tcPr>
                  <w:tcW w:w="1350" w:type="dxa"/>
                  <w:tcBorders>
                    <w:tl2br w:val="nil"/>
                    <w:tr2bl w:val="nil"/>
                  </w:tcBorders>
                  <w:noWrap w:val="0"/>
                  <w:vAlign w:val="center"/>
                </w:tcPr>
                <w:p w14:paraId="4988F43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6C9E711F">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疫苗</w:t>
                  </w:r>
                </w:p>
              </w:tc>
            </w:tr>
            <w:tr w14:paraId="71102F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1B86477B">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27</w:t>
                  </w:r>
                </w:p>
              </w:tc>
              <w:tc>
                <w:tcPr>
                  <w:tcW w:w="3045" w:type="dxa"/>
                  <w:tcBorders>
                    <w:tl2br w:val="nil"/>
                    <w:tr2bl w:val="nil"/>
                  </w:tcBorders>
                  <w:noWrap w:val="0"/>
                  <w:vAlign w:val="center"/>
                </w:tcPr>
                <w:p w14:paraId="52A385D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生命元</w:t>
                  </w:r>
                </w:p>
              </w:tc>
              <w:tc>
                <w:tcPr>
                  <w:tcW w:w="1695" w:type="dxa"/>
                  <w:tcBorders>
                    <w:tl2br w:val="nil"/>
                    <w:tr2bl w:val="nil"/>
                  </w:tcBorders>
                  <w:noWrap w:val="0"/>
                  <w:vAlign w:val="center"/>
                </w:tcPr>
                <w:p w14:paraId="2C1AC71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30毫升/瓶</w:t>
                  </w:r>
                </w:p>
              </w:tc>
              <w:tc>
                <w:tcPr>
                  <w:tcW w:w="1350" w:type="dxa"/>
                  <w:tcBorders>
                    <w:tl2br w:val="nil"/>
                    <w:tr2bl w:val="nil"/>
                  </w:tcBorders>
                  <w:noWrap w:val="0"/>
                  <w:vAlign w:val="center"/>
                </w:tcPr>
                <w:p w14:paraId="4CC48B7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p>
              </w:tc>
              <w:tc>
                <w:tcPr>
                  <w:tcW w:w="1229" w:type="dxa"/>
                  <w:tcBorders>
                    <w:tl2br w:val="nil"/>
                    <w:tr2bl w:val="nil"/>
                  </w:tcBorders>
                  <w:noWrap w:val="0"/>
                  <w:vAlign w:val="center"/>
                </w:tcPr>
                <w:p w14:paraId="5A7A82B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129F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3CD86313">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28</w:t>
                  </w:r>
                </w:p>
              </w:tc>
              <w:tc>
                <w:tcPr>
                  <w:tcW w:w="3045" w:type="dxa"/>
                  <w:tcBorders>
                    <w:tl2br w:val="nil"/>
                    <w:tr2bl w:val="nil"/>
                  </w:tcBorders>
                  <w:noWrap w:val="0"/>
                  <w:vAlign w:val="center"/>
                </w:tcPr>
                <w:p w14:paraId="1246E78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柴胡注射液</w:t>
                  </w:r>
                </w:p>
              </w:tc>
              <w:tc>
                <w:tcPr>
                  <w:tcW w:w="1695" w:type="dxa"/>
                  <w:tcBorders>
                    <w:tl2br w:val="nil"/>
                    <w:tr2bl w:val="nil"/>
                  </w:tcBorders>
                  <w:noWrap w:val="0"/>
                  <w:vAlign w:val="center"/>
                </w:tcPr>
                <w:p w14:paraId="1985E7F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w:t>
                  </w:r>
                </w:p>
              </w:tc>
              <w:tc>
                <w:tcPr>
                  <w:tcW w:w="1350" w:type="dxa"/>
                  <w:tcBorders>
                    <w:tl2br w:val="nil"/>
                    <w:tr2bl w:val="nil"/>
                  </w:tcBorders>
                  <w:noWrap w:val="0"/>
                  <w:vAlign w:val="center"/>
                </w:tcPr>
                <w:p w14:paraId="15D64BD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615DE5F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62A29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53853C0D">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29</w:t>
                  </w:r>
                </w:p>
              </w:tc>
              <w:tc>
                <w:tcPr>
                  <w:tcW w:w="3045" w:type="dxa"/>
                  <w:tcBorders>
                    <w:tl2br w:val="nil"/>
                    <w:tr2bl w:val="nil"/>
                  </w:tcBorders>
                  <w:noWrap w:val="0"/>
                  <w:vAlign w:val="center"/>
                </w:tcPr>
                <w:p w14:paraId="58AE112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地塞米松磷酸钠注射液</w:t>
                  </w:r>
                </w:p>
              </w:tc>
              <w:tc>
                <w:tcPr>
                  <w:tcW w:w="1695" w:type="dxa"/>
                  <w:tcBorders>
                    <w:tl2br w:val="nil"/>
                    <w:tr2bl w:val="nil"/>
                  </w:tcBorders>
                  <w:noWrap w:val="0"/>
                  <w:vAlign w:val="center"/>
                </w:tcPr>
                <w:p w14:paraId="724DD4B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1毫升</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5毫克</w:t>
                  </w:r>
                </w:p>
              </w:tc>
              <w:tc>
                <w:tcPr>
                  <w:tcW w:w="1350" w:type="dxa"/>
                  <w:tcBorders>
                    <w:tl2br w:val="nil"/>
                    <w:tr2bl w:val="nil"/>
                  </w:tcBorders>
                  <w:noWrap w:val="0"/>
                  <w:vAlign w:val="center"/>
                </w:tcPr>
                <w:p w14:paraId="3AFF3E5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418AA57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53044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5DDD8CB0">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3045" w:type="dxa"/>
                  <w:tcBorders>
                    <w:tl2br w:val="nil"/>
                    <w:tr2bl w:val="nil"/>
                  </w:tcBorders>
                  <w:noWrap w:val="0"/>
                  <w:vAlign w:val="center"/>
                </w:tcPr>
                <w:p w14:paraId="75C2D08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维生素C注射液</w:t>
                  </w:r>
                </w:p>
              </w:tc>
              <w:tc>
                <w:tcPr>
                  <w:tcW w:w="1695" w:type="dxa"/>
                  <w:tcBorders>
                    <w:tl2br w:val="nil"/>
                    <w:tr2bl w:val="nil"/>
                  </w:tcBorders>
                  <w:noWrap w:val="0"/>
                  <w:vAlign w:val="center"/>
                </w:tcPr>
                <w:p w14:paraId="48D20CE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2毫克；0.1</w:t>
                  </w:r>
                  <w:r>
                    <w:rPr>
                      <w:rFonts w:hint="eastAsia" w:cs="Times New Roman"/>
                      <w:color w:val="auto"/>
                      <w:sz w:val="21"/>
                      <w:szCs w:val="21"/>
                      <w:lang w:val="en-US" w:eastAsia="zh-CN"/>
                    </w:rPr>
                    <w:t>克；</w:t>
                  </w:r>
                </w:p>
              </w:tc>
              <w:tc>
                <w:tcPr>
                  <w:tcW w:w="1350" w:type="dxa"/>
                  <w:tcBorders>
                    <w:tl2br w:val="nil"/>
                    <w:tr2bl w:val="nil"/>
                  </w:tcBorders>
                  <w:noWrap w:val="0"/>
                  <w:vAlign w:val="center"/>
                </w:tcPr>
                <w:p w14:paraId="45911B1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07BBFE7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FBC2E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0912036A">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31</w:t>
                  </w:r>
                </w:p>
              </w:tc>
              <w:tc>
                <w:tcPr>
                  <w:tcW w:w="3045" w:type="dxa"/>
                  <w:tcBorders>
                    <w:tl2br w:val="nil"/>
                    <w:tr2bl w:val="nil"/>
                  </w:tcBorders>
                  <w:noWrap w:val="0"/>
                  <w:vAlign w:val="center"/>
                </w:tcPr>
                <w:p w14:paraId="5EEF227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维生素B1注射液</w:t>
                  </w:r>
                </w:p>
              </w:tc>
              <w:tc>
                <w:tcPr>
                  <w:tcW w:w="1695" w:type="dxa"/>
                  <w:tcBorders>
                    <w:tl2br w:val="nil"/>
                    <w:tr2bl w:val="nil"/>
                  </w:tcBorders>
                  <w:noWrap w:val="0"/>
                  <w:vAlign w:val="center"/>
                </w:tcPr>
                <w:p w14:paraId="1628B64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2毫升；0.1克</w:t>
                  </w:r>
                </w:p>
              </w:tc>
              <w:tc>
                <w:tcPr>
                  <w:tcW w:w="1350" w:type="dxa"/>
                  <w:tcBorders>
                    <w:tl2br w:val="nil"/>
                    <w:tr2bl w:val="nil"/>
                  </w:tcBorders>
                  <w:noWrap w:val="0"/>
                  <w:vAlign w:val="center"/>
                </w:tcPr>
                <w:p w14:paraId="50A0F18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60DBD3B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F3AE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0C5683E7">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32</w:t>
                  </w:r>
                </w:p>
              </w:tc>
              <w:tc>
                <w:tcPr>
                  <w:tcW w:w="3045" w:type="dxa"/>
                  <w:tcBorders>
                    <w:tl2br w:val="nil"/>
                    <w:tr2bl w:val="nil"/>
                  </w:tcBorders>
                  <w:noWrap w:val="0"/>
                  <w:vAlign w:val="center"/>
                </w:tcPr>
                <w:p w14:paraId="5F78359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复合维生素B注射液</w:t>
                  </w:r>
                </w:p>
              </w:tc>
              <w:tc>
                <w:tcPr>
                  <w:tcW w:w="1695" w:type="dxa"/>
                  <w:tcBorders>
                    <w:tl2br w:val="nil"/>
                    <w:tr2bl w:val="nil"/>
                  </w:tcBorders>
                  <w:noWrap w:val="0"/>
                  <w:vAlign w:val="center"/>
                </w:tcPr>
                <w:p w14:paraId="0699828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w:t>
                  </w:r>
                </w:p>
              </w:tc>
              <w:tc>
                <w:tcPr>
                  <w:tcW w:w="1350" w:type="dxa"/>
                  <w:tcBorders>
                    <w:tl2br w:val="nil"/>
                    <w:tr2bl w:val="nil"/>
                  </w:tcBorders>
                  <w:noWrap w:val="0"/>
                  <w:vAlign w:val="center"/>
                </w:tcPr>
                <w:p w14:paraId="5BCD51E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69B7EAE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48F2E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26819294">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33</w:t>
                  </w:r>
                </w:p>
              </w:tc>
              <w:tc>
                <w:tcPr>
                  <w:tcW w:w="3045" w:type="dxa"/>
                  <w:tcBorders>
                    <w:tl2br w:val="nil"/>
                    <w:tr2bl w:val="nil"/>
                  </w:tcBorders>
                  <w:noWrap w:val="0"/>
                  <w:vAlign w:val="center"/>
                </w:tcPr>
                <w:p w14:paraId="65A40EE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维生素B6注射液</w:t>
                  </w:r>
                </w:p>
              </w:tc>
              <w:tc>
                <w:tcPr>
                  <w:tcW w:w="1695" w:type="dxa"/>
                  <w:tcBorders>
                    <w:tl2br w:val="nil"/>
                    <w:tr2bl w:val="nil"/>
                  </w:tcBorders>
                  <w:noWrap w:val="0"/>
                  <w:vAlign w:val="center"/>
                </w:tcPr>
                <w:p w14:paraId="59BA47F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2毫升；100毫克</w:t>
                  </w:r>
                </w:p>
              </w:tc>
              <w:tc>
                <w:tcPr>
                  <w:tcW w:w="1350" w:type="dxa"/>
                  <w:tcBorders>
                    <w:tl2br w:val="nil"/>
                    <w:tr2bl w:val="nil"/>
                  </w:tcBorders>
                  <w:noWrap w:val="0"/>
                  <w:vAlign w:val="center"/>
                </w:tcPr>
                <w:p w14:paraId="7E29BD2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34E203C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A006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61E7119C">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34</w:t>
                  </w:r>
                </w:p>
              </w:tc>
              <w:tc>
                <w:tcPr>
                  <w:tcW w:w="3045" w:type="dxa"/>
                  <w:tcBorders>
                    <w:tl2br w:val="nil"/>
                    <w:tr2bl w:val="nil"/>
                  </w:tcBorders>
                  <w:noWrap w:val="0"/>
                  <w:vAlign w:val="center"/>
                </w:tcPr>
                <w:p w14:paraId="0331B6D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维生素B12注射液</w:t>
                  </w:r>
                </w:p>
              </w:tc>
              <w:tc>
                <w:tcPr>
                  <w:tcW w:w="1695" w:type="dxa"/>
                  <w:tcBorders>
                    <w:tl2br w:val="nil"/>
                    <w:tr2bl w:val="nil"/>
                  </w:tcBorders>
                  <w:noWrap w:val="0"/>
                  <w:vAlign w:val="center"/>
                </w:tcPr>
                <w:p w14:paraId="408447A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1毫升；0.5毫克</w:t>
                  </w:r>
                </w:p>
              </w:tc>
              <w:tc>
                <w:tcPr>
                  <w:tcW w:w="1350" w:type="dxa"/>
                  <w:tcBorders>
                    <w:tl2br w:val="nil"/>
                    <w:tr2bl w:val="nil"/>
                  </w:tcBorders>
                  <w:noWrap w:val="0"/>
                  <w:vAlign w:val="center"/>
                </w:tcPr>
                <w:p w14:paraId="720BC6A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5A77144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89CA4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3E6A262A">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35</w:t>
                  </w:r>
                </w:p>
              </w:tc>
              <w:tc>
                <w:tcPr>
                  <w:tcW w:w="3045" w:type="dxa"/>
                  <w:tcBorders>
                    <w:tl2br w:val="nil"/>
                    <w:tr2bl w:val="nil"/>
                  </w:tcBorders>
                  <w:noWrap w:val="0"/>
                  <w:vAlign w:val="center"/>
                </w:tcPr>
                <w:p w14:paraId="60C5C5F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敏清舒马来酸氯苯那敏注射液</w:t>
                  </w:r>
                </w:p>
              </w:tc>
              <w:tc>
                <w:tcPr>
                  <w:tcW w:w="1695" w:type="dxa"/>
                  <w:tcBorders>
                    <w:tl2br w:val="nil"/>
                    <w:tr2bl w:val="nil"/>
                  </w:tcBorders>
                  <w:noWrap w:val="0"/>
                  <w:vAlign w:val="center"/>
                </w:tcPr>
                <w:p w14:paraId="4AE0A1F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1毫升；10毫克</w:t>
                  </w:r>
                </w:p>
              </w:tc>
              <w:tc>
                <w:tcPr>
                  <w:tcW w:w="1350" w:type="dxa"/>
                  <w:tcBorders>
                    <w:tl2br w:val="nil"/>
                    <w:tr2bl w:val="nil"/>
                  </w:tcBorders>
                  <w:noWrap w:val="0"/>
                  <w:vAlign w:val="center"/>
                </w:tcPr>
                <w:p w14:paraId="74E0E8D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15盒</w:t>
                  </w:r>
                </w:p>
              </w:tc>
              <w:tc>
                <w:tcPr>
                  <w:tcW w:w="1229" w:type="dxa"/>
                  <w:tcBorders>
                    <w:tl2br w:val="nil"/>
                    <w:tr2bl w:val="nil"/>
                  </w:tcBorders>
                  <w:noWrap w:val="0"/>
                  <w:vAlign w:val="center"/>
                </w:tcPr>
                <w:p w14:paraId="34DF40C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CDDE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197A590B">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36</w:t>
                  </w:r>
                </w:p>
              </w:tc>
              <w:tc>
                <w:tcPr>
                  <w:tcW w:w="3045" w:type="dxa"/>
                  <w:tcBorders>
                    <w:tl2br w:val="nil"/>
                    <w:tr2bl w:val="nil"/>
                  </w:tcBorders>
                  <w:noWrap w:val="0"/>
                  <w:vAlign w:val="center"/>
                </w:tcPr>
                <w:p w14:paraId="0AF0D35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灭菌注射用水</w:t>
                  </w:r>
                </w:p>
              </w:tc>
              <w:tc>
                <w:tcPr>
                  <w:tcW w:w="1695" w:type="dxa"/>
                  <w:tcBorders>
                    <w:tl2br w:val="nil"/>
                    <w:tr2bl w:val="nil"/>
                  </w:tcBorders>
                  <w:noWrap w:val="0"/>
                  <w:vAlign w:val="center"/>
                </w:tcPr>
                <w:p w14:paraId="49D67B8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c>
                <w:tcPr>
                  <w:tcW w:w="1350" w:type="dxa"/>
                  <w:tcBorders>
                    <w:tl2br w:val="nil"/>
                    <w:tr2bl w:val="nil"/>
                  </w:tcBorders>
                  <w:noWrap w:val="0"/>
                  <w:vAlign w:val="center"/>
                </w:tcPr>
                <w:p w14:paraId="02A96A7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20F5F7E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15EB28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11E59C1F">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37</w:t>
                  </w:r>
                </w:p>
              </w:tc>
              <w:tc>
                <w:tcPr>
                  <w:tcW w:w="3045" w:type="dxa"/>
                  <w:tcBorders>
                    <w:tl2br w:val="nil"/>
                    <w:tr2bl w:val="nil"/>
                  </w:tcBorders>
                  <w:noWrap w:val="0"/>
                  <w:vAlign w:val="center"/>
                </w:tcPr>
                <w:p w14:paraId="7B10C54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亚硫酸氢钠甲萘醌注射液</w:t>
                  </w:r>
                </w:p>
              </w:tc>
              <w:tc>
                <w:tcPr>
                  <w:tcW w:w="1695" w:type="dxa"/>
                  <w:tcBorders>
                    <w:tl2br w:val="nil"/>
                    <w:tr2bl w:val="nil"/>
                  </w:tcBorders>
                  <w:noWrap w:val="0"/>
                  <w:vAlign w:val="center"/>
                </w:tcPr>
                <w:p w14:paraId="560A1BF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1毫升；4毫克</w:t>
                  </w:r>
                </w:p>
              </w:tc>
              <w:tc>
                <w:tcPr>
                  <w:tcW w:w="1350" w:type="dxa"/>
                  <w:tcBorders>
                    <w:tl2br w:val="nil"/>
                    <w:tr2bl w:val="nil"/>
                  </w:tcBorders>
                  <w:noWrap w:val="0"/>
                  <w:vAlign w:val="center"/>
                </w:tcPr>
                <w:p w14:paraId="142F0E9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15盒</w:t>
                  </w:r>
                </w:p>
              </w:tc>
              <w:tc>
                <w:tcPr>
                  <w:tcW w:w="1229" w:type="dxa"/>
                  <w:tcBorders>
                    <w:tl2br w:val="nil"/>
                    <w:tr2bl w:val="nil"/>
                  </w:tcBorders>
                  <w:noWrap w:val="0"/>
                  <w:vAlign w:val="center"/>
                </w:tcPr>
                <w:p w14:paraId="1254AE3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183437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63D689CC">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38</w:t>
                  </w:r>
                </w:p>
              </w:tc>
              <w:tc>
                <w:tcPr>
                  <w:tcW w:w="3045" w:type="dxa"/>
                  <w:tcBorders>
                    <w:tl2br w:val="nil"/>
                    <w:tr2bl w:val="nil"/>
                  </w:tcBorders>
                  <w:noWrap w:val="0"/>
                  <w:vAlign w:val="center"/>
                </w:tcPr>
                <w:p w14:paraId="60AEA24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氯化钾注射液</w:t>
                  </w:r>
                </w:p>
              </w:tc>
              <w:tc>
                <w:tcPr>
                  <w:tcW w:w="1695" w:type="dxa"/>
                  <w:tcBorders>
                    <w:tl2br w:val="nil"/>
                    <w:tr2bl w:val="nil"/>
                  </w:tcBorders>
                  <w:noWrap w:val="0"/>
                  <w:vAlign w:val="center"/>
                </w:tcPr>
                <w:p w14:paraId="2D8E74F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10毫克/10支</w:t>
                  </w:r>
                </w:p>
              </w:tc>
              <w:tc>
                <w:tcPr>
                  <w:tcW w:w="1350" w:type="dxa"/>
                  <w:tcBorders>
                    <w:tl2br w:val="nil"/>
                    <w:tr2bl w:val="nil"/>
                  </w:tcBorders>
                  <w:noWrap w:val="0"/>
                  <w:vAlign w:val="center"/>
                </w:tcPr>
                <w:p w14:paraId="492FF5E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2CFA5C3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19B95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6EF74677">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39</w:t>
                  </w:r>
                </w:p>
              </w:tc>
              <w:tc>
                <w:tcPr>
                  <w:tcW w:w="3045" w:type="dxa"/>
                  <w:tcBorders>
                    <w:tl2br w:val="nil"/>
                    <w:tr2bl w:val="nil"/>
                  </w:tcBorders>
                  <w:noWrap w:val="0"/>
                  <w:vAlign w:val="center"/>
                </w:tcPr>
                <w:p w14:paraId="7D6573D9">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硫酸阿米卡星注射液</w:t>
                  </w:r>
                </w:p>
              </w:tc>
              <w:tc>
                <w:tcPr>
                  <w:tcW w:w="1695" w:type="dxa"/>
                  <w:tcBorders>
                    <w:tl2br w:val="nil"/>
                    <w:tr2bl w:val="nil"/>
                  </w:tcBorders>
                  <w:noWrap w:val="0"/>
                  <w:vAlign w:val="center"/>
                </w:tcPr>
                <w:p w14:paraId="7E060CD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2毫升；0.1克</w:t>
                  </w:r>
                </w:p>
              </w:tc>
              <w:tc>
                <w:tcPr>
                  <w:tcW w:w="1350" w:type="dxa"/>
                  <w:tcBorders>
                    <w:tl2br w:val="nil"/>
                    <w:tr2bl w:val="nil"/>
                  </w:tcBorders>
                  <w:noWrap w:val="0"/>
                  <w:vAlign w:val="center"/>
                </w:tcPr>
                <w:p w14:paraId="7D4A901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79091B5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706531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vAlign w:val="top"/>
                </w:tcPr>
                <w:p w14:paraId="3DB5F9E7">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4</w:t>
                  </w:r>
                  <w:r>
                    <w:rPr>
                      <w:rFonts w:hint="eastAsia" w:cs="Times New Roman"/>
                      <w:color w:val="auto"/>
                      <w:sz w:val="21"/>
                      <w:szCs w:val="21"/>
                      <w:lang w:val="en-US" w:eastAsia="zh-CN"/>
                    </w:rPr>
                    <w:t>0</w:t>
                  </w:r>
                </w:p>
              </w:tc>
              <w:tc>
                <w:tcPr>
                  <w:tcW w:w="3045" w:type="dxa"/>
                  <w:shd w:val="clear" w:color="auto" w:fill="auto"/>
                  <w:vAlign w:val="center"/>
                </w:tcPr>
                <w:p w14:paraId="33D0759F">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乳酸林格注射液</w:t>
                  </w:r>
                </w:p>
              </w:tc>
              <w:tc>
                <w:tcPr>
                  <w:tcW w:w="1695" w:type="dxa"/>
                  <w:shd w:val="clear" w:color="auto" w:fill="auto"/>
                  <w:vAlign w:val="center"/>
                </w:tcPr>
                <w:p w14:paraId="26C6C831">
                  <w:pPr>
                    <w:widowControl w:val="0"/>
                    <w:adjustRightInd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50</w:t>
                  </w:r>
                  <w:r>
                    <w:rPr>
                      <w:rFonts w:hint="eastAsia" w:ascii="Times New Roman" w:hAnsi="Times New Roman" w:eastAsia="宋体" w:cs="Times New Roman"/>
                      <w:color w:val="auto"/>
                      <w:sz w:val="21"/>
                      <w:szCs w:val="21"/>
                      <w:lang w:val="en-US" w:eastAsia="zh-CN"/>
                    </w:rPr>
                    <w:t>毫升/瓶</w:t>
                  </w:r>
                </w:p>
              </w:tc>
              <w:tc>
                <w:tcPr>
                  <w:tcW w:w="1350" w:type="dxa"/>
                  <w:shd w:val="clear" w:color="auto" w:fill="auto"/>
                  <w:vAlign w:val="center"/>
                </w:tcPr>
                <w:p w14:paraId="47932B6E">
                  <w:pPr>
                    <w:widowControl w:val="0"/>
                    <w:adjustRightInd w:val="0"/>
                    <w:snapToGrid w:val="0"/>
                    <w:spacing w:line="240" w:lineRule="auto"/>
                    <w:ind w:left="0" w:leftChars="0" w:firstLine="0" w:firstLineChars="0"/>
                    <w:jc w:val="center"/>
                    <w:rPr>
                      <w:rFonts w:hint="eastAsia" w:ascii="Times New Roman" w:hAnsi="Times New Roman" w:eastAsia="宋体" w:cs="Times New Roman"/>
                      <w:snapToGrid w:val="0"/>
                      <w:color w:val="C00000"/>
                      <w:kern w:val="0"/>
                      <w:sz w:val="21"/>
                      <w:szCs w:val="21"/>
                      <w:lang w:val="en-US" w:eastAsia="zh-CN"/>
                    </w:rPr>
                  </w:pPr>
                  <w:r>
                    <w:rPr>
                      <w:rFonts w:hint="eastAsia" w:cs="Times New Roman"/>
                      <w:color w:val="auto"/>
                      <w:sz w:val="21"/>
                      <w:szCs w:val="21"/>
                      <w:lang w:val="en-US" w:eastAsia="zh-CN"/>
                    </w:rPr>
                    <w:t>3箱</w:t>
                  </w:r>
                </w:p>
              </w:tc>
              <w:tc>
                <w:tcPr>
                  <w:tcW w:w="1229" w:type="dxa"/>
                </w:tcPr>
                <w:p w14:paraId="0C90AC0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bl>
          <w:p w14:paraId="1907BE60">
            <w:pPr>
              <w:pStyle w:val="22"/>
              <w:bidi w:val="0"/>
              <w:rPr>
                <w:rFonts w:hint="default"/>
                <w:color w:val="auto"/>
                <w:lang w:val="en-US" w:eastAsia="zh-CN"/>
              </w:rPr>
            </w:pPr>
            <w:r>
              <w:rPr>
                <w:color w:val="auto"/>
                <w:lang w:eastAsia="zh-CN"/>
              </w:rPr>
              <w:t>表2-</w:t>
            </w:r>
            <w:r>
              <w:rPr>
                <w:rFonts w:hint="eastAsia"/>
                <w:color w:val="auto"/>
                <w:lang w:val="en-US" w:eastAsia="zh-CN"/>
              </w:rPr>
              <w:t xml:space="preserve">4   </w:t>
            </w:r>
            <w:r>
              <w:rPr>
                <w:rFonts w:hint="eastAsia"/>
                <w:color w:val="auto"/>
                <w:lang w:eastAsia="zh-CN"/>
              </w:rPr>
              <w:t>主要</w:t>
            </w:r>
            <w:r>
              <w:rPr>
                <w:rFonts w:hint="eastAsia"/>
                <w:color w:val="auto"/>
                <w:lang w:val="en-US" w:eastAsia="zh-CN"/>
              </w:rPr>
              <w:t>医疗用品及能源消耗</w:t>
            </w:r>
          </w:p>
          <w:tbl>
            <w:tblPr>
              <w:tblStyle w:val="15"/>
              <w:tblW w:w="0" w:type="auto"/>
              <w:tblInd w:w="5" w:type="dxa"/>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gridCol w:w="1571"/>
              <w:gridCol w:w="1571"/>
              <w:gridCol w:w="1571"/>
              <w:gridCol w:w="1571"/>
            </w:tblGrid>
            <w:tr w14:paraId="761AC1B5">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3138C2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1571" w:type="dxa"/>
                  <w:tcBorders>
                    <w:tl2br w:val="nil"/>
                    <w:tr2bl w:val="nil"/>
                  </w:tcBorders>
                  <w:noWrap w:val="0"/>
                  <w:vAlign w:val="center"/>
                </w:tcPr>
                <w:p w14:paraId="307ED93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品名</w:t>
                  </w:r>
                </w:p>
              </w:tc>
              <w:tc>
                <w:tcPr>
                  <w:tcW w:w="1571" w:type="dxa"/>
                  <w:tcBorders>
                    <w:tl2br w:val="nil"/>
                    <w:tr2bl w:val="nil"/>
                  </w:tcBorders>
                  <w:noWrap w:val="0"/>
                  <w:vAlign w:val="center"/>
                </w:tcPr>
                <w:p w14:paraId="69B4671A">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单位</w:t>
                  </w:r>
                </w:p>
              </w:tc>
              <w:tc>
                <w:tcPr>
                  <w:tcW w:w="1571" w:type="dxa"/>
                  <w:tcBorders>
                    <w:tl2br w:val="nil"/>
                    <w:tr2bl w:val="nil"/>
                  </w:tcBorders>
                  <w:noWrap w:val="0"/>
                  <w:vAlign w:val="center"/>
                </w:tcPr>
                <w:p w14:paraId="41ACFD2F">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年使用量</w:t>
                  </w:r>
                </w:p>
              </w:tc>
              <w:tc>
                <w:tcPr>
                  <w:tcW w:w="1571" w:type="dxa"/>
                  <w:tcBorders>
                    <w:tl2br w:val="nil"/>
                    <w:tr2bl w:val="nil"/>
                  </w:tcBorders>
                  <w:noWrap w:val="0"/>
                  <w:vAlign w:val="center"/>
                </w:tcPr>
                <w:p w14:paraId="3ACA1F49">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类别</w:t>
                  </w:r>
                </w:p>
              </w:tc>
            </w:tr>
            <w:tr w14:paraId="4D0FB60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5071B59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571" w:type="dxa"/>
                  <w:tcBorders>
                    <w:tl2br w:val="nil"/>
                    <w:tr2bl w:val="nil"/>
                  </w:tcBorders>
                  <w:noWrap w:val="0"/>
                  <w:vAlign w:val="center"/>
                </w:tcPr>
                <w:p w14:paraId="533DD9A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一次性注射器</w:t>
                  </w:r>
                </w:p>
              </w:tc>
              <w:tc>
                <w:tcPr>
                  <w:tcW w:w="1571" w:type="dxa"/>
                  <w:tcBorders>
                    <w:tl2br w:val="nil"/>
                    <w:tr2bl w:val="nil"/>
                  </w:tcBorders>
                  <w:noWrap w:val="0"/>
                  <w:vAlign w:val="center"/>
                </w:tcPr>
                <w:p w14:paraId="37AEFDA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1571" w:type="dxa"/>
                  <w:tcBorders>
                    <w:tl2br w:val="nil"/>
                    <w:tr2bl w:val="nil"/>
                  </w:tcBorders>
                  <w:noWrap w:val="0"/>
                  <w:vAlign w:val="center"/>
                </w:tcPr>
                <w:p w14:paraId="0F6F612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w:t>
                  </w:r>
                </w:p>
              </w:tc>
              <w:tc>
                <w:tcPr>
                  <w:tcW w:w="1571" w:type="dxa"/>
                  <w:tcBorders>
                    <w:tl2br w:val="nil"/>
                    <w:tr2bl w:val="nil"/>
                  </w:tcBorders>
                  <w:noWrap w:val="0"/>
                  <w:vAlign w:val="center"/>
                </w:tcPr>
                <w:p w14:paraId="212FEA8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877E81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45EF3FF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1571" w:type="dxa"/>
                  <w:tcBorders>
                    <w:tl2br w:val="nil"/>
                    <w:tr2bl w:val="nil"/>
                  </w:tcBorders>
                  <w:noWrap w:val="0"/>
                  <w:vAlign w:val="center"/>
                </w:tcPr>
                <w:p w14:paraId="2CC1429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一次性口罩</w:t>
                  </w:r>
                </w:p>
              </w:tc>
              <w:tc>
                <w:tcPr>
                  <w:tcW w:w="1571" w:type="dxa"/>
                  <w:tcBorders>
                    <w:tl2br w:val="nil"/>
                    <w:tr2bl w:val="nil"/>
                  </w:tcBorders>
                  <w:noWrap w:val="0"/>
                  <w:vAlign w:val="center"/>
                </w:tcPr>
                <w:p w14:paraId="536EFAB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571" w:type="dxa"/>
                  <w:tcBorders>
                    <w:tl2br w:val="nil"/>
                    <w:tr2bl w:val="nil"/>
                  </w:tcBorders>
                  <w:noWrap w:val="0"/>
                  <w:vAlign w:val="center"/>
                </w:tcPr>
                <w:p w14:paraId="312BAE0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p>
              </w:tc>
              <w:tc>
                <w:tcPr>
                  <w:tcW w:w="1571" w:type="dxa"/>
                  <w:tcBorders>
                    <w:tl2br w:val="nil"/>
                    <w:tr2bl w:val="nil"/>
                  </w:tcBorders>
                  <w:noWrap w:val="0"/>
                  <w:vAlign w:val="center"/>
                </w:tcPr>
                <w:p w14:paraId="32C0B52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0163982">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612D9B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571" w:type="dxa"/>
                  <w:tcBorders>
                    <w:tl2br w:val="nil"/>
                    <w:tr2bl w:val="nil"/>
                  </w:tcBorders>
                  <w:noWrap w:val="0"/>
                  <w:vAlign w:val="center"/>
                </w:tcPr>
                <w:p w14:paraId="27B7FCC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一次性手套</w:t>
                  </w:r>
                </w:p>
              </w:tc>
              <w:tc>
                <w:tcPr>
                  <w:tcW w:w="1571" w:type="dxa"/>
                  <w:tcBorders>
                    <w:tl2br w:val="nil"/>
                    <w:tr2bl w:val="nil"/>
                  </w:tcBorders>
                  <w:noWrap w:val="0"/>
                  <w:vAlign w:val="center"/>
                </w:tcPr>
                <w:p w14:paraId="290CF2E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1571" w:type="dxa"/>
                  <w:tcBorders>
                    <w:tl2br w:val="nil"/>
                    <w:tr2bl w:val="nil"/>
                  </w:tcBorders>
                  <w:noWrap w:val="0"/>
                  <w:vAlign w:val="center"/>
                </w:tcPr>
                <w:p w14:paraId="67A43B1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1571" w:type="dxa"/>
                  <w:tcBorders>
                    <w:tl2br w:val="nil"/>
                    <w:tr2bl w:val="nil"/>
                  </w:tcBorders>
                  <w:noWrap w:val="0"/>
                  <w:vAlign w:val="center"/>
                </w:tcPr>
                <w:p w14:paraId="2424FA3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73E780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A41BF2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1571" w:type="dxa"/>
                  <w:tcBorders>
                    <w:tl2br w:val="nil"/>
                    <w:tr2bl w:val="nil"/>
                  </w:tcBorders>
                  <w:noWrap w:val="0"/>
                  <w:vAlign w:val="center"/>
                </w:tcPr>
                <w:p w14:paraId="66AFC46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纱布棉球</w:t>
                  </w:r>
                </w:p>
              </w:tc>
              <w:tc>
                <w:tcPr>
                  <w:tcW w:w="1571" w:type="dxa"/>
                  <w:tcBorders>
                    <w:tl2br w:val="nil"/>
                    <w:tr2bl w:val="nil"/>
                  </w:tcBorders>
                  <w:noWrap w:val="0"/>
                  <w:vAlign w:val="center"/>
                </w:tcPr>
                <w:p w14:paraId="0D48E6E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571" w:type="dxa"/>
                  <w:tcBorders>
                    <w:tl2br w:val="nil"/>
                    <w:tr2bl w:val="nil"/>
                  </w:tcBorders>
                  <w:noWrap w:val="0"/>
                  <w:vAlign w:val="center"/>
                </w:tcPr>
                <w:p w14:paraId="2B81FE7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1571" w:type="dxa"/>
                  <w:tcBorders>
                    <w:tl2br w:val="nil"/>
                    <w:tr2bl w:val="nil"/>
                  </w:tcBorders>
                  <w:noWrap w:val="0"/>
                  <w:vAlign w:val="center"/>
                </w:tcPr>
                <w:p w14:paraId="7D787F0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E337B6F">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1120813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571" w:type="dxa"/>
                  <w:tcBorders>
                    <w:tl2br w:val="nil"/>
                    <w:tr2bl w:val="nil"/>
                  </w:tcBorders>
                  <w:noWrap w:val="0"/>
                  <w:vAlign w:val="center"/>
                </w:tcPr>
                <w:p w14:paraId="7B7BD82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输液袋</w:t>
                  </w:r>
                </w:p>
              </w:tc>
              <w:tc>
                <w:tcPr>
                  <w:tcW w:w="1571" w:type="dxa"/>
                  <w:tcBorders>
                    <w:tl2br w:val="nil"/>
                    <w:tr2bl w:val="nil"/>
                  </w:tcBorders>
                  <w:noWrap w:val="0"/>
                  <w:vAlign w:val="center"/>
                </w:tcPr>
                <w:p w14:paraId="7A0B097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571" w:type="dxa"/>
                  <w:tcBorders>
                    <w:tl2br w:val="nil"/>
                    <w:tr2bl w:val="nil"/>
                  </w:tcBorders>
                  <w:noWrap w:val="0"/>
                  <w:vAlign w:val="center"/>
                </w:tcPr>
                <w:p w14:paraId="697B13F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00</w:t>
                  </w:r>
                </w:p>
              </w:tc>
              <w:tc>
                <w:tcPr>
                  <w:tcW w:w="1571" w:type="dxa"/>
                  <w:tcBorders>
                    <w:tl2br w:val="nil"/>
                    <w:tr2bl w:val="nil"/>
                  </w:tcBorders>
                  <w:noWrap w:val="0"/>
                  <w:vAlign w:val="center"/>
                </w:tcPr>
                <w:p w14:paraId="75990BF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C6573D3">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DD4294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1571" w:type="dxa"/>
                  <w:tcBorders>
                    <w:tl2br w:val="nil"/>
                    <w:tr2bl w:val="nil"/>
                  </w:tcBorders>
                  <w:noWrap w:val="0"/>
                  <w:vAlign w:val="center"/>
                </w:tcPr>
                <w:p w14:paraId="3BA5889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兽用血细胞分析溶血剂</w:t>
                  </w:r>
                </w:p>
              </w:tc>
              <w:tc>
                <w:tcPr>
                  <w:tcW w:w="1571" w:type="dxa"/>
                  <w:tcBorders>
                    <w:tl2br w:val="nil"/>
                    <w:tr2bl w:val="nil"/>
                  </w:tcBorders>
                  <w:noWrap w:val="0"/>
                  <w:vAlign w:val="center"/>
                </w:tcPr>
                <w:p w14:paraId="700DF65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7E5618C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571" w:type="dxa"/>
                  <w:tcBorders>
                    <w:tl2br w:val="nil"/>
                    <w:tr2bl w:val="nil"/>
                  </w:tcBorders>
                  <w:noWrap w:val="0"/>
                  <w:vAlign w:val="center"/>
                </w:tcPr>
                <w:p w14:paraId="0810BAF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7E0CE3E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32BE8B6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1571" w:type="dxa"/>
                  <w:tcBorders>
                    <w:tl2br w:val="nil"/>
                    <w:tr2bl w:val="nil"/>
                  </w:tcBorders>
                  <w:noWrap w:val="0"/>
                  <w:vAlign w:val="center"/>
                </w:tcPr>
                <w:p w14:paraId="6E3A817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兽用血细胞分析稀释剂</w:t>
                  </w:r>
                </w:p>
              </w:tc>
              <w:tc>
                <w:tcPr>
                  <w:tcW w:w="1571" w:type="dxa"/>
                  <w:tcBorders>
                    <w:tl2br w:val="nil"/>
                    <w:tr2bl w:val="nil"/>
                  </w:tcBorders>
                  <w:noWrap w:val="0"/>
                  <w:vAlign w:val="center"/>
                </w:tcPr>
                <w:p w14:paraId="4A61968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75C2274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571" w:type="dxa"/>
                  <w:tcBorders>
                    <w:tl2br w:val="nil"/>
                    <w:tr2bl w:val="nil"/>
                  </w:tcBorders>
                  <w:noWrap w:val="0"/>
                  <w:vAlign w:val="center"/>
                </w:tcPr>
                <w:p w14:paraId="75C805B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7A40E435">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4F59BBF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1571" w:type="dxa"/>
                  <w:tcBorders>
                    <w:tl2br w:val="nil"/>
                    <w:tr2bl w:val="nil"/>
                  </w:tcBorders>
                  <w:noWrap w:val="0"/>
                  <w:vAlign w:val="center"/>
                </w:tcPr>
                <w:p w14:paraId="1E12DEC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头孢噻呋</w:t>
                  </w:r>
                </w:p>
              </w:tc>
              <w:tc>
                <w:tcPr>
                  <w:tcW w:w="1571" w:type="dxa"/>
                  <w:tcBorders>
                    <w:tl2br w:val="nil"/>
                    <w:tr2bl w:val="nil"/>
                  </w:tcBorders>
                  <w:noWrap w:val="0"/>
                  <w:vAlign w:val="center"/>
                </w:tcPr>
                <w:p w14:paraId="752620B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粒</w:t>
                  </w:r>
                </w:p>
              </w:tc>
              <w:tc>
                <w:tcPr>
                  <w:tcW w:w="1571" w:type="dxa"/>
                  <w:tcBorders>
                    <w:tl2br w:val="nil"/>
                    <w:tr2bl w:val="nil"/>
                  </w:tcBorders>
                  <w:noWrap w:val="0"/>
                  <w:vAlign w:val="center"/>
                </w:tcPr>
                <w:p w14:paraId="7738B4E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200</w:t>
                  </w:r>
                </w:p>
              </w:tc>
              <w:tc>
                <w:tcPr>
                  <w:tcW w:w="1571" w:type="dxa"/>
                  <w:tcBorders>
                    <w:tl2br w:val="nil"/>
                    <w:tr2bl w:val="nil"/>
                  </w:tcBorders>
                  <w:noWrap w:val="0"/>
                  <w:vAlign w:val="center"/>
                </w:tcPr>
                <w:p w14:paraId="345BEE8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2A1606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06F6329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1571" w:type="dxa"/>
                  <w:tcBorders>
                    <w:tl2br w:val="nil"/>
                    <w:tr2bl w:val="nil"/>
                  </w:tcBorders>
                  <w:noWrap w:val="0"/>
                  <w:vAlign w:val="center"/>
                </w:tcPr>
                <w:p w14:paraId="2DB705B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碘伏</w:t>
                  </w:r>
                </w:p>
              </w:tc>
              <w:tc>
                <w:tcPr>
                  <w:tcW w:w="1571" w:type="dxa"/>
                  <w:tcBorders>
                    <w:tl2br w:val="nil"/>
                    <w:tr2bl w:val="nil"/>
                  </w:tcBorders>
                  <w:noWrap w:val="0"/>
                  <w:vAlign w:val="center"/>
                </w:tcPr>
                <w:p w14:paraId="54F59C9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20F8541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w:t>
                  </w:r>
                </w:p>
              </w:tc>
              <w:tc>
                <w:tcPr>
                  <w:tcW w:w="1571" w:type="dxa"/>
                  <w:tcBorders>
                    <w:tl2br w:val="nil"/>
                    <w:tr2bl w:val="nil"/>
                  </w:tcBorders>
                  <w:noWrap w:val="0"/>
                  <w:vAlign w:val="center"/>
                </w:tcPr>
                <w:p w14:paraId="21B3204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0.1升/瓶</w:t>
                  </w:r>
                </w:p>
              </w:tc>
            </w:tr>
            <w:tr w14:paraId="10DBF4B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1FF857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571" w:type="dxa"/>
                  <w:tcBorders>
                    <w:tl2br w:val="nil"/>
                    <w:tr2bl w:val="nil"/>
                  </w:tcBorders>
                  <w:noWrap w:val="0"/>
                  <w:vAlign w:val="center"/>
                </w:tcPr>
                <w:p w14:paraId="1286EB8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酒精</w:t>
                  </w:r>
                </w:p>
              </w:tc>
              <w:tc>
                <w:tcPr>
                  <w:tcW w:w="1571" w:type="dxa"/>
                  <w:tcBorders>
                    <w:tl2br w:val="nil"/>
                    <w:tr2bl w:val="nil"/>
                  </w:tcBorders>
                  <w:noWrap w:val="0"/>
                  <w:vAlign w:val="center"/>
                </w:tcPr>
                <w:p w14:paraId="07A0B13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15C34C9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w:t>
                  </w:r>
                </w:p>
              </w:tc>
              <w:tc>
                <w:tcPr>
                  <w:tcW w:w="1571" w:type="dxa"/>
                  <w:tcBorders>
                    <w:tl2br w:val="nil"/>
                    <w:tr2bl w:val="nil"/>
                  </w:tcBorders>
                  <w:noWrap w:val="0"/>
                  <w:vAlign w:val="center"/>
                </w:tcPr>
                <w:p w14:paraId="4F8C5DC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6C27AFC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BBCA35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1571" w:type="dxa"/>
                  <w:tcBorders>
                    <w:tl2br w:val="nil"/>
                    <w:tr2bl w:val="nil"/>
                  </w:tcBorders>
                  <w:noWrap w:val="0"/>
                  <w:vAlign w:val="center"/>
                </w:tcPr>
                <w:p w14:paraId="2F1097B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消毒液</w:t>
                  </w:r>
                </w:p>
              </w:tc>
              <w:tc>
                <w:tcPr>
                  <w:tcW w:w="1571" w:type="dxa"/>
                  <w:tcBorders>
                    <w:tl2br w:val="nil"/>
                    <w:tr2bl w:val="nil"/>
                  </w:tcBorders>
                  <w:noWrap w:val="0"/>
                  <w:vAlign w:val="center"/>
                </w:tcPr>
                <w:p w14:paraId="659867A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0C1F5F9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571" w:type="dxa"/>
                  <w:tcBorders>
                    <w:tl2br w:val="nil"/>
                    <w:tr2bl w:val="nil"/>
                  </w:tcBorders>
                  <w:noWrap w:val="0"/>
                  <w:vAlign w:val="center"/>
                </w:tcPr>
                <w:p w14:paraId="1CBA640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5304FACF">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34537B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1571" w:type="dxa"/>
                  <w:tcBorders>
                    <w:tl2br w:val="nil"/>
                    <w:tr2bl w:val="nil"/>
                  </w:tcBorders>
                  <w:noWrap w:val="0"/>
                  <w:vAlign w:val="center"/>
                </w:tcPr>
                <w:p w14:paraId="24113C1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猫导尿管</w:t>
                  </w:r>
                </w:p>
              </w:tc>
              <w:tc>
                <w:tcPr>
                  <w:tcW w:w="1571" w:type="dxa"/>
                  <w:tcBorders>
                    <w:tl2br w:val="nil"/>
                    <w:tr2bl w:val="nil"/>
                  </w:tcBorders>
                  <w:noWrap w:val="0"/>
                  <w:vAlign w:val="center"/>
                </w:tcPr>
                <w:p w14:paraId="607F0EE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支</w:t>
                  </w:r>
                </w:p>
              </w:tc>
              <w:tc>
                <w:tcPr>
                  <w:tcW w:w="1571" w:type="dxa"/>
                  <w:tcBorders>
                    <w:tl2br w:val="nil"/>
                    <w:tr2bl w:val="nil"/>
                  </w:tcBorders>
                  <w:noWrap w:val="0"/>
                  <w:vAlign w:val="center"/>
                </w:tcPr>
                <w:p w14:paraId="2A297B49">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1571" w:type="dxa"/>
                  <w:tcBorders>
                    <w:tl2br w:val="nil"/>
                    <w:tr2bl w:val="nil"/>
                  </w:tcBorders>
                  <w:noWrap w:val="0"/>
                  <w:vAlign w:val="center"/>
                </w:tcPr>
                <w:p w14:paraId="3B8F417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631C6EA">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AE46F5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w:t>
                  </w:r>
                </w:p>
              </w:tc>
              <w:tc>
                <w:tcPr>
                  <w:tcW w:w="1571" w:type="dxa"/>
                  <w:tcBorders>
                    <w:tl2br w:val="nil"/>
                    <w:tr2bl w:val="nil"/>
                  </w:tcBorders>
                  <w:noWrap w:val="0"/>
                  <w:vAlign w:val="center"/>
                </w:tcPr>
                <w:p w14:paraId="4FC641C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犬双腔道尿管</w:t>
                  </w:r>
                </w:p>
              </w:tc>
              <w:tc>
                <w:tcPr>
                  <w:tcW w:w="1571" w:type="dxa"/>
                  <w:tcBorders>
                    <w:tl2br w:val="nil"/>
                    <w:tr2bl w:val="nil"/>
                  </w:tcBorders>
                  <w:noWrap w:val="0"/>
                  <w:vAlign w:val="center"/>
                </w:tcPr>
                <w:p w14:paraId="5D67B14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支</w:t>
                  </w:r>
                </w:p>
              </w:tc>
              <w:tc>
                <w:tcPr>
                  <w:tcW w:w="1571" w:type="dxa"/>
                  <w:tcBorders>
                    <w:tl2br w:val="nil"/>
                    <w:tr2bl w:val="nil"/>
                  </w:tcBorders>
                  <w:noWrap w:val="0"/>
                  <w:vAlign w:val="center"/>
                </w:tcPr>
                <w:p w14:paraId="3E1BA33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1571" w:type="dxa"/>
                  <w:tcBorders>
                    <w:tl2br w:val="nil"/>
                    <w:tr2bl w:val="nil"/>
                  </w:tcBorders>
                  <w:noWrap w:val="0"/>
                  <w:vAlign w:val="center"/>
                </w:tcPr>
                <w:p w14:paraId="045E7D6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1BF93A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3AB7EE66">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4</w:t>
                  </w:r>
                </w:p>
              </w:tc>
              <w:tc>
                <w:tcPr>
                  <w:tcW w:w="1571" w:type="dxa"/>
                  <w:tcBorders>
                    <w:tl2br w:val="nil"/>
                    <w:tr2bl w:val="nil"/>
                  </w:tcBorders>
                  <w:noWrap w:val="0"/>
                  <w:vAlign w:val="center"/>
                </w:tcPr>
                <w:p w14:paraId="67FA82F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骨板</w:t>
                  </w:r>
                </w:p>
              </w:tc>
              <w:tc>
                <w:tcPr>
                  <w:tcW w:w="1571" w:type="dxa"/>
                  <w:tcBorders>
                    <w:tl2br w:val="nil"/>
                    <w:tr2bl w:val="nil"/>
                  </w:tcBorders>
                  <w:noWrap w:val="0"/>
                  <w:vAlign w:val="center"/>
                </w:tcPr>
                <w:p w14:paraId="0061D12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条</w:t>
                  </w:r>
                </w:p>
              </w:tc>
              <w:tc>
                <w:tcPr>
                  <w:tcW w:w="1571" w:type="dxa"/>
                  <w:tcBorders>
                    <w:tl2br w:val="nil"/>
                    <w:tr2bl w:val="nil"/>
                  </w:tcBorders>
                  <w:noWrap w:val="0"/>
                  <w:vAlign w:val="center"/>
                </w:tcPr>
                <w:p w14:paraId="506D26D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571" w:type="dxa"/>
                  <w:tcBorders>
                    <w:tl2br w:val="nil"/>
                    <w:tr2bl w:val="nil"/>
                  </w:tcBorders>
                  <w:noWrap w:val="0"/>
                  <w:vAlign w:val="center"/>
                </w:tcPr>
                <w:p w14:paraId="0530A0F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723D2D94">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557FCE0">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5</w:t>
                  </w:r>
                </w:p>
              </w:tc>
              <w:tc>
                <w:tcPr>
                  <w:tcW w:w="1571" w:type="dxa"/>
                  <w:tcBorders>
                    <w:tl2br w:val="nil"/>
                    <w:tr2bl w:val="nil"/>
                  </w:tcBorders>
                  <w:noWrap w:val="0"/>
                  <w:vAlign w:val="center"/>
                </w:tcPr>
                <w:p w14:paraId="54A2322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骨钉</w:t>
                  </w:r>
                </w:p>
              </w:tc>
              <w:tc>
                <w:tcPr>
                  <w:tcW w:w="1571" w:type="dxa"/>
                  <w:tcBorders>
                    <w:tl2br w:val="nil"/>
                    <w:tr2bl w:val="nil"/>
                  </w:tcBorders>
                  <w:noWrap w:val="0"/>
                  <w:vAlign w:val="center"/>
                </w:tcPr>
                <w:p w14:paraId="3246A1D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571" w:type="dxa"/>
                  <w:tcBorders>
                    <w:tl2br w:val="nil"/>
                    <w:tr2bl w:val="nil"/>
                  </w:tcBorders>
                  <w:noWrap w:val="0"/>
                  <w:vAlign w:val="center"/>
                </w:tcPr>
                <w:p w14:paraId="65C0CC4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p>
              </w:tc>
              <w:tc>
                <w:tcPr>
                  <w:tcW w:w="1571" w:type="dxa"/>
                  <w:tcBorders>
                    <w:tl2br w:val="nil"/>
                    <w:tr2bl w:val="nil"/>
                  </w:tcBorders>
                  <w:noWrap w:val="0"/>
                  <w:vAlign w:val="center"/>
                </w:tcPr>
                <w:p w14:paraId="5BAE15E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59C41A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5DE5C57">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6</w:t>
                  </w:r>
                </w:p>
              </w:tc>
              <w:tc>
                <w:tcPr>
                  <w:tcW w:w="1571" w:type="dxa"/>
                  <w:tcBorders>
                    <w:tl2br w:val="nil"/>
                    <w:tr2bl w:val="nil"/>
                  </w:tcBorders>
                  <w:noWrap w:val="0"/>
                  <w:vAlign w:val="center"/>
                </w:tcPr>
                <w:p w14:paraId="5C78CA0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留置针</w:t>
                  </w:r>
                </w:p>
              </w:tc>
              <w:tc>
                <w:tcPr>
                  <w:tcW w:w="1571" w:type="dxa"/>
                  <w:tcBorders>
                    <w:tl2br w:val="nil"/>
                    <w:tr2bl w:val="nil"/>
                  </w:tcBorders>
                  <w:noWrap w:val="0"/>
                  <w:vAlign w:val="center"/>
                </w:tcPr>
                <w:p w14:paraId="5CBA22E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571" w:type="dxa"/>
                  <w:tcBorders>
                    <w:tl2br w:val="nil"/>
                    <w:tr2bl w:val="nil"/>
                  </w:tcBorders>
                  <w:noWrap w:val="0"/>
                  <w:vAlign w:val="center"/>
                </w:tcPr>
                <w:p w14:paraId="6B71E5F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w:t>
                  </w:r>
                </w:p>
              </w:tc>
              <w:tc>
                <w:tcPr>
                  <w:tcW w:w="1571" w:type="dxa"/>
                  <w:tcBorders>
                    <w:tl2br w:val="nil"/>
                    <w:tr2bl w:val="nil"/>
                  </w:tcBorders>
                  <w:noWrap w:val="0"/>
                  <w:vAlign w:val="center"/>
                </w:tcPr>
                <w:p w14:paraId="4301612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117FEF3">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11D3293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7</w:t>
                  </w:r>
                </w:p>
              </w:tc>
              <w:tc>
                <w:tcPr>
                  <w:tcW w:w="1571" w:type="dxa"/>
                  <w:tcBorders>
                    <w:tl2br w:val="nil"/>
                    <w:tr2bl w:val="nil"/>
                  </w:tcBorders>
                  <w:noWrap w:val="0"/>
                  <w:vAlign w:val="center"/>
                </w:tcPr>
                <w:p w14:paraId="5075605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缝合线</w:t>
                  </w:r>
                </w:p>
              </w:tc>
              <w:tc>
                <w:tcPr>
                  <w:tcW w:w="1571" w:type="dxa"/>
                  <w:tcBorders>
                    <w:tl2br w:val="nil"/>
                    <w:tr2bl w:val="nil"/>
                  </w:tcBorders>
                  <w:noWrap w:val="0"/>
                  <w:vAlign w:val="center"/>
                </w:tcPr>
                <w:p w14:paraId="1A54C49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12根/盒</w:t>
                  </w:r>
                </w:p>
              </w:tc>
              <w:tc>
                <w:tcPr>
                  <w:tcW w:w="1571" w:type="dxa"/>
                  <w:tcBorders>
                    <w:tl2br w:val="nil"/>
                    <w:tr2bl w:val="nil"/>
                  </w:tcBorders>
                  <w:noWrap w:val="0"/>
                  <w:vAlign w:val="center"/>
                </w:tcPr>
                <w:p w14:paraId="76E9DEC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1571" w:type="dxa"/>
                  <w:tcBorders>
                    <w:tl2br w:val="nil"/>
                    <w:tr2bl w:val="nil"/>
                  </w:tcBorders>
                  <w:noWrap w:val="0"/>
                  <w:vAlign w:val="center"/>
                </w:tcPr>
                <w:p w14:paraId="26997B9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B3A304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53B8B6D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8</w:t>
                  </w:r>
                </w:p>
              </w:tc>
              <w:tc>
                <w:tcPr>
                  <w:tcW w:w="1571" w:type="dxa"/>
                  <w:tcBorders>
                    <w:tl2br w:val="nil"/>
                    <w:tr2bl w:val="nil"/>
                  </w:tcBorders>
                  <w:noWrap w:val="0"/>
                  <w:vAlign w:val="center"/>
                </w:tcPr>
                <w:p w14:paraId="517F216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刀片</w:t>
                  </w:r>
                </w:p>
              </w:tc>
              <w:tc>
                <w:tcPr>
                  <w:tcW w:w="1571" w:type="dxa"/>
                  <w:tcBorders>
                    <w:tl2br w:val="nil"/>
                    <w:tr2bl w:val="nil"/>
                  </w:tcBorders>
                  <w:noWrap w:val="0"/>
                  <w:vAlign w:val="center"/>
                </w:tcPr>
                <w:p w14:paraId="7D21641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100/盒</w:t>
                  </w:r>
                </w:p>
              </w:tc>
              <w:tc>
                <w:tcPr>
                  <w:tcW w:w="1571" w:type="dxa"/>
                  <w:tcBorders>
                    <w:tl2br w:val="nil"/>
                    <w:tr2bl w:val="nil"/>
                  </w:tcBorders>
                  <w:noWrap w:val="0"/>
                  <w:vAlign w:val="center"/>
                </w:tcPr>
                <w:p w14:paraId="6B7B026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571" w:type="dxa"/>
                  <w:tcBorders>
                    <w:tl2br w:val="nil"/>
                    <w:tr2bl w:val="nil"/>
                  </w:tcBorders>
                  <w:noWrap w:val="0"/>
                  <w:vAlign w:val="center"/>
                </w:tcPr>
                <w:p w14:paraId="6F57B1A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2977444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0DAB5D9C">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w:t>
                  </w:r>
                </w:p>
              </w:tc>
              <w:tc>
                <w:tcPr>
                  <w:tcW w:w="1571" w:type="dxa"/>
                  <w:tcBorders>
                    <w:tl2br w:val="nil"/>
                    <w:tr2bl w:val="nil"/>
                  </w:tcBorders>
                  <w:noWrap w:val="0"/>
                  <w:vAlign w:val="center"/>
                </w:tcPr>
                <w:p w14:paraId="28DC339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纱布块</w:t>
                  </w:r>
                </w:p>
              </w:tc>
              <w:tc>
                <w:tcPr>
                  <w:tcW w:w="1571" w:type="dxa"/>
                  <w:tcBorders>
                    <w:tl2br w:val="nil"/>
                    <w:tr2bl w:val="nil"/>
                  </w:tcBorders>
                  <w:noWrap w:val="0"/>
                  <w:vAlign w:val="center"/>
                </w:tcPr>
                <w:p w14:paraId="2CC63C2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24包/袋</w:t>
                  </w:r>
                </w:p>
              </w:tc>
              <w:tc>
                <w:tcPr>
                  <w:tcW w:w="1571" w:type="dxa"/>
                  <w:tcBorders>
                    <w:tl2br w:val="nil"/>
                    <w:tr2bl w:val="nil"/>
                  </w:tcBorders>
                  <w:noWrap w:val="0"/>
                  <w:vAlign w:val="center"/>
                </w:tcPr>
                <w:p w14:paraId="77A2825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1571" w:type="dxa"/>
                  <w:tcBorders>
                    <w:tl2br w:val="nil"/>
                    <w:tr2bl w:val="nil"/>
                  </w:tcBorders>
                  <w:noWrap w:val="0"/>
                  <w:vAlign w:val="center"/>
                </w:tcPr>
                <w:p w14:paraId="62BD7B6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C8B9CC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9CA2621">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0</w:t>
                  </w:r>
                </w:p>
              </w:tc>
              <w:tc>
                <w:tcPr>
                  <w:tcW w:w="1571" w:type="dxa"/>
                  <w:tcBorders>
                    <w:tl2br w:val="nil"/>
                    <w:tr2bl w:val="nil"/>
                  </w:tcBorders>
                  <w:noWrap w:val="0"/>
                  <w:vAlign w:val="center"/>
                </w:tcPr>
                <w:p w14:paraId="0196AB7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纱布包</w:t>
                  </w:r>
                </w:p>
              </w:tc>
              <w:tc>
                <w:tcPr>
                  <w:tcW w:w="1571" w:type="dxa"/>
                  <w:tcBorders>
                    <w:tl2br w:val="nil"/>
                    <w:tr2bl w:val="nil"/>
                  </w:tcBorders>
                  <w:noWrap w:val="0"/>
                  <w:vAlign w:val="center"/>
                </w:tcPr>
                <w:p w14:paraId="7198527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571" w:type="dxa"/>
                  <w:tcBorders>
                    <w:tl2br w:val="nil"/>
                    <w:tr2bl w:val="nil"/>
                  </w:tcBorders>
                  <w:noWrap w:val="0"/>
                  <w:vAlign w:val="center"/>
                </w:tcPr>
                <w:p w14:paraId="61BF538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571" w:type="dxa"/>
                  <w:tcBorders>
                    <w:tl2br w:val="nil"/>
                    <w:tr2bl w:val="nil"/>
                  </w:tcBorders>
                  <w:noWrap w:val="0"/>
                  <w:vAlign w:val="center"/>
                </w:tcPr>
                <w:p w14:paraId="0F7032D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429880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6D542F6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1</w:t>
                  </w:r>
                </w:p>
              </w:tc>
              <w:tc>
                <w:tcPr>
                  <w:tcW w:w="1571" w:type="dxa"/>
                  <w:tcBorders>
                    <w:tl2br w:val="nil"/>
                    <w:tr2bl w:val="nil"/>
                  </w:tcBorders>
                  <w:noWrap w:val="0"/>
                  <w:vAlign w:val="center"/>
                </w:tcPr>
                <w:p w14:paraId="5F89B30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绷带</w:t>
                  </w:r>
                </w:p>
              </w:tc>
              <w:tc>
                <w:tcPr>
                  <w:tcW w:w="1571" w:type="dxa"/>
                  <w:tcBorders>
                    <w:tl2br w:val="nil"/>
                    <w:tr2bl w:val="nil"/>
                  </w:tcBorders>
                  <w:noWrap w:val="0"/>
                  <w:vAlign w:val="center"/>
                </w:tcPr>
                <w:p w14:paraId="7D8F83E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10个/袋</w:t>
                  </w:r>
                </w:p>
              </w:tc>
              <w:tc>
                <w:tcPr>
                  <w:tcW w:w="1571" w:type="dxa"/>
                  <w:tcBorders>
                    <w:tl2br w:val="nil"/>
                    <w:tr2bl w:val="nil"/>
                  </w:tcBorders>
                  <w:noWrap w:val="0"/>
                  <w:vAlign w:val="center"/>
                </w:tcPr>
                <w:p w14:paraId="321C77B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571" w:type="dxa"/>
                  <w:tcBorders>
                    <w:tl2br w:val="nil"/>
                    <w:tr2bl w:val="nil"/>
                  </w:tcBorders>
                  <w:noWrap w:val="0"/>
                  <w:vAlign w:val="center"/>
                </w:tcPr>
                <w:p w14:paraId="7668144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6DDA81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5AD2DE1B">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2</w:t>
                  </w:r>
                </w:p>
              </w:tc>
              <w:tc>
                <w:tcPr>
                  <w:tcW w:w="1571" w:type="dxa"/>
                  <w:tcBorders>
                    <w:tl2br w:val="nil"/>
                    <w:tr2bl w:val="nil"/>
                  </w:tcBorders>
                  <w:noWrap w:val="0"/>
                  <w:vAlign w:val="center"/>
                </w:tcPr>
                <w:p w14:paraId="060DF76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新鲜水</w:t>
                  </w:r>
                </w:p>
              </w:tc>
              <w:tc>
                <w:tcPr>
                  <w:tcW w:w="1571" w:type="dxa"/>
                  <w:tcBorders>
                    <w:tl2br w:val="nil"/>
                    <w:tr2bl w:val="nil"/>
                  </w:tcBorders>
                  <w:noWrap w:val="0"/>
                  <w:vAlign w:val="center"/>
                </w:tcPr>
                <w:p w14:paraId="7B6B303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立方米/年</w:t>
                  </w:r>
                </w:p>
              </w:tc>
              <w:tc>
                <w:tcPr>
                  <w:tcW w:w="1571" w:type="dxa"/>
                  <w:tcBorders>
                    <w:tl2br w:val="nil"/>
                    <w:tr2bl w:val="nil"/>
                  </w:tcBorders>
                  <w:noWrap w:val="0"/>
                  <w:vAlign w:val="center"/>
                </w:tcPr>
                <w:p w14:paraId="4C3BF8B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r>
                    <w:rPr>
                      <w:rFonts w:hint="eastAsia" w:cs="Times New Roman"/>
                      <w:color w:val="auto"/>
                      <w:sz w:val="21"/>
                      <w:szCs w:val="21"/>
                      <w:highlight w:val="none"/>
                      <w:lang w:val="en-US" w:eastAsia="zh-CN"/>
                    </w:rPr>
                    <w:t>5</w:t>
                  </w:r>
                </w:p>
              </w:tc>
              <w:tc>
                <w:tcPr>
                  <w:tcW w:w="1571" w:type="dxa"/>
                  <w:tcBorders>
                    <w:tl2br w:val="nil"/>
                    <w:tr2bl w:val="nil"/>
                  </w:tcBorders>
                  <w:noWrap w:val="0"/>
                  <w:vAlign w:val="center"/>
                </w:tcPr>
                <w:p w14:paraId="1976993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市政供水</w:t>
                  </w:r>
                </w:p>
              </w:tc>
            </w:tr>
            <w:tr w14:paraId="5974B681">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39E191CB">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3</w:t>
                  </w:r>
                </w:p>
              </w:tc>
              <w:tc>
                <w:tcPr>
                  <w:tcW w:w="1571" w:type="dxa"/>
                  <w:tcBorders>
                    <w:tl2br w:val="nil"/>
                    <w:tr2bl w:val="nil"/>
                  </w:tcBorders>
                  <w:noWrap w:val="0"/>
                  <w:vAlign w:val="center"/>
                </w:tcPr>
                <w:p w14:paraId="5A676DD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w:t>
                  </w:r>
                </w:p>
              </w:tc>
              <w:tc>
                <w:tcPr>
                  <w:tcW w:w="1571" w:type="dxa"/>
                  <w:tcBorders>
                    <w:tl2br w:val="nil"/>
                    <w:tr2bl w:val="nil"/>
                  </w:tcBorders>
                  <w:noWrap w:val="0"/>
                  <w:vAlign w:val="center"/>
                </w:tcPr>
                <w:p w14:paraId="2D74753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千瓦时/年</w:t>
                  </w:r>
                </w:p>
              </w:tc>
              <w:tc>
                <w:tcPr>
                  <w:tcW w:w="1571" w:type="dxa"/>
                  <w:tcBorders>
                    <w:tl2br w:val="nil"/>
                    <w:tr2bl w:val="nil"/>
                  </w:tcBorders>
                  <w:noWrap w:val="0"/>
                  <w:vAlign w:val="center"/>
                </w:tcPr>
                <w:p w14:paraId="62F86A4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3000</w:t>
                  </w:r>
                </w:p>
              </w:tc>
              <w:tc>
                <w:tcPr>
                  <w:tcW w:w="1571" w:type="dxa"/>
                  <w:tcBorders>
                    <w:tl2br w:val="nil"/>
                    <w:tr2bl w:val="nil"/>
                  </w:tcBorders>
                  <w:noWrap w:val="0"/>
                  <w:vAlign w:val="center"/>
                </w:tcPr>
                <w:p w14:paraId="22FFF02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市政供电</w:t>
                  </w:r>
                </w:p>
              </w:tc>
            </w:tr>
          </w:tbl>
          <w:p w14:paraId="73EA4CFB">
            <w:pPr>
              <w:spacing w:beforeLines="0" w:afterLines="0"/>
              <w:jc w:val="left"/>
              <w:rPr>
                <w:rFonts w:hint="eastAsia" w:ascii="Times New Roman" w:hAnsi="Times New Roman" w:eastAsia="宋体" w:cs="Times New Roman"/>
                <w:b/>
                <w:bCs w:val="0"/>
                <w:snapToGrid w:val="0"/>
                <w:color w:val="auto"/>
                <w:spacing w:val="8"/>
                <w:kern w:val="0"/>
                <w:sz w:val="24"/>
                <w:szCs w:val="72"/>
                <w:highlight w:val="none"/>
                <w:lang w:val="en-US" w:eastAsia="zh-CN"/>
              </w:rPr>
            </w:pPr>
            <w:r>
              <w:rPr>
                <w:rFonts w:hint="eastAsia" w:ascii="Times New Roman" w:hAnsi="Times New Roman" w:eastAsia="宋体" w:cs="Times New Roman"/>
                <w:b/>
                <w:bCs w:val="0"/>
                <w:snapToGrid w:val="0"/>
                <w:color w:val="auto"/>
                <w:spacing w:val="8"/>
                <w:kern w:val="0"/>
                <w:sz w:val="24"/>
                <w:szCs w:val="72"/>
                <w:highlight w:val="none"/>
                <w:lang w:val="en-US" w:eastAsia="zh-CN"/>
              </w:rPr>
              <w:t>原辅材料理化性质：</w:t>
            </w:r>
          </w:p>
          <w:p w14:paraId="1A502E17">
            <w:pPr>
              <w:keepNext w:val="0"/>
              <w:keepLines w:val="0"/>
              <w:pageBreakBefore w:val="0"/>
              <w:widowControl/>
              <w:kinsoku w:val="0"/>
              <w:wordWrap/>
              <w:overflowPunct/>
              <w:topLinePunct w:val="0"/>
              <w:autoSpaceDE w:val="0"/>
              <w:autoSpaceDN w:val="0"/>
              <w:bidi w:val="0"/>
              <w:adjustRightInd/>
              <w:snapToGrid/>
              <w:spacing w:beforeLines="0" w:afterLines="0"/>
              <w:ind w:firstLine="512" w:firstLineChars="200"/>
              <w:jc w:val="left"/>
              <w:textAlignment w:val="baseline"/>
              <w:rPr>
                <w:rFonts w:hint="eastAsia" w:ascii="Times New Roman" w:hAnsi="Times New Roman" w:eastAsia="宋体" w:cs="Times New Roman"/>
                <w:bCs/>
                <w:snapToGrid w:val="0"/>
                <w:color w:val="auto"/>
                <w:spacing w:val="8"/>
                <w:kern w:val="0"/>
                <w:sz w:val="24"/>
                <w:szCs w:val="72"/>
                <w:highlight w:val="none"/>
                <w:lang w:val="en-US" w:eastAsia="zh-CN"/>
              </w:rPr>
            </w:pPr>
            <w:r>
              <w:rPr>
                <w:rFonts w:hint="eastAsia" w:ascii="Times New Roman" w:hAnsi="Times New Roman" w:eastAsia="宋体" w:cs="Times New Roman"/>
                <w:bCs/>
                <w:snapToGrid w:val="0"/>
                <w:color w:val="auto"/>
                <w:spacing w:val="8"/>
                <w:kern w:val="0"/>
                <w:sz w:val="24"/>
                <w:szCs w:val="72"/>
                <w:highlight w:val="none"/>
                <w:lang w:val="en-US" w:eastAsia="zh-CN"/>
              </w:rPr>
              <w:t>生理盐水：又称为无菌生理盐水，是指生理学实验或临床上常用的渗透压与动物或人体血浆的渗透压基本相等的氯化钠溶液。浓度：用于两栖类动物时是0.67~0.70%，用于哺乳类动物和人体时是0.85-0.9%。</w:t>
            </w:r>
          </w:p>
          <w:p w14:paraId="2BD82392">
            <w:pPr>
              <w:keepNext w:val="0"/>
              <w:keepLines w:val="0"/>
              <w:pageBreakBefore w:val="0"/>
              <w:widowControl/>
              <w:kinsoku w:val="0"/>
              <w:wordWrap/>
              <w:overflowPunct/>
              <w:topLinePunct w:val="0"/>
              <w:autoSpaceDE w:val="0"/>
              <w:autoSpaceDN w:val="0"/>
              <w:bidi w:val="0"/>
              <w:adjustRightInd/>
              <w:snapToGrid/>
              <w:spacing w:beforeLines="0" w:afterLines="0"/>
              <w:ind w:firstLine="512" w:firstLineChars="200"/>
              <w:jc w:val="left"/>
              <w:textAlignment w:val="baseline"/>
              <w:rPr>
                <w:rFonts w:hint="eastAsia"/>
                <w:color w:val="auto"/>
                <w:lang w:val="en-US" w:eastAsia="zh-CN"/>
              </w:rPr>
            </w:pPr>
            <w:r>
              <w:rPr>
                <w:rFonts w:hint="eastAsia" w:ascii="Times New Roman" w:hAnsi="Times New Roman" w:eastAsia="宋体" w:cs="Times New Roman"/>
                <w:bCs/>
                <w:snapToGrid w:val="0"/>
                <w:color w:val="auto"/>
                <w:spacing w:val="8"/>
                <w:kern w:val="0"/>
                <w:sz w:val="24"/>
                <w:szCs w:val="72"/>
                <w:highlight w:val="none"/>
                <w:lang w:val="en-US" w:eastAsia="zh-CN"/>
              </w:rPr>
              <w:t>医用酒精（75%）：化学式为CH</w:t>
            </w:r>
            <w:r>
              <w:rPr>
                <w:rFonts w:hint="eastAsia" w:ascii="Times New Roman" w:hAnsi="Times New Roman" w:eastAsia="宋体" w:cs="Times New Roman"/>
                <w:bCs/>
                <w:snapToGrid w:val="0"/>
                <w:color w:val="auto"/>
                <w:spacing w:val="8"/>
                <w:kern w:val="0"/>
                <w:sz w:val="24"/>
                <w:szCs w:val="72"/>
                <w:highlight w:val="none"/>
                <w:vertAlign w:val="subscript"/>
                <w:lang w:val="en-US" w:eastAsia="zh-CN"/>
              </w:rPr>
              <w:t>3</w:t>
            </w:r>
            <w:r>
              <w:rPr>
                <w:rFonts w:hint="eastAsia" w:ascii="Times New Roman" w:hAnsi="Times New Roman" w:eastAsia="宋体" w:cs="Times New Roman"/>
                <w:bCs/>
                <w:snapToGrid w:val="0"/>
                <w:color w:val="auto"/>
                <w:spacing w:val="8"/>
                <w:kern w:val="0"/>
                <w:sz w:val="24"/>
                <w:szCs w:val="72"/>
                <w:highlight w:val="none"/>
                <w:lang w:val="en-US" w:eastAsia="zh-CN"/>
              </w:rPr>
              <w:t>CH</w:t>
            </w:r>
            <w:r>
              <w:rPr>
                <w:rFonts w:hint="eastAsia" w:ascii="Times New Roman" w:hAnsi="Times New Roman" w:eastAsia="宋体" w:cs="Times New Roman"/>
                <w:bCs/>
                <w:snapToGrid w:val="0"/>
                <w:color w:val="auto"/>
                <w:spacing w:val="8"/>
                <w:kern w:val="0"/>
                <w:sz w:val="24"/>
                <w:szCs w:val="72"/>
                <w:highlight w:val="none"/>
                <w:vertAlign w:val="subscript"/>
                <w:lang w:val="en-US" w:eastAsia="zh-CN"/>
              </w:rPr>
              <w:t>2</w:t>
            </w:r>
            <w:r>
              <w:rPr>
                <w:rFonts w:hint="eastAsia" w:ascii="Times New Roman" w:hAnsi="Times New Roman" w:eastAsia="宋体" w:cs="Times New Roman"/>
                <w:bCs/>
                <w:snapToGrid w:val="0"/>
                <w:color w:val="auto"/>
                <w:spacing w:val="8"/>
                <w:kern w:val="0"/>
                <w:sz w:val="24"/>
                <w:szCs w:val="72"/>
                <w:highlight w:val="none"/>
                <w:lang w:val="en-US" w:eastAsia="zh-CN"/>
              </w:rPr>
              <w:t>OH，是带有一个羟基的饱和</w:t>
            </w:r>
            <w:r>
              <w:rPr>
                <w:rFonts w:hint="eastAsia" w:cs="Times New Roman"/>
                <w:bCs/>
                <w:snapToGrid w:val="0"/>
                <w:color w:val="auto"/>
                <w:spacing w:val="8"/>
                <w:kern w:val="0"/>
                <w:sz w:val="24"/>
                <w:szCs w:val="72"/>
                <w:highlight w:val="none"/>
                <w:lang w:val="en-US" w:eastAsia="zh-CN"/>
              </w:rPr>
              <w:t>一元醇</w:t>
            </w:r>
            <w:r>
              <w:rPr>
                <w:rFonts w:hint="eastAsia" w:ascii="Times New Roman" w:hAnsi="Times New Roman" w:eastAsia="宋体" w:cs="Times New Roman"/>
                <w:bCs/>
                <w:snapToGrid w:val="0"/>
                <w:color w:val="auto"/>
                <w:spacing w:val="8"/>
                <w:kern w:val="0"/>
                <w:sz w:val="24"/>
                <w:szCs w:val="72"/>
                <w:highlight w:val="none"/>
                <w:lang w:val="en-US" w:eastAsia="zh-CN"/>
              </w:rPr>
              <w:t>，在常温、常压下是一种易燃、易挥发的无色透明液体，它的水溶液具有酒香的气味，并略带刺激。有酒的气味和刺激的辛辣滋味，微甘。</w:t>
            </w:r>
            <w:r>
              <w:rPr>
                <w:rFonts w:hint="eastAsia" w:cs="Times New Roman"/>
                <w:bCs/>
                <w:snapToGrid w:val="0"/>
                <w:color w:val="auto"/>
                <w:spacing w:val="8"/>
                <w:kern w:val="0"/>
                <w:sz w:val="24"/>
                <w:szCs w:val="72"/>
                <w:highlight w:val="none"/>
                <w:lang w:val="en-US" w:eastAsia="zh-CN"/>
              </w:rPr>
              <w:t>乙醇</w:t>
            </w:r>
            <w:r>
              <w:rPr>
                <w:rFonts w:hint="eastAsia" w:ascii="Times New Roman" w:hAnsi="Times New Roman" w:eastAsia="宋体" w:cs="Times New Roman"/>
                <w:bCs/>
                <w:snapToGrid w:val="0"/>
                <w:color w:val="auto"/>
                <w:spacing w:val="8"/>
                <w:kern w:val="0"/>
                <w:sz w:val="24"/>
                <w:szCs w:val="72"/>
                <w:highlight w:val="none"/>
                <w:lang w:val="en-US" w:eastAsia="zh-CN"/>
              </w:rPr>
              <w:t>液体密度是0.789g/cm3（20℃），乙醇气体密度为1.59kg/m</w:t>
            </w:r>
            <w:r>
              <w:rPr>
                <w:rFonts w:hint="eastAsia" w:ascii="Times New Roman" w:hAnsi="Times New Roman" w:eastAsia="宋体" w:cs="Times New Roman"/>
                <w:bCs/>
                <w:snapToGrid w:val="0"/>
                <w:color w:val="auto"/>
                <w:spacing w:val="8"/>
                <w:kern w:val="0"/>
                <w:sz w:val="24"/>
                <w:szCs w:val="72"/>
                <w:highlight w:val="none"/>
                <w:vertAlign w:val="superscript"/>
                <w:lang w:val="en-US" w:eastAsia="zh-CN"/>
              </w:rPr>
              <w:t>3</w:t>
            </w:r>
            <w:r>
              <w:rPr>
                <w:rFonts w:hint="eastAsia" w:ascii="Times New Roman" w:hAnsi="Times New Roman" w:eastAsia="宋体" w:cs="Times New Roman"/>
                <w:bCs/>
                <w:snapToGrid w:val="0"/>
                <w:color w:val="auto"/>
                <w:spacing w:val="8"/>
                <w:kern w:val="0"/>
                <w:sz w:val="24"/>
                <w:szCs w:val="72"/>
                <w:highlight w:val="none"/>
                <w:lang w:val="en-US" w:eastAsia="zh-CN"/>
              </w:rPr>
              <w:t>，沸点是78.3℃，熔点是-114.1℃，易燃，其蒸气能与空气形成爆炸性混合物，能与水以任意比互溶。能与氯仿、乙醚、单醇、丙酮和其他多数有机溶剂混溶，相对密度（d15.56）0.816。75%的酒精（体积分数）可用于皮肤消毒，但不可用于黏膜和大创面的消毒，很强的渗透力，进入细菌内部。</w:t>
            </w:r>
          </w:p>
          <w:p w14:paraId="0BDB6681">
            <w:pPr>
              <w:pStyle w:val="3"/>
              <w:bidi w:val="0"/>
              <w:rPr>
                <w:rFonts w:hint="eastAsia"/>
                <w:color w:val="auto"/>
                <w:lang w:eastAsia="zh-CN"/>
              </w:rPr>
            </w:pPr>
            <w:r>
              <w:rPr>
                <w:rFonts w:hint="eastAsia"/>
                <w:color w:val="auto"/>
                <w:lang w:val="en-US" w:eastAsia="zh-CN"/>
              </w:rPr>
              <w:t>2.6</w:t>
            </w:r>
            <w:r>
              <w:rPr>
                <w:rFonts w:hint="eastAsia"/>
                <w:color w:val="auto"/>
                <w:lang w:eastAsia="zh-CN"/>
              </w:rPr>
              <w:t>、公用工程</w:t>
            </w:r>
          </w:p>
          <w:p w14:paraId="4F4D0D72">
            <w:pPr>
              <w:pStyle w:val="4"/>
              <w:bidi w:val="0"/>
              <w:rPr>
                <w:rFonts w:hint="default"/>
                <w:color w:val="auto"/>
                <w:lang w:val="en-US" w:eastAsia="zh-CN"/>
              </w:rPr>
            </w:pPr>
            <w:bookmarkStart w:id="7" w:name="_Toc1004"/>
            <w:r>
              <w:rPr>
                <w:rFonts w:hint="eastAsia"/>
                <w:color w:val="auto"/>
                <w:lang w:val="en-US" w:eastAsia="zh-CN"/>
              </w:rPr>
              <w:t>2.6.1</w:t>
            </w:r>
            <w:r>
              <w:rPr>
                <w:rFonts w:hint="eastAsia"/>
                <w:color w:val="auto"/>
                <w:lang w:eastAsia="zh-CN"/>
              </w:rPr>
              <w:t>供</w:t>
            </w:r>
            <w:r>
              <w:rPr>
                <w:rFonts w:hint="eastAsia"/>
                <w:color w:val="auto"/>
                <w:lang w:val="en-US" w:eastAsia="zh-CN"/>
              </w:rPr>
              <w:t>排水</w:t>
            </w:r>
          </w:p>
          <w:p w14:paraId="173B4509">
            <w:pPr>
              <w:pStyle w:val="29"/>
              <w:bidi w:val="0"/>
              <w:rPr>
                <w:rFonts w:hint="eastAsia"/>
                <w:color w:val="auto"/>
                <w:lang w:eastAsia="zh-CN"/>
              </w:rPr>
            </w:pPr>
            <w:r>
              <w:rPr>
                <w:rFonts w:hint="eastAsia"/>
                <w:color w:val="auto"/>
                <w:lang w:eastAsia="zh-CN"/>
              </w:rPr>
              <w:t>（</w:t>
            </w:r>
            <w:r>
              <w:rPr>
                <w:rFonts w:hint="eastAsia"/>
                <w:color w:val="auto"/>
                <w:lang w:val="en-US" w:eastAsia="zh-CN"/>
              </w:rPr>
              <w:t>1</w:t>
            </w:r>
            <w:r>
              <w:rPr>
                <w:rFonts w:hint="eastAsia"/>
                <w:color w:val="auto"/>
                <w:lang w:eastAsia="zh-CN"/>
              </w:rPr>
              <w:t>）供水</w:t>
            </w:r>
          </w:p>
          <w:p w14:paraId="3A198FF6">
            <w:pPr>
              <w:pStyle w:val="29"/>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eastAsia="zh-CN"/>
              </w:rPr>
            </w:pPr>
            <w:r>
              <w:rPr>
                <w:color w:val="auto"/>
              </w:rPr>
              <w:t>本项目给水由市政供水管网接入，项目主要用水为</w:t>
            </w:r>
            <w:r>
              <w:rPr>
                <w:rFonts w:hint="eastAsia" w:cs="Times New Roman"/>
                <w:color w:val="auto"/>
                <w:highlight w:val="none"/>
                <w:lang w:val="en-US" w:eastAsia="zh-CN"/>
              </w:rPr>
              <w:t>清洗消毒用水</w:t>
            </w:r>
            <w:r>
              <w:rPr>
                <w:color w:val="auto"/>
              </w:rPr>
              <w:t>、医疗用水、工作人员及流动人员生活用水。</w:t>
            </w:r>
          </w:p>
          <w:p w14:paraId="739590B6">
            <w:pPr>
              <w:pStyle w:val="29"/>
              <w:bidi w:val="0"/>
              <w:rPr>
                <w:rFonts w:hint="eastAsia"/>
                <w:color w:val="auto"/>
                <w:lang w:eastAsia="zh-CN"/>
              </w:rPr>
            </w:pPr>
            <w:r>
              <w:rPr>
                <w:color w:val="auto"/>
              </w:rPr>
              <w:t>①生活用水</w:t>
            </w:r>
          </w:p>
          <w:p w14:paraId="4AB9F24D">
            <w:pPr>
              <w:pStyle w:val="29"/>
              <w:bidi w:val="0"/>
              <w:rPr>
                <w:rFonts w:hint="default"/>
                <w:color w:val="auto"/>
              </w:rPr>
            </w:pPr>
            <w:r>
              <w:rPr>
                <w:color w:val="auto"/>
              </w:rPr>
              <w:t>本项目劳动定员</w:t>
            </w:r>
            <w:r>
              <w:rPr>
                <w:rFonts w:hint="eastAsia"/>
                <w:color w:val="auto"/>
                <w:lang w:val="en-US" w:eastAsia="zh-CN"/>
              </w:rPr>
              <w:t>4</w:t>
            </w:r>
            <w:r>
              <w:rPr>
                <w:color w:val="auto"/>
              </w:rPr>
              <w:t>人，医院流动人员按</w:t>
            </w:r>
            <w:r>
              <w:rPr>
                <w:rFonts w:hint="eastAsia"/>
                <w:color w:val="auto"/>
                <w:lang w:val="en-US" w:eastAsia="zh-CN"/>
              </w:rPr>
              <w:t>7</w:t>
            </w:r>
            <w:r>
              <w:rPr>
                <w:color w:val="auto"/>
              </w:rPr>
              <w:t>人计算，根据《新疆维吾尔自治区生活用水定额》，用水量以</w:t>
            </w:r>
            <w:r>
              <w:rPr>
                <w:rFonts w:hint="default"/>
                <w:color w:val="auto"/>
              </w:rPr>
              <w:t>50</w:t>
            </w:r>
            <w:r>
              <w:rPr>
                <w:color w:val="auto"/>
                <w:lang w:eastAsia="zh-CN"/>
              </w:rPr>
              <w:t>L</w:t>
            </w:r>
            <w:r>
              <w:rPr>
                <w:rFonts w:hint="default"/>
                <w:color w:val="auto"/>
              </w:rPr>
              <w:t>/</w:t>
            </w:r>
            <w:r>
              <w:rPr>
                <w:color w:val="auto"/>
              </w:rPr>
              <w:t>人</w:t>
            </w:r>
            <w:r>
              <w:rPr>
                <w:rFonts w:hint="eastAsia"/>
                <w:color w:val="auto"/>
                <w:lang w:eastAsia="zh-CN"/>
              </w:rPr>
              <w:t>·</w:t>
            </w:r>
            <w:r>
              <w:rPr>
                <w:color w:val="auto"/>
                <w:lang w:eastAsia="zh-CN"/>
              </w:rPr>
              <w:t>d</w:t>
            </w:r>
            <w:r>
              <w:rPr>
                <w:color w:val="auto"/>
              </w:rPr>
              <w:t>计</w:t>
            </w:r>
            <w:r>
              <w:rPr>
                <w:rFonts w:hint="eastAsia"/>
                <w:color w:val="auto"/>
                <w:lang w:eastAsia="zh-CN"/>
              </w:rPr>
              <w:t>，</w:t>
            </w:r>
            <w:r>
              <w:rPr>
                <w:rFonts w:hint="default"/>
                <w:color w:val="auto"/>
              </w:rPr>
              <w:t>则日用水量为</w:t>
            </w:r>
            <w:r>
              <w:rPr>
                <w:rFonts w:hint="eastAsia"/>
                <w:color w:val="auto"/>
                <w:lang w:val="en-US" w:eastAsia="zh-CN"/>
              </w:rPr>
              <w:t>0.55</w:t>
            </w:r>
            <w:r>
              <w:rPr>
                <w:rFonts w:hint="default"/>
                <w:color w:val="auto"/>
                <w:lang w:eastAsia="zh-CN"/>
              </w:rPr>
              <w:t>m</w:t>
            </w:r>
            <w:r>
              <w:rPr>
                <w:rFonts w:hint="default"/>
                <w:color w:val="auto"/>
                <w:vertAlign w:val="superscript"/>
                <w:lang w:eastAsia="zh-CN"/>
              </w:rPr>
              <w:t>3</w:t>
            </w:r>
            <w:r>
              <w:rPr>
                <w:rFonts w:hint="default"/>
                <w:color w:val="auto"/>
              </w:rPr>
              <w:t>/</w:t>
            </w:r>
            <w:r>
              <w:rPr>
                <w:rFonts w:hint="eastAsia"/>
                <w:color w:val="auto"/>
                <w:lang w:val="en-US" w:eastAsia="zh-CN"/>
              </w:rPr>
              <w:t>d</w:t>
            </w:r>
            <w:r>
              <w:rPr>
                <w:rFonts w:hint="default"/>
                <w:color w:val="auto"/>
              </w:rPr>
              <w:t>，年工作</w:t>
            </w:r>
            <w:r>
              <w:rPr>
                <w:rFonts w:hint="eastAsia"/>
                <w:color w:val="auto"/>
                <w:lang w:val="en-US" w:eastAsia="zh-CN"/>
              </w:rPr>
              <w:t>365</w:t>
            </w:r>
            <w:r>
              <w:rPr>
                <w:rFonts w:hint="default"/>
                <w:color w:val="auto"/>
              </w:rPr>
              <w:t>天，年用水量为</w:t>
            </w:r>
            <w:r>
              <w:rPr>
                <w:rFonts w:hint="eastAsia"/>
                <w:color w:val="auto"/>
                <w:lang w:val="en-US" w:eastAsia="zh-CN"/>
              </w:rPr>
              <w:t>200.75</w:t>
            </w:r>
            <w:r>
              <w:rPr>
                <w:rFonts w:hint="default"/>
                <w:color w:val="auto"/>
                <w:lang w:eastAsia="zh-CN"/>
              </w:rPr>
              <w:t>m</w:t>
            </w:r>
            <w:r>
              <w:rPr>
                <w:rFonts w:hint="default"/>
                <w:color w:val="auto"/>
                <w:vertAlign w:val="superscript"/>
                <w:lang w:eastAsia="zh-CN"/>
              </w:rPr>
              <w:t>3</w:t>
            </w:r>
            <w:r>
              <w:rPr>
                <w:rFonts w:hint="default"/>
                <w:color w:val="auto"/>
                <w:lang w:eastAsia="zh-CN"/>
              </w:rPr>
              <w:t>/a</w:t>
            </w:r>
            <w:r>
              <w:rPr>
                <w:rFonts w:hint="default"/>
                <w:color w:val="auto"/>
              </w:rPr>
              <w:t>。</w:t>
            </w:r>
          </w:p>
          <w:p w14:paraId="3FE81EF5">
            <w:pPr>
              <w:pStyle w:val="29"/>
              <w:bidi w:val="0"/>
              <w:rPr>
                <w:rFonts w:hint="eastAsia"/>
                <w:color w:val="auto"/>
                <w:lang w:eastAsia="zh-CN"/>
              </w:rPr>
            </w:pPr>
            <w:r>
              <w:rPr>
                <w:color w:val="auto"/>
              </w:rPr>
              <w:t>②</w:t>
            </w:r>
            <w:r>
              <w:rPr>
                <w:rFonts w:hint="eastAsia"/>
                <w:color w:val="auto"/>
                <w:lang w:val="en-US" w:eastAsia="zh-CN"/>
              </w:rPr>
              <w:t>宠物</w:t>
            </w:r>
            <w:r>
              <w:rPr>
                <w:color w:val="auto"/>
              </w:rPr>
              <w:t>医疗用水</w:t>
            </w:r>
          </w:p>
          <w:p w14:paraId="2D875BF6">
            <w:pPr>
              <w:pStyle w:val="29"/>
              <w:bidi w:val="0"/>
              <w:rPr>
                <w:color w:val="auto"/>
              </w:rPr>
            </w:pPr>
            <w:r>
              <w:rPr>
                <w:rFonts w:hint="eastAsia" w:ascii="宋体" w:hAnsi="宋体" w:eastAsia="宋体"/>
                <w:color w:val="auto"/>
                <w:sz w:val="24"/>
                <w:szCs w:val="24"/>
              </w:rPr>
              <w:t>动物</w:t>
            </w:r>
            <w:r>
              <w:rPr>
                <w:rFonts w:hint="eastAsia" w:ascii="宋体" w:hAnsi="宋体" w:eastAsia="宋体"/>
                <w:color w:val="auto"/>
                <w:sz w:val="24"/>
                <w:szCs w:val="24"/>
                <w:lang w:val="en-US" w:eastAsia="zh-CN"/>
              </w:rPr>
              <w:t>医疗用水</w:t>
            </w:r>
            <w:r>
              <w:rPr>
                <w:rFonts w:hint="eastAsia" w:ascii="宋体" w:hAnsi="宋体" w:eastAsia="宋体"/>
                <w:color w:val="auto"/>
                <w:sz w:val="24"/>
                <w:szCs w:val="24"/>
              </w:rPr>
              <w:t>主要来</w:t>
            </w:r>
            <w:r>
              <w:rPr>
                <w:rFonts w:hint="eastAsia" w:ascii="宋体" w:hAnsi="宋体"/>
                <w:color w:val="auto"/>
                <w:sz w:val="24"/>
                <w:szCs w:val="24"/>
                <w:lang w:eastAsia="zh-CN"/>
              </w:rPr>
              <w:t>源于</w:t>
            </w:r>
            <w:r>
              <w:rPr>
                <w:rFonts w:hint="eastAsia" w:ascii="宋体" w:hAnsi="宋体" w:eastAsia="宋体"/>
                <w:color w:val="auto"/>
                <w:sz w:val="24"/>
                <w:szCs w:val="24"/>
              </w:rPr>
              <w:t>治疗、手术及化验过程等。根据《建筑给水排水设计规范》（</w:t>
            </w:r>
            <w:r>
              <w:rPr>
                <w:rFonts w:hint="eastAsia" w:ascii="TimesNewRomanPSMT" w:hAnsi="TimesNewRomanPSMT" w:eastAsia="TimesNewRomanPSMT"/>
                <w:color w:val="auto"/>
                <w:sz w:val="24"/>
                <w:szCs w:val="24"/>
              </w:rPr>
              <w:t>GB50015-2003</w:t>
            </w:r>
            <w:r>
              <w:rPr>
                <w:rFonts w:hint="eastAsia" w:ascii="宋体" w:hAnsi="宋体" w:eastAsia="宋体"/>
                <w:color w:val="auto"/>
                <w:sz w:val="24"/>
                <w:szCs w:val="24"/>
              </w:rPr>
              <w:t>）（</w:t>
            </w:r>
            <w:r>
              <w:rPr>
                <w:rFonts w:hint="eastAsia" w:ascii="TimesNewRomanPSMT" w:hAnsi="TimesNewRomanPSMT" w:eastAsia="TimesNewRomanPSMT"/>
                <w:color w:val="auto"/>
                <w:sz w:val="24"/>
                <w:szCs w:val="24"/>
              </w:rPr>
              <w:t>2010</w:t>
            </w:r>
            <w:r>
              <w:rPr>
                <w:rFonts w:hint="eastAsia" w:ascii="宋体" w:hAnsi="宋体" w:eastAsia="宋体"/>
                <w:color w:val="auto"/>
                <w:sz w:val="24"/>
                <w:szCs w:val="24"/>
              </w:rPr>
              <w:t>年修订）“门诊部、诊疗所用水定额为每位病人每次</w:t>
            </w:r>
            <w:r>
              <w:rPr>
                <w:rFonts w:hint="eastAsia" w:ascii="TimesNewRomanPSMT" w:hAnsi="TimesNewRomanPSMT" w:eastAsia="TimesNewRomanPSMT"/>
                <w:color w:val="auto"/>
                <w:sz w:val="24"/>
                <w:szCs w:val="24"/>
              </w:rPr>
              <w:t>10</w:t>
            </w:r>
            <w:r>
              <w:rPr>
                <w:rFonts w:hint="eastAsia" w:ascii="TimesNewRomanPSMT" w:hAnsi="TimesNewRomanPSMT" w:eastAsia="宋体"/>
                <w:color w:val="auto"/>
                <w:sz w:val="24"/>
                <w:szCs w:val="24"/>
                <w:lang w:eastAsia="zh-CN"/>
              </w:rPr>
              <w:t>—</w:t>
            </w:r>
            <w:r>
              <w:rPr>
                <w:rFonts w:hint="eastAsia" w:ascii="TimesNewRomanPSMT" w:hAnsi="TimesNewRomanPSMT" w:eastAsia="TimesNewRomanPSMT"/>
                <w:color w:val="auto"/>
                <w:sz w:val="24"/>
                <w:szCs w:val="24"/>
              </w:rPr>
              <w:t>15L</w:t>
            </w:r>
            <w:r>
              <w:rPr>
                <w:rFonts w:hint="eastAsia" w:ascii="宋体" w:hAnsi="宋体" w:eastAsia="宋体"/>
                <w:color w:val="auto"/>
                <w:sz w:val="24"/>
                <w:szCs w:val="24"/>
              </w:rPr>
              <w:t>”。本项目动物诊疗用水按</w:t>
            </w:r>
            <w:r>
              <w:rPr>
                <w:rFonts w:hint="eastAsia" w:ascii="TimesNewRomanPSMT" w:hAnsi="TimesNewRomanPSMT" w:eastAsia="TimesNewRomanPSMT"/>
                <w:color w:val="auto"/>
                <w:sz w:val="24"/>
                <w:szCs w:val="24"/>
              </w:rPr>
              <w:t>12L/</w:t>
            </w:r>
            <w:r>
              <w:rPr>
                <w:rFonts w:hint="eastAsia" w:ascii="宋体" w:hAnsi="宋体" w:eastAsia="宋体"/>
                <w:color w:val="auto"/>
                <w:sz w:val="24"/>
                <w:szCs w:val="24"/>
              </w:rPr>
              <w:t>只计算，</w:t>
            </w:r>
            <w:r>
              <w:rPr>
                <w:rFonts w:hint="default" w:ascii="Times New Roman" w:hAnsi="Times New Roman" w:eastAsia="宋体" w:cs="Times New Roman"/>
                <w:color w:val="auto"/>
                <w:kern w:val="2"/>
                <w:sz w:val="24"/>
                <w:szCs w:val="24"/>
                <w:highlight w:val="none"/>
                <w:lang w:val="en-US" w:eastAsia="zh-CN" w:bidi="ar"/>
              </w:rPr>
              <w:t>日接诊宠物</w:t>
            </w:r>
            <w:r>
              <w:rPr>
                <w:rFonts w:hint="eastAsia" w:cs="Times New Roman"/>
                <w:color w:val="auto"/>
                <w:highlight w:val="none"/>
                <w:lang w:val="en-US" w:eastAsia="zh-CN"/>
              </w:rPr>
              <w:t>7</w:t>
            </w:r>
            <w:r>
              <w:rPr>
                <w:rFonts w:hint="default" w:ascii="Times New Roman" w:hAnsi="Times New Roman" w:cs="Times New Roman"/>
                <w:color w:val="auto"/>
                <w:highlight w:val="none"/>
              </w:rPr>
              <w:t>只（其中需要手术的</w:t>
            </w:r>
            <w:r>
              <w:rPr>
                <w:rFonts w:hint="eastAsia" w:cs="Times New Roman"/>
                <w:color w:val="auto"/>
                <w:highlight w:val="none"/>
                <w:lang w:val="en-US" w:eastAsia="zh-CN"/>
              </w:rPr>
              <w:t>2</w:t>
            </w:r>
            <w:r>
              <w:rPr>
                <w:rFonts w:hint="default" w:ascii="Times New Roman" w:hAnsi="Times New Roman" w:cs="Times New Roman"/>
                <w:color w:val="auto"/>
                <w:highlight w:val="none"/>
              </w:rPr>
              <w:t>只，其他</w:t>
            </w:r>
            <w:r>
              <w:rPr>
                <w:rFonts w:hint="eastAsia" w:cs="Times New Roman"/>
                <w:color w:val="auto"/>
                <w:highlight w:val="none"/>
                <w:lang w:val="en-US" w:eastAsia="zh-CN"/>
              </w:rPr>
              <w:t>5</w:t>
            </w:r>
            <w:r>
              <w:rPr>
                <w:rFonts w:hint="default" w:ascii="Times New Roman" w:hAnsi="Times New Roman" w:cs="Times New Roman"/>
                <w:color w:val="auto"/>
                <w:highlight w:val="none"/>
              </w:rPr>
              <w:t>只为打预防针等非手术诊治</w:t>
            </w:r>
            <w:r>
              <w:rPr>
                <w:rFonts w:hint="eastAsia" w:cs="Times New Roman"/>
                <w:color w:val="auto"/>
                <w:kern w:val="2"/>
                <w:sz w:val="24"/>
                <w:szCs w:val="24"/>
                <w:highlight w:val="none"/>
                <w:lang w:val="en-US" w:eastAsia="zh-CN" w:bidi="ar"/>
              </w:rPr>
              <w:t>），项目</w:t>
            </w:r>
            <w:r>
              <w:rPr>
                <w:rFonts w:hint="default" w:ascii="Times New Roman" w:hAnsi="Times New Roman" w:eastAsia="宋体" w:cs="Times New Roman"/>
                <w:color w:val="auto"/>
                <w:kern w:val="2"/>
                <w:sz w:val="24"/>
                <w:szCs w:val="24"/>
                <w:highlight w:val="none"/>
                <w:lang w:val="en-US" w:eastAsia="zh-CN" w:bidi="ar"/>
              </w:rPr>
              <w:t>年运营365天，则宠物医疗用水为0.</w:t>
            </w:r>
            <w:r>
              <w:rPr>
                <w:rFonts w:hint="eastAsia" w:cs="Times New Roman"/>
                <w:color w:val="auto"/>
                <w:kern w:val="2"/>
                <w:sz w:val="24"/>
                <w:szCs w:val="24"/>
                <w:highlight w:val="none"/>
                <w:lang w:val="en-US" w:eastAsia="zh-CN" w:bidi="ar"/>
              </w:rPr>
              <w:t>084</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3</w:t>
            </w:r>
            <w:r>
              <w:rPr>
                <w:rFonts w:hint="default" w:ascii="Times New Roman" w:hAnsi="Times New Roman" w:eastAsia="宋体" w:cs="Times New Roman"/>
                <w:color w:val="auto"/>
                <w:kern w:val="2"/>
                <w:sz w:val="24"/>
                <w:szCs w:val="24"/>
                <w:highlight w:val="none"/>
                <w:lang w:val="en-US" w:eastAsia="zh-CN" w:bidi="ar"/>
              </w:rPr>
              <w:t>/d（</w:t>
            </w:r>
            <w:r>
              <w:rPr>
                <w:rFonts w:hint="eastAsia" w:cs="Times New Roman"/>
                <w:color w:val="auto"/>
                <w:kern w:val="2"/>
                <w:sz w:val="24"/>
                <w:szCs w:val="24"/>
                <w:highlight w:val="none"/>
                <w:lang w:val="en-US" w:eastAsia="zh-CN" w:bidi="ar"/>
              </w:rPr>
              <w:t>30.66</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3</w:t>
            </w:r>
            <w:r>
              <w:rPr>
                <w:rFonts w:hint="default" w:ascii="Times New Roman" w:hAnsi="Times New Roman" w:eastAsia="宋体" w:cs="Times New Roman"/>
                <w:color w:val="auto"/>
                <w:kern w:val="2"/>
                <w:sz w:val="24"/>
                <w:szCs w:val="24"/>
                <w:highlight w:val="none"/>
                <w:vertAlign w:val="baseline"/>
                <w:lang w:val="en-US" w:eastAsia="zh-CN" w:bidi="ar"/>
              </w:rPr>
              <w:t>/a</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cs="Times New Roman"/>
                <w:color w:val="auto"/>
                <w:highlight w:val="none"/>
              </w:rPr>
              <w:t>。</w:t>
            </w:r>
          </w:p>
          <w:p w14:paraId="74C81237">
            <w:pPr>
              <w:pStyle w:val="29"/>
              <w:bidi w:val="0"/>
              <w:rPr>
                <w:rFonts w:hint="eastAsia" w:cs="Times New Roman"/>
                <w:color w:val="auto"/>
                <w:highlight w:val="none"/>
                <w:lang w:val="en-US" w:eastAsia="zh-CN"/>
              </w:rPr>
            </w:pPr>
            <w:r>
              <w:rPr>
                <w:color w:val="auto"/>
              </w:rPr>
              <w:t>③</w:t>
            </w:r>
            <w:r>
              <w:rPr>
                <w:rFonts w:hint="eastAsia" w:cs="Times New Roman"/>
                <w:color w:val="auto"/>
                <w:highlight w:val="none"/>
                <w:lang w:val="en-US" w:eastAsia="zh-CN"/>
              </w:rPr>
              <w:t>清洗消毒用水</w:t>
            </w:r>
          </w:p>
          <w:p w14:paraId="15437E35">
            <w:pPr>
              <w:pStyle w:val="29"/>
              <w:bidi w:val="0"/>
              <w:rPr>
                <w:rFonts w:hint="eastAsia" w:cs="Times New Roman"/>
                <w:color w:val="auto"/>
                <w:highlight w:val="none"/>
                <w:lang w:val="en-US" w:eastAsia="zh-CN"/>
              </w:rPr>
            </w:pPr>
            <w:r>
              <w:rPr>
                <w:rFonts w:hint="default" w:ascii="Times New Roman" w:hAnsi="Times New Roman" w:cs="Times New Roman"/>
                <w:color w:val="auto"/>
                <w:highlight w:val="none"/>
                <w:lang w:eastAsia="zh-CN"/>
              </w:rPr>
              <w:t>清洗消毒用水是诊疗前后需对所有设备器械、笼舍进行清洗和日常地面清洁消毒用水，再通过高温</w:t>
            </w:r>
            <w:r>
              <w:rPr>
                <w:rFonts w:hint="eastAsia" w:cs="Times New Roman"/>
                <w:color w:val="auto"/>
                <w:highlight w:val="none"/>
                <w:lang w:val="en-US" w:eastAsia="zh-CN"/>
              </w:rPr>
              <w:t>消毒</w:t>
            </w:r>
            <w:r>
              <w:rPr>
                <w:rFonts w:hint="default" w:ascii="Times New Roman" w:hAnsi="Times New Roman" w:cs="Times New Roman"/>
                <w:color w:val="auto"/>
                <w:highlight w:val="none"/>
                <w:lang w:eastAsia="zh-CN"/>
              </w:rPr>
              <w:t>锅对手术仪器、设备进行消毒，笼舍、地面采用消毒剂处理。根据企业提供的基础资料，清洗和消毒用水0.05m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/d</w:t>
            </w:r>
            <w:r>
              <w:rPr>
                <w:rFonts w:hint="default" w:ascii="Times New Roman" w:hAnsi="Times New Roman" w:eastAsia="宋体" w:cs="Times New Roman"/>
                <w:color w:val="auto"/>
                <w:kern w:val="2"/>
                <w:sz w:val="24"/>
                <w:szCs w:val="24"/>
                <w:highlight w:val="none"/>
                <w:lang w:val="en-US" w:eastAsia="zh-CN" w:bidi="ar"/>
              </w:rPr>
              <w:t>（</w:t>
            </w:r>
            <w:r>
              <w:rPr>
                <w:rFonts w:hint="eastAsia" w:cs="Times New Roman"/>
                <w:color w:val="auto"/>
                <w:kern w:val="2"/>
                <w:sz w:val="24"/>
                <w:szCs w:val="24"/>
                <w:highlight w:val="none"/>
                <w:lang w:val="en-US" w:eastAsia="zh-CN" w:bidi="ar"/>
              </w:rPr>
              <w:t>18.25</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3</w:t>
            </w:r>
            <w:r>
              <w:rPr>
                <w:rFonts w:hint="default" w:ascii="Times New Roman" w:hAnsi="Times New Roman" w:eastAsia="宋体" w:cs="Times New Roman"/>
                <w:color w:val="auto"/>
                <w:kern w:val="2"/>
                <w:sz w:val="24"/>
                <w:szCs w:val="24"/>
                <w:highlight w:val="none"/>
                <w:vertAlign w:val="baseline"/>
                <w:lang w:val="en-US" w:eastAsia="zh-CN" w:bidi="ar"/>
              </w:rPr>
              <w:t>/a</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cs="Times New Roman"/>
                <w:color w:val="auto"/>
                <w:highlight w:val="none"/>
                <w:lang w:eastAsia="zh-CN"/>
              </w:rPr>
              <w:t>。</w:t>
            </w:r>
          </w:p>
          <w:p w14:paraId="006662A5">
            <w:pPr>
              <w:pStyle w:val="29"/>
              <w:bidi w:val="0"/>
              <w:rPr>
                <w:rFonts w:hint="eastAsia"/>
                <w:color w:val="auto"/>
                <w:lang w:eastAsia="zh-CN"/>
              </w:rPr>
            </w:pPr>
            <w:r>
              <w:rPr>
                <w:rFonts w:hint="eastAsia"/>
                <w:color w:val="auto"/>
                <w:lang w:eastAsia="zh-CN"/>
              </w:rPr>
              <w:t>④</w:t>
            </w:r>
            <w:r>
              <w:rPr>
                <w:color w:val="auto"/>
                <w:lang w:eastAsia="zh-CN"/>
              </w:rPr>
              <w:t>未预见及漏失水量按其他总用水量的10%计，则未预见及漏失水量为</w:t>
            </w:r>
            <w:r>
              <w:rPr>
                <w:rFonts w:hint="eastAsia"/>
                <w:color w:val="auto"/>
                <w:lang w:val="en-US" w:eastAsia="zh-CN"/>
              </w:rPr>
              <w:t>24.97</w:t>
            </w:r>
            <w:r>
              <w:rPr>
                <w:color w:val="auto"/>
                <w:lang w:eastAsia="zh-CN"/>
              </w:rPr>
              <w:t>m</w:t>
            </w:r>
            <w:r>
              <w:rPr>
                <w:color w:val="auto"/>
                <w:vertAlign w:val="superscript"/>
                <w:lang w:eastAsia="zh-CN"/>
              </w:rPr>
              <w:t>3</w:t>
            </w:r>
            <w:r>
              <w:rPr>
                <w:color w:val="auto"/>
                <w:lang w:eastAsia="zh-CN"/>
              </w:rPr>
              <w:t>/a</w:t>
            </w:r>
            <w:r>
              <w:rPr>
                <w:rFonts w:hint="eastAsia"/>
                <w:color w:val="auto"/>
                <w:lang w:eastAsia="zh-CN"/>
              </w:rPr>
              <w:t>。</w:t>
            </w:r>
          </w:p>
          <w:p w14:paraId="1417D20F">
            <w:pPr>
              <w:pStyle w:val="29"/>
              <w:bidi w:val="0"/>
              <w:rPr>
                <w:rFonts w:hint="eastAsia"/>
                <w:color w:val="auto"/>
                <w:lang w:val="en-US" w:eastAsia="zh-CN"/>
              </w:rPr>
            </w:pPr>
            <w:r>
              <w:rPr>
                <w:color w:val="auto"/>
                <w:lang w:val="en-US" w:eastAsia="zh-CN"/>
              </w:rPr>
              <w:t>综上所述，本项目总用水量为</w:t>
            </w:r>
            <w:r>
              <w:rPr>
                <w:rFonts w:hint="eastAsia"/>
                <w:color w:val="auto"/>
                <w:lang w:val="en-US" w:eastAsia="zh-CN"/>
              </w:rPr>
              <w:t>274.63</w:t>
            </w:r>
            <w:r>
              <w:rPr>
                <w:color w:val="auto"/>
                <w:lang w:val="en-US" w:eastAsia="zh-CN"/>
              </w:rPr>
              <w:t>m</w:t>
            </w:r>
            <w:r>
              <w:rPr>
                <w:color w:val="auto"/>
                <w:vertAlign w:val="superscript"/>
                <w:lang w:val="en-US" w:eastAsia="zh-CN"/>
              </w:rPr>
              <w:t>3</w:t>
            </w:r>
            <w:r>
              <w:rPr>
                <w:color w:val="auto"/>
                <w:lang w:val="en-US" w:eastAsia="zh-CN"/>
              </w:rPr>
              <w:t>/a。</w:t>
            </w:r>
            <w:bookmarkEnd w:id="7"/>
          </w:p>
          <w:p w14:paraId="23BEC032">
            <w:pPr>
              <w:pStyle w:val="29"/>
              <w:bidi w:val="0"/>
              <w:rPr>
                <w:rFonts w:hint="eastAsia"/>
                <w:color w:val="auto"/>
                <w:lang w:val="en-US" w:eastAsia="zh-CN"/>
              </w:rPr>
            </w:pPr>
            <w:r>
              <w:rPr>
                <w:color w:val="auto"/>
                <w:lang w:eastAsia="zh-CN"/>
              </w:rPr>
              <w:t>（2）排水</w:t>
            </w:r>
          </w:p>
          <w:p w14:paraId="39129409">
            <w:pPr>
              <w:pStyle w:val="29"/>
              <w:bidi w:val="0"/>
              <w:rPr>
                <w:rFonts w:hint="eastAsia"/>
                <w:color w:val="auto"/>
                <w:lang w:eastAsia="zh-CN"/>
              </w:rPr>
            </w:pPr>
            <w:r>
              <w:rPr>
                <w:rFonts w:hint="default"/>
                <w:color w:val="auto"/>
              </w:rPr>
              <w:t>①生活污水</w:t>
            </w:r>
          </w:p>
          <w:p w14:paraId="744B8004">
            <w:pPr>
              <w:pStyle w:val="29"/>
              <w:bidi w:val="0"/>
              <w:rPr>
                <w:rFonts w:hint="default"/>
                <w:color w:val="auto"/>
              </w:rPr>
            </w:pPr>
            <w:r>
              <w:rPr>
                <w:rFonts w:hint="default"/>
                <w:color w:val="auto"/>
              </w:rPr>
              <w:t>生活污水产生量约为生活用水量的80%，即</w:t>
            </w:r>
            <w:r>
              <w:rPr>
                <w:rFonts w:hint="eastAsia"/>
                <w:color w:val="auto"/>
                <w:lang w:val="en-US" w:eastAsia="zh-CN"/>
              </w:rPr>
              <w:t>0.44</w:t>
            </w:r>
            <w:r>
              <w:rPr>
                <w:rFonts w:hint="default"/>
                <w:color w:val="auto"/>
                <w:lang w:eastAsia="zh-CN"/>
              </w:rPr>
              <w:t>m</w:t>
            </w:r>
            <w:r>
              <w:rPr>
                <w:rFonts w:hint="default"/>
                <w:color w:val="auto"/>
                <w:vertAlign w:val="superscript"/>
                <w:lang w:eastAsia="zh-CN"/>
              </w:rPr>
              <w:t>3</w:t>
            </w:r>
            <w:r>
              <w:rPr>
                <w:rFonts w:hint="default"/>
                <w:color w:val="auto"/>
              </w:rPr>
              <w:t>/</w:t>
            </w:r>
            <w:r>
              <w:rPr>
                <w:rFonts w:hint="default"/>
                <w:color w:val="auto"/>
                <w:lang w:val="en-US" w:eastAsia="zh-CN"/>
              </w:rPr>
              <w:t>d</w:t>
            </w:r>
            <w:r>
              <w:rPr>
                <w:rFonts w:hint="eastAsia"/>
                <w:color w:val="auto"/>
                <w:lang w:eastAsia="zh-CN"/>
              </w:rPr>
              <w:t>（</w:t>
            </w:r>
            <w:r>
              <w:rPr>
                <w:rFonts w:hint="eastAsia"/>
                <w:color w:val="auto"/>
                <w:lang w:val="en-US" w:eastAsia="zh-CN"/>
              </w:rPr>
              <w:t>160.6</w:t>
            </w:r>
            <w:r>
              <w:rPr>
                <w:rFonts w:hint="default"/>
                <w:color w:val="auto"/>
                <w:lang w:eastAsia="zh-CN"/>
              </w:rPr>
              <w:t>m</w:t>
            </w:r>
            <w:r>
              <w:rPr>
                <w:rFonts w:hint="default"/>
                <w:color w:val="auto"/>
                <w:vertAlign w:val="superscript"/>
                <w:lang w:eastAsia="zh-CN"/>
              </w:rPr>
              <w:t>3</w:t>
            </w:r>
            <w:r>
              <w:rPr>
                <w:rFonts w:hint="default"/>
                <w:color w:val="auto"/>
                <w:lang w:eastAsia="zh-CN"/>
              </w:rPr>
              <w:t>/a</w:t>
            </w:r>
            <w:r>
              <w:rPr>
                <w:rFonts w:hint="eastAsia"/>
                <w:color w:val="auto"/>
                <w:lang w:eastAsia="zh-CN"/>
              </w:rPr>
              <w:t>）</w:t>
            </w:r>
            <w:r>
              <w:rPr>
                <w:rFonts w:hint="default"/>
                <w:color w:val="auto"/>
              </w:rPr>
              <w:t>，生活污水直排入市政排水管网，</w:t>
            </w:r>
            <w:r>
              <w:rPr>
                <w:rFonts w:hint="eastAsia"/>
                <w:color w:val="auto"/>
                <w:lang w:val="en-US" w:eastAsia="zh-CN"/>
              </w:rPr>
              <w:t>最终进入</w:t>
            </w:r>
            <w:r>
              <w:rPr>
                <w:rFonts w:hint="eastAsia" w:cs="Times New Roman"/>
                <w:color w:val="auto"/>
                <w:highlight w:val="none"/>
                <w:lang w:val="en-US" w:eastAsia="zh-CN"/>
              </w:rPr>
              <w:t>库尔勒市老城区污水处理厂</w:t>
            </w:r>
            <w:r>
              <w:rPr>
                <w:rFonts w:hint="default"/>
                <w:color w:val="auto"/>
              </w:rPr>
              <w:t>。</w:t>
            </w:r>
          </w:p>
          <w:p w14:paraId="497CA66C">
            <w:pPr>
              <w:pStyle w:val="29"/>
              <w:bidi w:val="0"/>
              <w:rPr>
                <w:rFonts w:hint="eastAsia"/>
                <w:color w:val="auto"/>
                <w:lang w:eastAsia="zh-CN"/>
              </w:rPr>
            </w:pPr>
            <w:r>
              <w:rPr>
                <w:rFonts w:hint="default"/>
                <w:color w:val="auto"/>
              </w:rPr>
              <w:t>②宠物医疗废水</w:t>
            </w:r>
          </w:p>
          <w:p w14:paraId="19446A8F">
            <w:pPr>
              <w:pStyle w:val="29"/>
              <w:keepNext w:val="0"/>
              <w:keepLines w:val="0"/>
              <w:pageBreakBefore w:val="0"/>
              <w:widowControl/>
              <w:kinsoku/>
              <w:wordWrap/>
              <w:overflowPunct/>
              <w:topLinePunct w:val="0"/>
              <w:autoSpaceDE w:val="0"/>
              <w:autoSpaceDN w:val="0"/>
              <w:bidi w:val="0"/>
              <w:adjustRightInd/>
              <w:snapToGrid/>
              <w:textAlignment w:val="baseline"/>
              <w:rPr>
                <w:rFonts w:hint="default"/>
                <w:color w:val="auto"/>
              </w:rPr>
            </w:pPr>
            <w:r>
              <w:rPr>
                <w:rFonts w:hint="default"/>
                <w:color w:val="auto"/>
              </w:rPr>
              <w:t>宠物医疗废水包括手术室、</w:t>
            </w:r>
            <w:r>
              <w:rPr>
                <w:rFonts w:hint="eastAsia" w:cs="Times New Roman"/>
                <w:color w:val="auto"/>
                <w:highlight w:val="none"/>
                <w:lang w:val="en-US" w:eastAsia="zh-CN"/>
              </w:rPr>
              <w:t>处置室</w:t>
            </w:r>
            <w:r>
              <w:rPr>
                <w:rFonts w:hint="default"/>
                <w:color w:val="auto"/>
              </w:rPr>
              <w:t>、诊断室等产生的废水，主要为绝育手术，胸腔或腹腔手术过程中冲洗废水、消毒、医护人员术后洗手废水。本项目宠物医疗废水产生量按照用水量的</w:t>
            </w:r>
            <w:r>
              <w:rPr>
                <w:rFonts w:hint="eastAsia"/>
                <w:color w:val="auto"/>
                <w:lang w:val="en-US" w:eastAsia="zh-CN"/>
              </w:rPr>
              <w:t>8</w:t>
            </w:r>
            <w:r>
              <w:rPr>
                <w:rFonts w:hint="default"/>
                <w:color w:val="auto"/>
              </w:rPr>
              <w:t>0%计，即0.</w:t>
            </w:r>
            <w:r>
              <w:rPr>
                <w:rFonts w:hint="eastAsia"/>
                <w:color w:val="auto"/>
                <w:lang w:val="en-US" w:eastAsia="zh-CN"/>
              </w:rPr>
              <w:t>0672</w:t>
            </w:r>
            <w:r>
              <w:rPr>
                <w:rFonts w:hint="default"/>
                <w:color w:val="auto"/>
                <w:lang w:eastAsia="zh-CN"/>
              </w:rPr>
              <w:t>m</w:t>
            </w:r>
            <w:r>
              <w:rPr>
                <w:rFonts w:hint="default"/>
                <w:color w:val="auto"/>
                <w:vertAlign w:val="superscript"/>
                <w:lang w:eastAsia="zh-CN"/>
              </w:rPr>
              <w:t>3</w:t>
            </w:r>
            <w:r>
              <w:rPr>
                <w:rFonts w:hint="default"/>
                <w:color w:val="auto"/>
              </w:rPr>
              <w:t>/</w:t>
            </w:r>
            <w:r>
              <w:rPr>
                <w:rFonts w:hint="default"/>
                <w:color w:val="auto"/>
                <w:lang w:val="en-US" w:eastAsia="zh-CN"/>
              </w:rPr>
              <w:t>d</w:t>
            </w:r>
            <w:r>
              <w:rPr>
                <w:rFonts w:hint="default"/>
                <w:color w:val="auto"/>
              </w:rPr>
              <w:t>（</w:t>
            </w:r>
            <w:r>
              <w:rPr>
                <w:rFonts w:hint="eastAsia"/>
                <w:color w:val="auto"/>
                <w:lang w:val="en-US" w:eastAsia="zh-CN"/>
              </w:rPr>
              <w:t>24.53</w:t>
            </w:r>
            <w:r>
              <w:rPr>
                <w:rFonts w:hint="default"/>
                <w:color w:val="auto"/>
                <w:lang w:eastAsia="zh-CN"/>
              </w:rPr>
              <w:t>m</w:t>
            </w:r>
            <w:r>
              <w:rPr>
                <w:rFonts w:hint="default"/>
                <w:color w:val="auto"/>
                <w:vertAlign w:val="superscript"/>
                <w:lang w:eastAsia="zh-CN"/>
              </w:rPr>
              <w:t>3</w:t>
            </w:r>
            <w:r>
              <w:rPr>
                <w:rFonts w:hint="default"/>
                <w:color w:val="auto"/>
                <w:lang w:eastAsia="zh-CN"/>
              </w:rPr>
              <w:t>/a</w:t>
            </w:r>
            <w:r>
              <w:rPr>
                <w:rFonts w:hint="default"/>
                <w:color w:val="auto"/>
              </w:rPr>
              <w:t>），本项目医疗废水</w:t>
            </w:r>
            <w:bookmarkStart w:id="8" w:name="OLE_LINK19"/>
            <w:r>
              <w:rPr>
                <w:rFonts w:hint="default"/>
                <w:color w:val="auto"/>
              </w:rPr>
              <w:t>统一收集经污水处理设施（</w:t>
            </w:r>
            <w:r>
              <w:rPr>
                <w:rFonts w:hint="eastAsia"/>
                <w:color w:val="auto"/>
                <w:lang w:eastAsia="zh-CN"/>
              </w:rPr>
              <w:t>“</w:t>
            </w:r>
            <w:r>
              <w:rPr>
                <w:rFonts w:hint="eastAsia"/>
                <w:color w:val="auto"/>
                <w:lang w:val="en-US" w:eastAsia="zh-CN"/>
              </w:rPr>
              <w:t>滤筛</w:t>
            </w:r>
            <w:r>
              <w:rPr>
                <w:rFonts w:hint="default"/>
                <w:color w:val="auto"/>
                <w:lang w:val="en-US" w:eastAsia="zh-CN"/>
              </w:rPr>
              <w:t>+氯片</w:t>
            </w:r>
            <w:r>
              <w:rPr>
                <w:rFonts w:hint="eastAsia"/>
                <w:color w:val="auto"/>
                <w:lang w:eastAsia="zh-CN"/>
              </w:rPr>
              <w:t>”</w:t>
            </w:r>
            <w:r>
              <w:rPr>
                <w:rFonts w:hint="default"/>
                <w:color w:val="auto"/>
              </w:rPr>
              <w:t>）预处理后排入市政下水管网，</w:t>
            </w:r>
            <w:r>
              <w:rPr>
                <w:rFonts w:hint="eastAsia"/>
                <w:color w:val="auto"/>
                <w:lang w:val="en-US" w:eastAsia="zh-CN"/>
              </w:rPr>
              <w:t>最终进入</w:t>
            </w:r>
            <w:r>
              <w:rPr>
                <w:rFonts w:hint="eastAsia" w:cs="Times New Roman"/>
                <w:color w:val="auto"/>
                <w:highlight w:val="none"/>
                <w:lang w:val="en-US" w:eastAsia="zh-CN"/>
              </w:rPr>
              <w:t>库尔勒市老城区污水处理厂</w:t>
            </w:r>
            <w:r>
              <w:rPr>
                <w:rFonts w:hint="default"/>
                <w:color w:val="auto"/>
              </w:rPr>
              <w:t>。</w:t>
            </w:r>
          </w:p>
          <w:p w14:paraId="471362EB">
            <w:pPr>
              <w:pStyle w:val="29"/>
              <w:keepNext w:val="0"/>
              <w:keepLines w:val="0"/>
              <w:pageBreakBefore w:val="0"/>
              <w:widowControl/>
              <w:kinsoku/>
              <w:wordWrap/>
              <w:overflowPunct/>
              <w:topLinePunct w:val="0"/>
              <w:autoSpaceDE w:val="0"/>
              <w:autoSpaceDN w:val="0"/>
              <w:bidi w:val="0"/>
              <w:adjustRightInd/>
              <w:snapToGrid/>
              <w:textAlignment w:val="baseline"/>
              <w:rPr>
                <w:rFonts w:hint="eastAsia" w:cs="Times New Roman"/>
                <w:color w:val="auto"/>
                <w:highlight w:val="none"/>
                <w:lang w:val="en-US" w:eastAsia="zh-CN"/>
              </w:rPr>
            </w:pPr>
            <w:r>
              <w:rPr>
                <w:rFonts w:hint="default" w:ascii="Times New Roman" w:hAnsi="Times New Roman" w:cs="Times New Roman"/>
                <w:color w:val="auto"/>
                <w:highlight w:val="none"/>
              </w:rPr>
              <w:t>③</w:t>
            </w:r>
            <w:r>
              <w:rPr>
                <w:rFonts w:hint="eastAsia" w:cs="Times New Roman"/>
                <w:color w:val="auto"/>
                <w:highlight w:val="none"/>
                <w:lang w:val="en-US" w:eastAsia="zh-CN"/>
              </w:rPr>
              <w:t>清洗消毒废水</w:t>
            </w:r>
          </w:p>
          <w:p w14:paraId="2072B532">
            <w:pPr>
              <w:pStyle w:val="29"/>
              <w:keepNext w:val="0"/>
              <w:keepLines w:val="0"/>
              <w:pageBreakBefore w:val="0"/>
              <w:widowControl/>
              <w:kinsoku/>
              <w:wordWrap/>
              <w:overflowPunct/>
              <w:topLinePunct w:val="0"/>
              <w:autoSpaceDE w:val="0"/>
              <w:autoSpaceDN w:val="0"/>
              <w:bidi w:val="0"/>
              <w:adjustRightInd/>
              <w:snapToGrid/>
              <w:textAlignment w:val="baseline"/>
              <w:rPr>
                <w:rFonts w:hint="default" w:cs="Times New Roman"/>
                <w:color w:val="auto"/>
                <w:highlight w:val="none"/>
                <w:lang w:val="en-US" w:eastAsia="zh-CN"/>
              </w:rPr>
            </w:pPr>
            <w:r>
              <w:rPr>
                <w:rFonts w:hint="eastAsia" w:cs="Times New Roman"/>
                <w:color w:val="auto"/>
                <w:highlight w:val="none"/>
                <w:lang w:val="en-US" w:eastAsia="zh-CN"/>
              </w:rPr>
              <w:t>清洗消毒</w:t>
            </w:r>
            <w:r>
              <w:rPr>
                <w:rFonts w:hint="default" w:ascii="Times New Roman" w:hAnsi="Times New Roman" w:cs="Times New Roman"/>
                <w:color w:val="auto"/>
                <w:highlight w:val="none"/>
              </w:rPr>
              <w:t>废水产生量按照用水量</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0%计，即</w:t>
            </w:r>
            <w:r>
              <w:rPr>
                <w:rFonts w:hint="eastAsia" w:cs="Times New Roman"/>
                <w:color w:val="auto"/>
                <w:highlight w:val="none"/>
                <w:lang w:val="en-US" w:eastAsia="zh-CN"/>
              </w:rPr>
              <w:t>0.04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w:t>
            </w:r>
            <w:r>
              <w:rPr>
                <w:rFonts w:hint="eastAsia" w:cs="Times New Roman"/>
                <w:color w:val="auto"/>
                <w:highlight w:val="none"/>
                <w:lang w:val="en-US" w:eastAsia="zh-CN"/>
              </w:rPr>
              <w:t>14.6</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rPr>
              <w:t>），</w:t>
            </w:r>
            <w:r>
              <w:rPr>
                <w:rFonts w:hint="eastAsia" w:cs="Times New Roman"/>
                <w:color w:val="auto"/>
                <w:highlight w:val="none"/>
                <w:lang w:val="en-US" w:eastAsia="zh-CN"/>
              </w:rPr>
              <w:t>清洗消毒</w:t>
            </w:r>
            <w:r>
              <w:rPr>
                <w:rFonts w:hint="default" w:ascii="Times New Roman" w:hAnsi="Times New Roman" w:cs="Times New Roman"/>
                <w:color w:val="auto"/>
                <w:highlight w:val="none"/>
              </w:rPr>
              <w:t>废水收集</w:t>
            </w:r>
            <w:r>
              <w:rPr>
                <w:rFonts w:hint="eastAsia" w:cs="Times New Roman"/>
                <w:color w:val="auto"/>
                <w:highlight w:val="none"/>
                <w:lang w:val="en-US" w:eastAsia="zh-CN"/>
              </w:rPr>
              <w:t>后与</w:t>
            </w:r>
            <w:r>
              <w:rPr>
                <w:rFonts w:hint="default" w:ascii="Times New Roman" w:hAnsi="Times New Roman" w:cs="Times New Roman"/>
                <w:color w:val="auto"/>
                <w:highlight w:val="none"/>
              </w:rPr>
              <w:t>医疗废水统一经污水处理设施（</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滤筛+氯片</w:t>
            </w:r>
            <w:r>
              <w:rPr>
                <w:rFonts w:hint="eastAsia" w:cs="Times New Roman"/>
                <w:color w:val="auto"/>
                <w:highlight w:val="none"/>
                <w:lang w:eastAsia="zh-CN"/>
              </w:rPr>
              <w:t>”</w:t>
            </w:r>
            <w:r>
              <w:rPr>
                <w:rFonts w:hint="default" w:ascii="Times New Roman" w:hAnsi="Times New Roman" w:cs="Times New Roman"/>
                <w:color w:val="auto"/>
                <w:highlight w:val="none"/>
              </w:rPr>
              <w:t>）预处理后排入市政下水管网。</w:t>
            </w:r>
          </w:p>
          <w:bookmarkEnd w:id="8"/>
          <w:p w14:paraId="1D8F0577">
            <w:pPr>
              <w:pStyle w:val="29"/>
              <w:bidi w:val="0"/>
              <w:rPr>
                <w:rFonts w:hint="default"/>
                <w:color w:val="auto"/>
                <w:highlight w:val="none"/>
                <w:lang w:val="en-US" w:eastAsia="zh-CN"/>
              </w:rPr>
            </w:pPr>
            <w:r>
              <w:rPr>
                <w:rFonts w:hint="default"/>
                <w:color w:val="auto"/>
                <w:highlight w:val="none"/>
                <w:lang w:val="en-US" w:eastAsia="zh-CN"/>
              </w:rPr>
              <w:t>建设项目给排水平衡表详见表2-</w:t>
            </w:r>
            <w:r>
              <w:rPr>
                <w:rFonts w:hint="eastAsia"/>
                <w:color w:val="auto"/>
                <w:highlight w:val="none"/>
                <w:lang w:val="en-US" w:eastAsia="zh-CN"/>
              </w:rPr>
              <w:t>5</w:t>
            </w:r>
            <w:r>
              <w:rPr>
                <w:rFonts w:hint="default"/>
                <w:color w:val="auto"/>
                <w:highlight w:val="none"/>
                <w:lang w:val="en-US" w:eastAsia="zh-CN"/>
              </w:rPr>
              <w:t>，水平衡图如图2-1。</w:t>
            </w:r>
          </w:p>
          <w:p w14:paraId="5218FEB2">
            <w:pPr>
              <w:widowControl w:val="0"/>
              <w:snapToGrid w:val="0"/>
              <w:spacing w:after="0" w:line="450" w:lineRule="exact"/>
              <w:ind w:left="0" w:leftChars="0" w:firstLine="0" w:firstLineChars="0"/>
              <w:jc w:val="center"/>
              <w:rPr>
                <w:color w:val="auto"/>
                <w:highlight w:val="none"/>
                <w:lang w:eastAsia="zh-CN"/>
              </w:rPr>
            </w:pPr>
            <w:r>
              <w:rPr>
                <w:rStyle w:val="30"/>
                <w:color w:val="auto"/>
                <w:highlight w:val="none"/>
                <w:lang w:eastAsia="zh-CN"/>
              </w:rPr>
              <w:t>表2-</w:t>
            </w:r>
            <w:r>
              <w:rPr>
                <w:rStyle w:val="30"/>
                <w:rFonts w:hint="eastAsia"/>
                <w:color w:val="auto"/>
                <w:highlight w:val="none"/>
                <w:lang w:val="en-US" w:eastAsia="zh-CN"/>
              </w:rPr>
              <w:t>5</w:t>
            </w:r>
            <w:r>
              <w:rPr>
                <w:rStyle w:val="30"/>
                <w:rFonts w:hint="eastAsia"/>
                <w:color w:val="auto"/>
                <w:highlight w:val="none"/>
                <w:lang w:eastAsia="zh-CN"/>
              </w:rPr>
              <w:t xml:space="preserve"> </w:t>
            </w:r>
            <w:r>
              <w:rPr>
                <w:rStyle w:val="30"/>
                <w:rFonts w:hint="eastAsia"/>
                <w:color w:val="auto"/>
                <w:highlight w:val="none"/>
                <w:lang w:val="en-US" w:eastAsia="zh-CN"/>
              </w:rPr>
              <w:t xml:space="preserve"> </w:t>
            </w:r>
            <w:r>
              <w:rPr>
                <w:rStyle w:val="30"/>
                <w:rFonts w:hint="eastAsia"/>
                <w:color w:val="auto"/>
                <w:highlight w:val="none"/>
                <w:lang w:eastAsia="zh-CN"/>
              </w:rPr>
              <w:t xml:space="preserve"> </w:t>
            </w:r>
            <w:r>
              <w:rPr>
                <w:rStyle w:val="30"/>
                <w:color w:val="auto"/>
                <w:highlight w:val="none"/>
                <w:lang w:eastAsia="zh-CN"/>
              </w:rPr>
              <w:t>项目用</w:t>
            </w:r>
            <w:r>
              <w:rPr>
                <w:rStyle w:val="30"/>
                <w:rFonts w:hint="eastAsia"/>
                <w:color w:val="auto"/>
                <w:highlight w:val="none"/>
                <w:lang w:val="en-US" w:eastAsia="zh-CN"/>
              </w:rPr>
              <w:t>排</w:t>
            </w:r>
            <w:r>
              <w:rPr>
                <w:rStyle w:val="30"/>
                <w:color w:val="auto"/>
                <w:highlight w:val="none"/>
                <w:lang w:eastAsia="zh-CN"/>
              </w:rPr>
              <w:t xml:space="preserve">水量估算表 </w:t>
            </w:r>
            <w:r>
              <w:rPr>
                <w:b/>
                <w:color w:val="auto"/>
                <w:sz w:val="21"/>
                <w:szCs w:val="21"/>
                <w:highlight w:val="none"/>
                <w:lang w:eastAsia="zh-CN"/>
              </w:rPr>
              <w:t xml:space="preserve">  单位</w:t>
            </w:r>
            <w:r>
              <w:rPr>
                <w:rFonts w:hint="eastAsia"/>
                <w:b/>
                <w:color w:val="auto"/>
                <w:sz w:val="21"/>
                <w:szCs w:val="21"/>
                <w:highlight w:val="none"/>
                <w:lang w:eastAsia="zh-CN"/>
              </w:rPr>
              <w:t>：</w:t>
            </w:r>
            <w:r>
              <w:rPr>
                <w:b/>
                <w:color w:val="auto"/>
                <w:sz w:val="21"/>
                <w:szCs w:val="21"/>
                <w:highlight w:val="none"/>
                <w:lang w:eastAsia="zh-CN"/>
              </w:rPr>
              <w:t>m</w:t>
            </w:r>
            <w:r>
              <w:rPr>
                <w:b/>
                <w:color w:val="auto"/>
                <w:sz w:val="21"/>
                <w:szCs w:val="21"/>
                <w:highlight w:val="none"/>
                <w:vertAlign w:val="superscript"/>
                <w:lang w:eastAsia="zh-CN"/>
              </w:rPr>
              <w:t>3</w:t>
            </w:r>
            <w:r>
              <w:rPr>
                <w:b/>
                <w:color w:val="auto"/>
                <w:sz w:val="21"/>
                <w:szCs w:val="21"/>
                <w:highlight w:val="none"/>
                <w:lang w:eastAsia="zh-CN"/>
              </w:rPr>
              <w:t>/</w:t>
            </w:r>
            <w:r>
              <w:rPr>
                <w:rFonts w:hint="eastAsia"/>
                <w:b/>
                <w:color w:val="auto"/>
                <w:sz w:val="21"/>
                <w:szCs w:val="21"/>
                <w:highlight w:val="none"/>
                <w:lang w:eastAsia="zh-CN"/>
              </w:rPr>
              <w:t>a</w:t>
            </w:r>
          </w:p>
          <w:tbl>
            <w:tblPr>
              <w:tblStyle w:val="14"/>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098"/>
              <w:gridCol w:w="1289"/>
              <w:gridCol w:w="1560"/>
              <w:gridCol w:w="1714"/>
              <w:gridCol w:w="996"/>
            </w:tblGrid>
            <w:tr w14:paraId="0EA1D9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420" w:type="pct"/>
                  <w:tcBorders>
                    <w:left w:val="nil"/>
                  </w:tcBorders>
                  <w:noWrap/>
                  <w:vAlign w:val="center"/>
                </w:tcPr>
                <w:p w14:paraId="0E095C94">
                  <w:pPr>
                    <w:adjustRightInd w:val="0"/>
                    <w:snapToGrid w:val="0"/>
                    <w:spacing w:line="240" w:lineRule="auto"/>
                    <w:ind w:firstLine="0" w:firstLineChars="0"/>
                    <w:jc w:val="center"/>
                    <w:rPr>
                      <w:b/>
                      <w:bCs/>
                      <w:color w:val="auto"/>
                      <w:sz w:val="21"/>
                      <w:szCs w:val="21"/>
                      <w:highlight w:val="none"/>
                      <w:lang w:eastAsia="zh-CN"/>
                    </w:rPr>
                  </w:pPr>
                  <w:r>
                    <w:rPr>
                      <w:b/>
                      <w:bCs/>
                      <w:color w:val="auto"/>
                      <w:sz w:val="21"/>
                      <w:szCs w:val="21"/>
                      <w:highlight w:val="none"/>
                      <w:lang w:eastAsia="zh-CN"/>
                    </w:rPr>
                    <w:t>序号</w:t>
                  </w:r>
                </w:p>
              </w:tc>
              <w:tc>
                <w:tcPr>
                  <w:tcW w:w="1254" w:type="pct"/>
                  <w:noWrap/>
                  <w:vAlign w:val="center"/>
                </w:tcPr>
                <w:p w14:paraId="36D19711">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种类</w:t>
                  </w:r>
                </w:p>
              </w:tc>
              <w:tc>
                <w:tcPr>
                  <w:tcW w:w="771" w:type="pct"/>
                  <w:noWrap/>
                  <w:vAlign w:val="center"/>
                </w:tcPr>
                <w:p w14:paraId="67EC93C2">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用水量</w:t>
                  </w:r>
                </w:p>
              </w:tc>
              <w:tc>
                <w:tcPr>
                  <w:tcW w:w="932" w:type="pct"/>
                  <w:noWrap w:val="0"/>
                  <w:vAlign w:val="center"/>
                </w:tcPr>
                <w:p w14:paraId="292E53B4">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耗水量</w:t>
                  </w:r>
                </w:p>
              </w:tc>
              <w:tc>
                <w:tcPr>
                  <w:tcW w:w="1025" w:type="pct"/>
                  <w:noWrap w:val="0"/>
                  <w:vAlign w:val="center"/>
                </w:tcPr>
                <w:p w14:paraId="2993ADDC">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排水量</w:t>
                  </w:r>
                </w:p>
              </w:tc>
              <w:tc>
                <w:tcPr>
                  <w:tcW w:w="595" w:type="pct"/>
                  <w:tcBorders>
                    <w:right w:val="nil"/>
                  </w:tcBorders>
                  <w:noWrap/>
                  <w:vAlign w:val="center"/>
                </w:tcPr>
                <w:p w14:paraId="24A31887">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备注</w:t>
                  </w:r>
                </w:p>
              </w:tc>
            </w:tr>
            <w:tr w14:paraId="5EE2C5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420" w:type="pct"/>
                  <w:tcBorders>
                    <w:left w:val="nil"/>
                  </w:tcBorders>
                  <w:noWrap/>
                  <w:vAlign w:val="center"/>
                </w:tcPr>
                <w:p w14:paraId="0D68BC29">
                  <w:pPr>
                    <w:adjustRightInd w:val="0"/>
                    <w:snapToGrid w:val="0"/>
                    <w:spacing w:line="240" w:lineRule="auto"/>
                    <w:ind w:firstLine="0" w:firstLineChars="0"/>
                    <w:jc w:val="center"/>
                    <w:rPr>
                      <w:color w:val="auto"/>
                      <w:sz w:val="21"/>
                      <w:szCs w:val="21"/>
                      <w:highlight w:val="none"/>
                      <w:lang w:eastAsia="zh-CN"/>
                    </w:rPr>
                  </w:pPr>
                  <w:r>
                    <w:rPr>
                      <w:color w:val="auto"/>
                      <w:sz w:val="21"/>
                      <w:szCs w:val="21"/>
                      <w:highlight w:val="none"/>
                      <w:lang w:eastAsia="zh-CN"/>
                    </w:rPr>
                    <w:t>1</w:t>
                  </w:r>
                </w:p>
              </w:tc>
              <w:tc>
                <w:tcPr>
                  <w:tcW w:w="1254" w:type="pct"/>
                  <w:noWrap/>
                  <w:vAlign w:val="center"/>
                </w:tcPr>
                <w:p w14:paraId="668896DD">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生活用水</w:t>
                  </w:r>
                </w:p>
              </w:tc>
              <w:tc>
                <w:tcPr>
                  <w:tcW w:w="771" w:type="pct"/>
                  <w:noWrap/>
                  <w:vAlign w:val="center"/>
                </w:tcPr>
                <w:p w14:paraId="62FFCB8D">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200.75</w:t>
                  </w:r>
                </w:p>
              </w:tc>
              <w:tc>
                <w:tcPr>
                  <w:tcW w:w="932" w:type="pct"/>
                  <w:noWrap w:val="0"/>
                  <w:vAlign w:val="center"/>
                </w:tcPr>
                <w:p w14:paraId="2CF16A42">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40.15</w:t>
                  </w:r>
                </w:p>
              </w:tc>
              <w:tc>
                <w:tcPr>
                  <w:tcW w:w="1025" w:type="pct"/>
                  <w:noWrap w:val="0"/>
                  <w:vAlign w:val="center"/>
                </w:tcPr>
                <w:p w14:paraId="5CBFB38F">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160.6</w:t>
                  </w:r>
                </w:p>
              </w:tc>
              <w:tc>
                <w:tcPr>
                  <w:tcW w:w="595" w:type="pct"/>
                  <w:tcBorders>
                    <w:right w:val="nil"/>
                  </w:tcBorders>
                  <w:noWrap/>
                  <w:vAlign w:val="center"/>
                </w:tcPr>
                <w:p w14:paraId="1DB70D6A">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6407BC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420" w:type="pct"/>
                  <w:tcBorders>
                    <w:left w:val="nil"/>
                  </w:tcBorders>
                  <w:noWrap/>
                  <w:vAlign w:val="center"/>
                </w:tcPr>
                <w:p w14:paraId="1B037EBB">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2</w:t>
                  </w:r>
                </w:p>
              </w:tc>
              <w:tc>
                <w:tcPr>
                  <w:tcW w:w="1254" w:type="pct"/>
                  <w:noWrap/>
                  <w:vAlign w:val="center"/>
                </w:tcPr>
                <w:p w14:paraId="0143FB41">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宠物医疗用水</w:t>
                  </w:r>
                </w:p>
              </w:tc>
              <w:tc>
                <w:tcPr>
                  <w:tcW w:w="771" w:type="pct"/>
                  <w:noWrap/>
                  <w:vAlign w:val="center"/>
                </w:tcPr>
                <w:p w14:paraId="4DDF20C5">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30.66</w:t>
                  </w:r>
                </w:p>
              </w:tc>
              <w:tc>
                <w:tcPr>
                  <w:tcW w:w="932" w:type="pct"/>
                  <w:noWrap w:val="0"/>
                  <w:vAlign w:val="center"/>
                </w:tcPr>
                <w:p w14:paraId="7E4F8EFE">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6.13</w:t>
                  </w:r>
                </w:p>
              </w:tc>
              <w:tc>
                <w:tcPr>
                  <w:tcW w:w="1025" w:type="pct"/>
                  <w:noWrap w:val="0"/>
                  <w:vAlign w:val="center"/>
                </w:tcPr>
                <w:p w14:paraId="5568BACE">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24.53</w:t>
                  </w:r>
                </w:p>
              </w:tc>
              <w:tc>
                <w:tcPr>
                  <w:tcW w:w="595" w:type="pct"/>
                  <w:tcBorders>
                    <w:right w:val="nil"/>
                  </w:tcBorders>
                  <w:noWrap/>
                  <w:vAlign w:val="center"/>
                </w:tcPr>
                <w:p w14:paraId="3A3CE750">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2F0EE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420" w:type="pct"/>
                  <w:tcBorders>
                    <w:left w:val="nil"/>
                  </w:tcBorders>
                  <w:noWrap/>
                  <w:vAlign w:val="center"/>
                </w:tcPr>
                <w:p w14:paraId="2A85A621">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3</w:t>
                  </w:r>
                </w:p>
              </w:tc>
              <w:tc>
                <w:tcPr>
                  <w:tcW w:w="1254" w:type="pct"/>
                  <w:noWrap/>
                  <w:vAlign w:val="center"/>
                </w:tcPr>
                <w:p w14:paraId="64893792">
                  <w:pPr>
                    <w:adjustRightInd w:val="0"/>
                    <w:snapToGrid w:val="0"/>
                    <w:spacing w:line="240" w:lineRule="auto"/>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清洗消毒用水</w:t>
                  </w:r>
                </w:p>
              </w:tc>
              <w:tc>
                <w:tcPr>
                  <w:tcW w:w="771" w:type="pct"/>
                  <w:noWrap/>
                  <w:vAlign w:val="center"/>
                </w:tcPr>
                <w:p w14:paraId="1E22A8B5">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18.25</w:t>
                  </w:r>
                </w:p>
              </w:tc>
              <w:tc>
                <w:tcPr>
                  <w:tcW w:w="932" w:type="pct"/>
                  <w:noWrap w:val="0"/>
                  <w:vAlign w:val="center"/>
                </w:tcPr>
                <w:p w14:paraId="3099D6AC">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3.65</w:t>
                  </w:r>
                </w:p>
              </w:tc>
              <w:tc>
                <w:tcPr>
                  <w:tcW w:w="1025" w:type="pct"/>
                  <w:noWrap w:val="0"/>
                  <w:vAlign w:val="center"/>
                </w:tcPr>
                <w:p w14:paraId="189C565B">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14.6</w:t>
                  </w:r>
                </w:p>
              </w:tc>
              <w:tc>
                <w:tcPr>
                  <w:tcW w:w="595" w:type="pct"/>
                  <w:tcBorders>
                    <w:right w:val="nil"/>
                  </w:tcBorders>
                  <w:noWrap/>
                  <w:vAlign w:val="center"/>
                </w:tcPr>
                <w:p w14:paraId="67CAE503">
                  <w:pPr>
                    <w:adjustRightInd w:val="0"/>
                    <w:snapToGrid w:val="0"/>
                    <w:spacing w:line="240" w:lineRule="auto"/>
                    <w:ind w:firstLine="0" w:firstLineChars="0"/>
                    <w:jc w:val="center"/>
                    <w:rPr>
                      <w:rFonts w:hint="eastAsia"/>
                      <w:color w:val="auto"/>
                      <w:sz w:val="21"/>
                      <w:szCs w:val="21"/>
                      <w:highlight w:val="none"/>
                      <w:lang w:val="en-US" w:eastAsia="zh-CN"/>
                    </w:rPr>
                  </w:pPr>
                </w:p>
              </w:tc>
            </w:tr>
            <w:tr w14:paraId="0C4107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20" w:type="pct"/>
                  <w:tcBorders>
                    <w:top w:val="single" w:color="auto" w:sz="2" w:space="0"/>
                    <w:left w:val="nil"/>
                  </w:tcBorders>
                  <w:noWrap/>
                  <w:vAlign w:val="center"/>
                </w:tcPr>
                <w:p w14:paraId="15591F53">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4</w:t>
                  </w:r>
                </w:p>
              </w:tc>
              <w:tc>
                <w:tcPr>
                  <w:tcW w:w="1254" w:type="pct"/>
                  <w:tcBorders>
                    <w:top w:val="single" w:color="auto" w:sz="2" w:space="0"/>
                  </w:tcBorders>
                  <w:noWrap/>
                  <w:vAlign w:val="center"/>
                </w:tcPr>
                <w:p w14:paraId="715055EE">
                  <w:pPr>
                    <w:adjustRightInd w:val="0"/>
                    <w:snapToGrid w:val="0"/>
                    <w:spacing w:line="240" w:lineRule="auto"/>
                    <w:ind w:firstLine="0" w:firstLineChars="0"/>
                    <w:jc w:val="center"/>
                    <w:rPr>
                      <w:rFonts w:hint="eastAsia"/>
                      <w:color w:val="auto"/>
                      <w:sz w:val="21"/>
                      <w:szCs w:val="21"/>
                      <w:highlight w:val="none"/>
                      <w:lang w:eastAsia="zh-CN"/>
                    </w:rPr>
                  </w:pPr>
                  <w:r>
                    <w:rPr>
                      <w:color w:val="auto"/>
                      <w:sz w:val="21"/>
                      <w:szCs w:val="21"/>
                      <w:highlight w:val="none"/>
                      <w:lang w:eastAsia="zh-CN"/>
                    </w:rPr>
                    <w:t>未预见及漏失水量</w:t>
                  </w:r>
                </w:p>
              </w:tc>
              <w:tc>
                <w:tcPr>
                  <w:tcW w:w="771" w:type="pct"/>
                  <w:noWrap/>
                  <w:vAlign w:val="center"/>
                </w:tcPr>
                <w:p w14:paraId="6FB53F8B">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24.97</w:t>
                  </w:r>
                </w:p>
              </w:tc>
              <w:tc>
                <w:tcPr>
                  <w:tcW w:w="932" w:type="pct"/>
                  <w:noWrap w:val="0"/>
                  <w:vAlign w:val="center"/>
                </w:tcPr>
                <w:p w14:paraId="3CE05D34">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24.97</w:t>
                  </w:r>
                </w:p>
              </w:tc>
              <w:tc>
                <w:tcPr>
                  <w:tcW w:w="1025" w:type="pct"/>
                  <w:noWrap w:val="0"/>
                  <w:vAlign w:val="center"/>
                </w:tcPr>
                <w:p w14:paraId="429B6F06">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595" w:type="pct"/>
                  <w:tcBorders>
                    <w:right w:val="nil"/>
                  </w:tcBorders>
                  <w:noWrap/>
                  <w:vAlign w:val="center"/>
                </w:tcPr>
                <w:p w14:paraId="5D967A84">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02978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675" w:type="pct"/>
                  <w:gridSpan w:val="2"/>
                  <w:tcBorders>
                    <w:left w:val="nil"/>
                  </w:tcBorders>
                  <w:noWrap/>
                  <w:vAlign w:val="center"/>
                </w:tcPr>
                <w:p w14:paraId="70F2D7D4">
                  <w:pPr>
                    <w:adjustRightInd w:val="0"/>
                    <w:snapToGrid w:val="0"/>
                    <w:spacing w:line="240" w:lineRule="auto"/>
                    <w:ind w:firstLine="0" w:firstLineChars="0"/>
                    <w:jc w:val="center"/>
                    <w:rPr>
                      <w:color w:val="auto"/>
                      <w:sz w:val="21"/>
                      <w:szCs w:val="21"/>
                      <w:highlight w:val="none"/>
                      <w:lang w:eastAsia="zh-CN"/>
                    </w:rPr>
                  </w:pPr>
                  <w:r>
                    <w:rPr>
                      <w:rFonts w:hint="eastAsia"/>
                      <w:color w:val="auto"/>
                      <w:sz w:val="21"/>
                      <w:szCs w:val="21"/>
                      <w:highlight w:val="none"/>
                      <w:lang w:eastAsia="zh-CN"/>
                    </w:rPr>
                    <w:t>合计</w:t>
                  </w:r>
                </w:p>
              </w:tc>
              <w:tc>
                <w:tcPr>
                  <w:tcW w:w="771" w:type="pct"/>
                  <w:tcBorders>
                    <w:left w:val="single" w:color="auto" w:sz="4" w:space="0"/>
                  </w:tcBorders>
                  <w:noWrap/>
                  <w:vAlign w:val="center"/>
                </w:tcPr>
                <w:p w14:paraId="22A366E1">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274.63</w:t>
                  </w:r>
                </w:p>
              </w:tc>
              <w:tc>
                <w:tcPr>
                  <w:tcW w:w="932" w:type="pct"/>
                  <w:tcBorders>
                    <w:left w:val="single" w:color="auto" w:sz="4" w:space="0"/>
                  </w:tcBorders>
                  <w:noWrap w:val="0"/>
                  <w:vAlign w:val="center"/>
                </w:tcPr>
                <w:p w14:paraId="160DA80C">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74.9</w:t>
                  </w:r>
                </w:p>
              </w:tc>
              <w:tc>
                <w:tcPr>
                  <w:tcW w:w="1025" w:type="pct"/>
                  <w:tcBorders>
                    <w:left w:val="single" w:color="auto" w:sz="4" w:space="0"/>
                  </w:tcBorders>
                  <w:noWrap w:val="0"/>
                  <w:vAlign w:val="center"/>
                </w:tcPr>
                <w:p w14:paraId="58BE4434">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199.73</w:t>
                  </w:r>
                </w:p>
              </w:tc>
              <w:tc>
                <w:tcPr>
                  <w:tcW w:w="595" w:type="pct"/>
                  <w:tcBorders>
                    <w:right w:val="nil"/>
                  </w:tcBorders>
                  <w:noWrap/>
                  <w:vAlign w:val="center"/>
                </w:tcPr>
                <w:p w14:paraId="77C1E611">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r>
          </w:tbl>
          <w:p w14:paraId="5EE0F8DF">
            <w:pPr>
              <w:pStyle w:val="29"/>
              <w:bidi w:val="0"/>
              <w:rPr>
                <w:rFonts w:hint="eastAsia"/>
                <w:color w:val="auto"/>
                <w:highlight w:val="none"/>
                <w:lang w:eastAsia="zh-CN"/>
              </w:rPr>
            </w:pPr>
            <w:r>
              <w:rPr>
                <w:rFonts w:hint="eastAsia"/>
                <w:color w:val="auto"/>
                <w:highlight w:val="none"/>
                <w:lang w:eastAsia="zh-CN"/>
              </w:rPr>
              <w:t>水平衡分析图：</w:t>
            </w:r>
          </w:p>
          <w:p w14:paraId="6229927D">
            <w:pPr>
              <w:pStyle w:val="29"/>
              <w:bidi w:val="0"/>
              <w:ind w:left="0" w:leftChars="0" w:firstLine="0" w:firstLineChars="0"/>
              <w:jc w:val="center"/>
              <w:rPr>
                <w:rFonts w:hint="eastAsia"/>
                <w:color w:val="FF0000"/>
                <w:highlight w:val="none"/>
                <w:lang w:eastAsia="zh-CN"/>
              </w:rPr>
            </w:pPr>
            <w:r>
              <w:rPr>
                <w:rFonts w:hint="eastAsia"/>
                <w:color w:val="FF0000"/>
                <w:highlight w:val="none"/>
                <w:lang w:eastAsia="zh-CN"/>
              </w:rPr>
              <w:drawing>
                <wp:inline distT="0" distB="0" distL="114300" distR="114300">
                  <wp:extent cx="3493770" cy="2973705"/>
                  <wp:effectExtent l="0" t="0" r="11430" b="17145"/>
                  <wp:docPr id="62" name="ECB019B1-382A-4266-B25C-5B523AA43C14-1" descr="C:/Users/Administrator/AppData/Roaming/Kingsoft/wps/addons/data/win-i386/kinsertprocesson/insertimage.vbRkGc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ECB019B1-382A-4266-B25C-5B523AA43C14-1" descr="C:/Users/Administrator/AppData/Roaming/Kingsoft/wps/addons/data/win-i386/kinsertprocesson/insertimage.vbRkGcinsertimage"/>
                          <pic:cNvPicPr>
                            <a:picLocks noChangeAspect="1"/>
                          </pic:cNvPicPr>
                        </pic:nvPicPr>
                        <pic:blipFill>
                          <a:blip r:embed="rId13"/>
                          <a:stretch>
                            <a:fillRect/>
                          </a:stretch>
                        </pic:blipFill>
                        <pic:spPr>
                          <a:xfrm>
                            <a:off x="0" y="0"/>
                            <a:ext cx="3493770" cy="2973705"/>
                          </a:xfrm>
                          <a:prstGeom prst="rect">
                            <a:avLst/>
                          </a:prstGeom>
                        </pic:spPr>
                      </pic:pic>
                    </a:graphicData>
                  </a:graphic>
                </wp:inline>
              </w:drawing>
            </w:r>
          </w:p>
          <w:p w14:paraId="4B9917D3">
            <w:pPr>
              <w:pStyle w:val="22"/>
              <w:bidi w:val="0"/>
              <w:rPr>
                <w:rFonts w:hint="eastAsia"/>
                <w:color w:val="auto"/>
                <w:highlight w:val="none"/>
                <w:lang w:eastAsia="zh-CN"/>
              </w:rPr>
            </w:pPr>
            <w:r>
              <w:rPr>
                <w:rFonts w:hint="eastAsia"/>
                <w:color w:val="auto"/>
                <w:highlight w:val="none"/>
                <w:lang w:eastAsia="zh-CN"/>
              </w:rPr>
              <w:t>图</w:t>
            </w:r>
            <w:r>
              <w:rPr>
                <w:rFonts w:hint="eastAsia"/>
                <w:color w:val="auto"/>
                <w:highlight w:val="none"/>
                <w:lang w:val="en-US" w:eastAsia="zh-CN"/>
              </w:rPr>
              <w:t>2-1</w:t>
            </w:r>
            <w:r>
              <w:rPr>
                <w:rFonts w:hint="eastAsia"/>
                <w:color w:val="auto"/>
                <w:highlight w:val="none"/>
                <w:lang w:eastAsia="zh-CN"/>
              </w:rPr>
              <w:t xml:space="preserve">    本项目水平衡图   单位m</w:t>
            </w:r>
            <w:r>
              <w:rPr>
                <w:rFonts w:hint="eastAsia"/>
                <w:color w:val="auto"/>
                <w:highlight w:val="none"/>
                <w:vertAlign w:val="superscript"/>
                <w:lang w:eastAsia="zh-CN"/>
              </w:rPr>
              <w:t>3</w:t>
            </w:r>
            <w:r>
              <w:rPr>
                <w:rFonts w:hint="eastAsia"/>
                <w:color w:val="auto"/>
                <w:highlight w:val="none"/>
                <w:lang w:eastAsia="zh-CN"/>
              </w:rPr>
              <w:t>/a</w:t>
            </w:r>
          </w:p>
          <w:p w14:paraId="60BE2AD8">
            <w:pPr>
              <w:pStyle w:val="4"/>
              <w:bidi w:val="0"/>
              <w:rPr>
                <w:rFonts w:hint="eastAsia"/>
                <w:color w:val="auto"/>
                <w:lang w:eastAsia="zh-CN"/>
              </w:rPr>
            </w:pPr>
            <w:r>
              <w:rPr>
                <w:rFonts w:hint="eastAsia"/>
                <w:color w:val="auto"/>
                <w:lang w:val="en-US" w:eastAsia="zh-CN"/>
              </w:rPr>
              <w:t>2.6.2</w:t>
            </w:r>
            <w:r>
              <w:rPr>
                <w:rFonts w:hint="eastAsia"/>
                <w:color w:val="auto"/>
                <w:lang w:eastAsia="zh-CN"/>
              </w:rPr>
              <w:t>供电</w:t>
            </w:r>
          </w:p>
          <w:p w14:paraId="2BEB211E">
            <w:pPr>
              <w:pStyle w:val="29"/>
              <w:bidi w:val="0"/>
              <w:rPr>
                <w:rFonts w:hint="eastAsia"/>
                <w:color w:val="auto"/>
                <w:lang w:eastAsia="zh-CN"/>
              </w:rPr>
            </w:pPr>
            <w:r>
              <w:rPr>
                <w:color w:val="auto"/>
                <w:lang w:eastAsia="zh-CN"/>
              </w:rPr>
              <w:t>项目用电由市政电力系统统一供给，能够满足项目区用电需求。</w:t>
            </w:r>
          </w:p>
          <w:p w14:paraId="357F3716">
            <w:pPr>
              <w:pStyle w:val="4"/>
              <w:bidi w:val="0"/>
              <w:rPr>
                <w:color w:val="auto"/>
                <w:lang w:eastAsia="zh-CN"/>
              </w:rPr>
            </w:pPr>
            <w:r>
              <w:rPr>
                <w:rFonts w:hint="eastAsia"/>
                <w:color w:val="auto"/>
                <w:lang w:val="en-US" w:eastAsia="zh-CN"/>
              </w:rPr>
              <w:t>2.6</w:t>
            </w:r>
            <w:r>
              <w:rPr>
                <w:rFonts w:hint="eastAsia"/>
                <w:color w:val="auto"/>
                <w:lang w:eastAsia="zh-CN"/>
              </w:rPr>
              <w:t>.</w:t>
            </w:r>
            <w:r>
              <w:rPr>
                <w:rFonts w:hint="eastAsia"/>
                <w:color w:val="auto"/>
                <w:lang w:val="en-US" w:eastAsia="zh-CN"/>
              </w:rPr>
              <w:t>3</w:t>
            </w:r>
            <w:r>
              <w:rPr>
                <w:rFonts w:hint="eastAsia"/>
                <w:color w:val="auto"/>
                <w:lang w:eastAsia="zh-CN"/>
              </w:rPr>
              <w:t>供暖</w:t>
            </w:r>
          </w:p>
          <w:p w14:paraId="04808B76">
            <w:pPr>
              <w:pStyle w:val="29"/>
              <w:bidi w:val="0"/>
              <w:rPr>
                <w:color w:val="auto"/>
                <w:lang w:eastAsia="zh-CN"/>
              </w:rPr>
            </w:pPr>
            <w:bookmarkStart w:id="9" w:name="_Toc14593"/>
            <w:r>
              <w:rPr>
                <w:color w:val="auto"/>
                <w:lang w:eastAsia="zh-CN"/>
              </w:rPr>
              <w:t>本项目</w:t>
            </w:r>
            <w:r>
              <w:rPr>
                <w:rFonts w:hint="eastAsia"/>
                <w:color w:val="auto"/>
                <w:lang w:val="en-US" w:eastAsia="zh-CN"/>
              </w:rPr>
              <w:t>冬季由库尔勒市</w:t>
            </w:r>
            <w:r>
              <w:rPr>
                <w:rFonts w:hint="eastAsia"/>
                <w:color w:val="auto"/>
                <w:lang w:eastAsia="zh-CN"/>
              </w:rPr>
              <w:t>集中供暖</w:t>
            </w:r>
            <w:r>
              <w:rPr>
                <w:color w:val="auto"/>
                <w:lang w:eastAsia="zh-CN"/>
              </w:rPr>
              <w:t>。</w:t>
            </w:r>
            <w:bookmarkEnd w:id="9"/>
          </w:p>
          <w:p w14:paraId="2250C455">
            <w:pPr>
              <w:pStyle w:val="3"/>
              <w:bidi w:val="0"/>
              <w:rPr>
                <w:color w:val="auto"/>
                <w:lang w:eastAsia="zh-CN"/>
              </w:rPr>
            </w:pPr>
            <w:r>
              <w:rPr>
                <w:rFonts w:hint="eastAsia"/>
                <w:color w:val="auto"/>
                <w:lang w:val="en-US" w:eastAsia="zh-CN"/>
              </w:rPr>
              <w:t>2.7</w:t>
            </w:r>
            <w:r>
              <w:rPr>
                <w:rFonts w:hint="eastAsia"/>
                <w:color w:val="auto"/>
                <w:lang w:eastAsia="zh-CN"/>
              </w:rPr>
              <w:t>、</w:t>
            </w:r>
            <w:r>
              <w:rPr>
                <w:color w:val="auto"/>
                <w:lang w:eastAsia="zh-CN"/>
              </w:rPr>
              <w:t>总平面布置</w:t>
            </w:r>
          </w:p>
          <w:p w14:paraId="61D15ABF">
            <w:pPr>
              <w:pStyle w:val="29"/>
              <w:keepNext w:val="0"/>
              <w:keepLines w:val="0"/>
              <w:pageBreakBefore w:val="0"/>
              <w:widowControl/>
              <w:tabs>
                <w:tab w:val="left" w:pos="1200"/>
              </w:tabs>
              <w:kinsoku/>
              <w:wordWrap/>
              <w:overflowPunct/>
              <w:topLinePunct w:val="0"/>
              <w:autoSpaceDE w:val="0"/>
              <w:autoSpaceDN w:val="0"/>
              <w:bidi w:val="0"/>
              <w:adjustRightInd/>
              <w:snapToGrid/>
              <w:textAlignment w:val="baseline"/>
              <w:rPr>
                <w:rFonts w:hint="default"/>
                <w:color w:val="auto"/>
                <w:lang w:val="en-US" w:eastAsia="zh-CN"/>
              </w:rPr>
            </w:pPr>
            <w:r>
              <w:rPr>
                <w:rFonts w:hint="default"/>
                <w:color w:val="auto"/>
                <w:lang w:val="en-US" w:eastAsia="zh-CN"/>
              </w:rPr>
              <w:t>功能分区布局：</w:t>
            </w:r>
            <w:r>
              <w:rPr>
                <w:rFonts w:hint="eastAsia"/>
                <w:color w:val="auto"/>
                <w:lang w:val="en-US" w:eastAsia="zh-CN"/>
              </w:rPr>
              <w:t>项目区西侧为大门进出口，西至东依次设置诊室、输液室、危废间、消毒间，消毒间内设置一般固废暂存区、DR室、处置室、药房、手术室、隔离室、住院部。</w:t>
            </w:r>
            <w:r>
              <w:rPr>
                <w:rFonts w:hint="default"/>
                <w:color w:val="auto"/>
                <w:lang w:val="en-US" w:eastAsia="zh-CN"/>
              </w:rPr>
              <w:t>项目整体布局跟操作流程的先后顺序相符合，各功能区分区布置，功能分区明确</w:t>
            </w:r>
            <w:r>
              <w:rPr>
                <w:rFonts w:hint="eastAsia"/>
                <w:color w:val="auto"/>
                <w:lang w:val="en-US" w:eastAsia="zh-CN"/>
              </w:rPr>
              <w:t>，详见项目区平面布置附图</w:t>
            </w:r>
            <w:r>
              <w:rPr>
                <w:rFonts w:hint="default"/>
                <w:color w:val="auto"/>
                <w:lang w:val="en-US" w:eastAsia="zh-CN"/>
              </w:rPr>
              <w:t>。</w:t>
            </w:r>
          </w:p>
          <w:p w14:paraId="38966554">
            <w:pPr>
              <w:pStyle w:val="29"/>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r>
              <w:rPr>
                <w:rFonts w:hint="default"/>
                <w:color w:val="auto"/>
                <w:lang w:val="en-US" w:eastAsia="zh-CN"/>
              </w:rPr>
              <w:t>环保设施位置：</w:t>
            </w:r>
            <w:r>
              <w:rPr>
                <w:rFonts w:hint="eastAsia"/>
                <w:color w:val="auto"/>
                <w:lang w:val="en-US" w:eastAsia="zh-CN"/>
              </w:rPr>
              <w:t>本项目医疗废水</w:t>
            </w:r>
            <w:r>
              <w:rPr>
                <w:rFonts w:hint="default"/>
                <w:color w:val="auto"/>
                <w:lang w:val="en-US" w:eastAsia="zh-CN"/>
              </w:rPr>
              <w:t>处理设施位于</w:t>
            </w:r>
            <w:r>
              <w:rPr>
                <w:rFonts w:hint="eastAsia"/>
                <w:color w:val="auto"/>
                <w:lang w:val="en-US" w:eastAsia="zh-CN"/>
              </w:rPr>
              <w:t>处置室医疗废水处理槽下方，一体化污水处理设施</w:t>
            </w:r>
            <w:r>
              <w:rPr>
                <w:rFonts w:hint="default"/>
                <w:color w:val="auto"/>
                <w:lang w:val="en-US" w:eastAsia="zh-CN"/>
              </w:rPr>
              <w:t>设计处理能</w:t>
            </w:r>
            <w:r>
              <w:rPr>
                <w:rFonts w:hint="eastAsia"/>
                <w:color w:val="auto"/>
                <w:lang w:val="en-US" w:eastAsia="zh-CN"/>
              </w:rPr>
              <w:t>力为0.2m</w:t>
            </w:r>
            <w:r>
              <w:rPr>
                <w:rFonts w:hint="eastAsia"/>
                <w:color w:val="auto"/>
                <w:vertAlign w:val="superscript"/>
                <w:lang w:val="en-US" w:eastAsia="zh-CN"/>
              </w:rPr>
              <w:t>3</w:t>
            </w:r>
            <w:r>
              <w:rPr>
                <w:rFonts w:hint="eastAsia"/>
                <w:color w:val="auto"/>
                <w:lang w:val="en-US" w:eastAsia="zh-CN"/>
              </w:rPr>
              <w:t>/d</w:t>
            </w:r>
            <w:r>
              <w:rPr>
                <w:rFonts w:hint="default"/>
                <w:color w:val="auto"/>
                <w:lang w:val="en-US" w:eastAsia="zh-CN"/>
              </w:rPr>
              <w:t>。</w:t>
            </w:r>
          </w:p>
          <w:p w14:paraId="7D213C58">
            <w:pPr>
              <w:pStyle w:val="29"/>
              <w:bidi w:val="0"/>
              <w:rPr>
                <w:rFonts w:hint="eastAsia" w:eastAsia="宋体"/>
                <w:color w:val="auto"/>
                <w:lang w:val="en-US" w:eastAsia="zh-CN"/>
              </w:rPr>
            </w:pPr>
            <w:r>
              <w:rPr>
                <w:rFonts w:hint="default"/>
                <w:color w:val="auto"/>
                <w:lang w:val="en-US" w:eastAsia="zh-CN"/>
              </w:rPr>
              <w:t>宠物本身散发或手术产生的异味经加强通风和定期消毒处理；项目诊室、</w:t>
            </w:r>
            <w:r>
              <w:rPr>
                <w:rFonts w:hint="eastAsia"/>
                <w:color w:val="auto"/>
                <w:lang w:val="en-US" w:eastAsia="zh-CN"/>
              </w:rPr>
              <w:t>手术室</w:t>
            </w:r>
            <w:r>
              <w:rPr>
                <w:rFonts w:hint="default"/>
                <w:color w:val="auto"/>
                <w:lang w:val="en-US" w:eastAsia="zh-CN"/>
              </w:rPr>
              <w:t>等均设置在室内，噪声经采取隔声措施处理；院内设置一般固废暂存区、医疗废物收集桶、生活垃圾收集桶等，</w:t>
            </w:r>
            <w:r>
              <w:rPr>
                <w:rFonts w:hint="eastAsia"/>
                <w:color w:val="auto"/>
                <w:lang w:val="en-US" w:eastAsia="zh-CN"/>
              </w:rPr>
              <w:t>危险废物贮存间</w:t>
            </w:r>
            <w:r>
              <w:rPr>
                <w:rFonts w:hint="eastAsia"/>
                <w:color w:val="auto"/>
                <w:highlight w:val="none"/>
                <w:lang w:val="en-US" w:eastAsia="zh-CN"/>
              </w:rPr>
              <w:t>位于项目区南侧</w:t>
            </w:r>
            <w:r>
              <w:rPr>
                <w:rFonts w:hint="eastAsia"/>
                <w:color w:val="auto"/>
                <w:lang w:val="en-US" w:eastAsia="zh-CN"/>
              </w:rPr>
              <w:t>。</w:t>
            </w:r>
            <w:r>
              <w:rPr>
                <w:color w:val="auto"/>
              </w:rPr>
              <w:t>本</w:t>
            </w:r>
            <w:r>
              <w:rPr>
                <w:rFonts w:hint="eastAsia"/>
                <w:color w:val="auto"/>
                <w:lang w:eastAsia="zh-CN"/>
              </w:rPr>
              <w:t>项目</w:t>
            </w:r>
            <w:r>
              <w:rPr>
                <w:color w:val="auto"/>
              </w:rPr>
              <w:t>采取有效污染防治措施，项目建成后，污染物能够达标排放，对周边环境影响较小，不会降低区域现有环境功能</w:t>
            </w:r>
            <w:r>
              <w:rPr>
                <w:rFonts w:hint="eastAsia"/>
                <w:color w:val="auto"/>
                <w:lang w:eastAsia="zh-CN"/>
              </w:rPr>
              <w:t>。</w:t>
            </w:r>
          </w:p>
          <w:p w14:paraId="39CD0D1C">
            <w:pPr>
              <w:pStyle w:val="29"/>
              <w:bidi w:val="0"/>
              <w:rPr>
                <w:rFonts w:hint="default"/>
                <w:color w:val="auto"/>
              </w:rPr>
            </w:pPr>
            <w:r>
              <w:rPr>
                <w:rFonts w:hint="default"/>
                <w:color w:val="auto"/>
                <w:lang w:val="en-US" w:eastAsia="zh-CN"/>
              </w:rPr>
              <w:t>综上分析，本项目总平面布置功能区划明确，设施设备布置合理，交通便利、顺畅，项目平面布局从环保方面分析基本合理。</w:t>
            </w:r>
          </w:p>
        </w:tc>
      </w:tr>
      <w:tr w14:paraId="5025D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645" w:type="dxa"/>
            <w:tcBorders>
              <w:left w:val="single" w:color="000000" w:sz="6" w:space="0"/>
            </w:tcBorders>
            <w:vAlign w:val="center"/>
          </w:tcPr>
          <w:p w14:paraId="1763249A">
            <w:pPr>
              <w:bidi w:val="0"/>
              <w:jc w:val="center"/>
              <w:rPr>
                <w:rFonts w:hint="default"/>
                <w:color w:val="auto"/>
              </w:rPr>
            </w:pPr>
            <w:r>
              <w:rPr>
                <w:rFonts w:hint="default"/>
                <w:color w:val="auto"/>
              </w:rPr>
              <w:t>工艺流程和产排污环节</w:t>
            </w:r>
          </w:p>
        </w:tc>
        <w:tc>
          <w:tcPr>
            <w:tcW w:w="8406" w:type="dxa"/>
            <w:tcBorders>
              <w:right w:val="single" w:color="000000" w:sz="6" w:space="0"/>
            </w:tcBorders>
            <w:vAlign w:val="center"/>
          </w:tcPr>
          <w:p w14:paraId="3FC97531">
            <w:pPr>
              <w:pStyle w:val="3"/>
              <w:bidi w:val="0"/>
              <w:rPr>
                <w:rFonts w:hint="eastAsia"/>
                <w:color w:val="auto"/>
              </w:rPr>
            </w:pPr>
            <w:r>
              <w:rPr>
                <w:rFonts w:hint="eastAsia"/>
                <w:color w:val="auto"/>
                <w:lang w:val="en-US" w:eastAsia="zh-CN"/>
              </w:rPr>
              <w:t>2.8</w:t>
            </w:r>
            <w:r>
              <w:rPr>
                <w:rFonts w:hint="eastAsia"/>
                <w:color w:val="auto"/>
              </w:rPr>
              <w:t>工艺流程和产排污环节</w:t>
            </w:r>
          </w:p>
          <w:p w14:paraId="1E62FFEC">
            <w:pPr>
              <w:pStyle w:val="4"/>
              <w:bidi w:val="0"/>
              <w:rPr>
                <w:rFonts w:hint="default"/>
                <w:lang w:val="en-US"/>
              </w:rPr>
            </w:pPr>
            <w:r>
              <w:rPr>
                <w:rFonts w:hint="eastAsia"/>
                <w:color w:val="auto"/>
                <w:lang w:val="en-US" w:eastAsia="zh-CN"/>
              </w:rPr>
              <w:t>2</w:t>
            </w:r>
            <w:r>
              <w:rPr>
                <w:rFonts w:hint="eastAsia"/>
                <w:color w:val="auto"/>
                <w:lang w:eastAsia="zh-CN"/>
              </w:rPr>
              <w:t>.</w:t>
            </w:r>
            <w:r>
              <w:rPr>
                <w:rFonts w:hint="eastAsia"/>
                <w:color w:val="auto"/>
                <w:lang w:val="en-US" w:eastAsia="zh-CN"/>
              </w:rPr>
              <w:t>8.</w:t>
            </w:r>
            <w:r>
              <w:rPr>
                <w:rFonts w:hint="eastAsia"/>
                <w:color w:val="auto"/>
                <w:lang w:eastAsia="zh-CN"/>
              </w:rPr>
              <w:t>1</w:t>
            </w:r>
            <w:r>
              <w:rPr>
                <w:rFonts w:hint="eastAsia"/>
                <w:color w:val="auto"/>
                <w:lang w:val="en-US" w:eastAsia="zh-CN"/>
              </w:rPr>
              <w:t>施工期</w:t>
            </w:r>
            <w:r>
              <w:rPr>
                <w:rFonts w:hint="eastAsia"/>
                <w:color w:val="auto"/>
                <w:lang w:eastAsia="zh-CN"/>
              </w:rPr>
              <w:t>工艺流程</w:t>
            </w:r>
            <w:r>
              <w:rPr>
                <w:rFonts w:hint="eastAsia"/>
                <w:color w:val="auto"/>
                <w:lang w:val="en-US" w:eastAsia="zh-CN"/>
              </w:rPr>
              <w:t>和产污环节</w:t>
            </w:r>
          </w:p>
          <w:p w14:paraId="635F4C00">
            <w:pPr>
              <w:pStyle w:val="29"/>
              <w:keepNext w:val="0"/>
              <w:keepLines w:val="0"/>
              <w:pageBreakBefore w:val="0"/>
              <w:widowControl/>
              <w:kinsoku/>
              <w:wordWrap/>
              <w:overflowPunct/>
              <w:topLinePunct w:val="0"/>
              <w:autoSpaceDE w:val="0"/>
              <w:autoSpaceDN w:val="0"/>
              <w:bidi w:val="0"/>
              <w:adjustRightInd/>
              <w:snapToGrid/>
              <w:jc w:val="both"/>
              <w:textAlignment w:val="baseline"/>
              <w:rPr>
                <w:color w:val="auto"/>
              </w:rPr>
            </w:pPr>
            <w:r>
              <w:rPr>
                <w:color w:val="auto"/>
              </w:rPr>
              <w:t>本项目不涉及土建施工，</w:t>
            </w:r>
            <w:r>
              <w:rPr>
                <w:rFonts w:hint="eastAsia"/>
                <w:color w:val="auto"/>
                <w:lang w:val="en-US" w:eastAsia="zh-CN"/>
              </w:rPr>
              <w:t>医院</w:t>
            </w:r>
            <w:r>
              <w:rPr>
                <w:color w:val="auto"/>
              </w:rPr>
              <w:t>装置安装后即可投入使用，工程量较小，施工期较短，仅进行不同区域的隔断、简单装修、设备购置安装和调试。由于施工人员为</w:t>
            </w:r>
            <w:r>
              <w:rPr>
                <w:rFonts w:hint="eastAsia"/>
                <w:color w:val="auto"/>
                <w:lang w:val="en-US" w:eastAsia="zh-CN"/>
              </w:rPr>
              <w:t>库尔勒</w:t>
            </w:r>
            <w:r>
              <w:rPr>
                <w:color w:val="auto"/>
              </w:rPr>
              <w:t>市当地劳动人员，仅装修时在项目区进行劳作，本次产生施工生活污水和生活垃圾很少，本项目施工期产生的污染物主要为因装修产生的废气</w:t>
            </w:r>
            <w:r>
              <w:rPr>
                <w:rFonts w:hint="eastAsia"/>
                <w:color w:val="auto"/>
                <w:lang w:eastAsia="zh-CN"/>
              </w:rPr>
              <w:t>、</w:t>
            </w:r>
            <w:r>
              <w:rPr>
                <w:rFonts w:hint="eastAsia"/>
                <w:color w:val="auto"/>
                <w:lang w:val="en-US" w:eastAsia="zh-CN"/>
              </w:rPr>
              <w:t>废水、</w:t>
            </w:r>
            <w:r>
              <w:rPr>
                <w:color w:val="auto"/>
              </w:rPr>
              <w:t>噪声</w:t>
            </w:r>
            <w:r>
              <w:rPr>
                <w:rFonts w:hint="eastAsia"/>
                <w:color w:val="auto"/>
                <w:lang w:val="en-US" w:eastAsia="zh-CN"/>
              </w:rPr>
              <w:t>和建筑垃圾</w:t>
            </w:r>
            <w:r>
              <w:rPr>
                <w:color w:val="auto"/>
              </w:rPr>
              <w:t>。</w:t>
            </w:r>
          </w:p>
          <w:p w14:paraId="0833C9CC">
            <w:pPr>
              <w:pStyle w:val="29"/>
              <w:bidi w:val="0"/>
              <w:ind w:left="0" w:leftChars="0" w:firstLine="0" w:firstLineChars="0"/>
              <w:jc w:val="center"/>
              <w:rPr>
                <w:color w:val="auto"/>
              </w:rPr>
            </w:pPr>
            <w:r>
              <w:drawing>
                <wp:inline distT="0" distB="0" distL="114300" distR="114300">
                  <wp:extent cx="5227955" cy="1539240"/>
                  <wp:effectExtent l="0" t="0" r="10795" b="3810"/>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4"/>
                          <a:stretch>
                            <a:fillRect/>
                          </a:stretch>
                        </pic:blipFill>
                        <pic:spPr>
                          <a:xfrm>
                            <a:off x="0" y="0"/>
                            <a:ext cx="5227955" cy="1539240"/>
                          </a:xfrm>
                          <a:prstGeom prst="rect">
                            <a:avLst/>
                          </a:prstGeom>
                          <a:noFill/>
                          <a:ln>
                            <a:noFill/>
                          </a:ln>
                        </pic:spPr>
                      </pic:pic>
                    </a:graphicData>
                  </a:graphic>
                </wp:inline>
              </w:drawing>
            </w:r>
          </w:p>
          <w:p w14:paraId="52E6B6B4">
            <w:pPr>
              <w:pStyle w:val="22"/>
              <w:bidi w:val="0"/>
              <w:rPr>
                <w:rFonts w:hint="eastAsia"/>
                <w:color w:val="auto"/>
              </w:rPr>
            </w:pPr>
            <w:r>
              <w:rPr>
                <w:color w:val="auto"/>
                <w:lang w:eastAsia="zh-CN"/>
              </w:rPr>
              <w:t>图</w:t>
            </w:r>
            <w:r>
              <w:rPr>
                <w:rFonts w:hint="eastAsia"/>
                <w:color w:val="auto"/>
                <w:lang w:val="en-US" w:eastAsia="zh-CN"/>
              </w:rPr>
              <w:t>2-2</w:t>
            </w:r>
            <w:r>
              <w:rPr>
                <w:rFonts w:hint="eastAsia"/>
                <w:color w:val="auto"/>
                <w:lang w:eastAsia="zh-CN"/>
              </w:rPr>
              <w:t xml:space="preserve">   </w:t>
            </w:r>
            <w:r>
              <w:rPr>
                <w:rFonts w:hint="eastAsia"/>
                <w:color w:val="auto"/>
                <w:lang w:val="en-US" w:eastAsia="zh-CN"/>
              </w:rPr>
              <w:t>施工期工艺</w:t>
            </w:r>
            <w:r>
              <w:rPr>
                <w:color w:val="auto"/>
                <w:lang w:eastAsia="zh-CN"/>
              </w:rPr>
              <w:t>流程及产污环节图</w:t>
            </w:r>
          </w:p>
          <w:p w14:paraId="0C0390D7">
            <w:pPr>
              <w:pStyle w:val="4"/>
              <w:keepNext/>
              <w:keepLines/>
              <w:pageBreakBefore w:val="0"/>
              <w:widowControl/>
              <w:kinsoku w:val="0"/>
              <w:wordWrap/>
              <w:overflowPunct/>
              <w:topLinePunct w:val="0"/>
              <w:autoSpaceDE w:val="0"/>
              <w:autoSpaceDN w:val="0"/>
              <w:bidi w:val="0"/>
              <w:adjustRightInd/>
              <w:snapToGrid/>
              <w:spacing w:before="0" w:beforeLines="100"/>
              <w:textAlignment w:val="baseline"/>
              <w:rPr>
                <w:rFonts w:hint="default"/>
                <w:lang w:val="en-US"/>
              </w:rPr>
            </w:pPr>
            <w:r>
              <w:rPr>
                <w:rFonts w:hint="eastAsia"/>
                <w:color w:val="auto"/>
                <w:lang w:val="en-US" w:eastAsia="zh-CN"/>
              </w:rPr>
              <w:t>2</w:t>
            </w:r>
            <w:r>
              <w:rPr>
                <w:rFonts w:hint="eastAsia"/>
                <w:color w:val="auto"/>
                <w:lang w:eastAsia="zh-CN"/>
              </w:rPr>
              <w:t>.</w:t>
            </w:r>
            <w:r>
              <w:rPr>
                <w:rFonts w:hint="eastAsia"/>
                <w:color w:val="auto"/>
                <w:lang w:val="en-US" w:eastAsia="zh-CN"/>
              </w:rPr>
              <w:t>8.2</w:t>
            </w:r>
            <w:r>
              <w:rPr>
                <w:color w:val="auto"/>
                <w:lang w:eastAsia="zh-CN"/>
              </w:rPr>
              <w:t>运营期</w:t>
            </w:r>
            <w:r>
              <w:rPr>
                <w:rFonts w:hint="eastAsia"/>
                <w:color w:val="auto"/>
                <w:lang w:eastAsia="zh-CN"/>
              </w:rPr>
              <w:t>工艺流程</w:t>
            </w:r>
            <w:r>
              <w:rPr>
                <w:rFonts w:hint="eastAsia"/>
                <w:color w:val="auto"/>
                <w:lang w:val="en-US" w:eastAsia="zh-CN"/>
              </w:rPr>
              <w:t>和产污环节</w:t>
            </w:r>
          </w:p>
          <w:p w14:paraId="289E1F64">
            <w:pPr>
              <w:pStyle w:val="4"/>
              <w:bidi w:val="0"/>
              <w:rPr>
                <w:rFonts w:hint="eastAsia"/>
                <w:color w:val="auto"/>
                <w:lang w:eastAsia="zh-CN"/>
              </w:rPr>
            </w:pPr>
            <w:r>
              <w:rPr>
                <w:rFonts w:hint="eastAsia"/>
                <w:color w:val="auto"/>
                <w:lang w:val="en-US" w:eastAsia="zh-CN"/>
              </w:rPr>
              <w:t>2</w:t>
            </w:r>
            <w:r>
              <w:rPr>
                <w:rFonts w:hint="eastAsia"/>
                <w:color w:val="auto"/>
                <w:lang w:eastAsia="zh-CN"/>
              </w:rPr>
              <w:t>.</w:t>
            </w:r>
            <w:r>
              <w:rPr>
                <w:rFonts w:hint="eastAsia"/>
                <w:color w:val="auto"/>
                <w:lang w:val="en-US" w:eastAsia="zh-CN"/>
              </w:rPr>
              <w:t>8.2.1</w:t>
            </w:r>
            <w:r>
              <w:rPr>
                <w:rFonts w:hint="eastAsia"/>
                <w:color w:val="auto"/>
                <w:lang w:eastAsia="zh-CN"/>
              </w:rPr>
              <w:t>工艺流程</w:t>
            </w:r>
          </w:p>
          <w:p w14:paraId="253EA475">
            <w:pPr>
              <w:pStyle w:val="29"/>
              <w:bidi w:val="0"/>
              <w:rPr>
                <w:rFonts w:hint="eastAsia"/>
                <w:color w:val="auto"/>
                <w:lang w:eastAsia="zh-CN"/>
              </w:rPr>
            </w:pPr>
            <w:r>
              <w:rPr>
                <w:color w:val="auto"/>
                <w:lang w:eastAsia="zh-CN"/>
              </w:rPr>
              <w:t>运营期医院诊治</w:t>
            </w:r>
            <w:r>
              <w:rPr>
                <w:rFonts w:hint="eastAsia"/>
                <w:color w:val="auto"/>
                <w:lang w:val="en-US" w:eastAsia="zh-CN"/>
              </w:rPr>
              <w:t>和手术</w:t>
            </w:r>
            <w:r>
              <w:rPr>
                <w:color w:val="auto"/>
                <w:lang w:eastAsia="zh-CN"/>
              </w:rPr>
              <w:t>流程及产</w:t>
            </w:r>
            <w:r>
              <w:rPr>
                <w:rFonts w:hint="eastAsia"/>
                <w:color w:val="auto"/>
                <w:lang w:val="en-US" w:eastAsia="zh-CN"/>
              </w:rPr>
              <w:t>污</w:t>
            </w:r>
            <w:r>
              <w:rPr>
                <w:color w:val="auto"/>
                <w:lang w:eastAsia="zh-CN"/>
              </w:rPr>
              <w:t>环节见图</w:t>
            </w:r>
            <w:r>
              <w:rPr>
                <w:rFonts w:hint="eastAsia"/>
                <w:color w:val="auto"/>
                <w:lang w:val="en-US" w:eastAsia="zh-CN"/>
              </w:rPr>
              <w:t>2-3及图2-4</w:t>
            </w:r>
            <w:r>
              <w:rPr>
                <w:rFonts w:hint="eastAsia"/>
                <w:color w:val="auto"/>
                <w:lang w:eastAsia="zh-CN"/>
              </w:rPr>
              <w:t>。</w:t>
            </w:r>
          </w:p>
          <w:p w14:paraId="7158BDA2">
            <w:pPr>
              <w:pStyle w:val="29"/>
              <w:bidi w:val="0"/>
              <w:ind w:left="0" w:leftChars="0" w:firstLine="0" w:firstLineChars="0"/>
              <w:jc w:val="center"/>
              <w:rPr>
                <w:rFonts w:hint="eastAsia"/>
                <w:color w:val="auto"/>
                <w:lang w:eastAsia="zh-CN"/>
              </w:rPr>
            </w:pPr>
            <w:r>
              <w:rPr>
                <w:rFonts w:hint="eastAsia"/>
                <w:color w:val="auto"/>
              </w:rPr>
              <w:object>
                <v:shape id="_x0000_i1025" o:spt="75" type="#_x0000_t75" style="height:317.45pt;width:389.15pt;" o:ole="t" filled="f" o:preferrelative="t" stroked="f" coordsize="21600,21600">
                  <v:path/>
                  <v:fill on="f" focussize="0,0"/>
                  <v:stroke on="f"/>
                  <v:imagedata r:id="rId16" o:title=""/>
                  <o:lock v:ext="edit" aspectratio="f"/>
                  <w10:wrap type="none"/>
                  <w10:anchorlock/>
                </v:shape>
                <o:OLEObject Type="Embed" ProgID="Visio.Drawing.15" ShapeID="_x0000_i1025" DrawAspect="Content" ObjectID="_1468075725" r:id="rId15">
                  <o:LockedField>false</o:LockedField>
                </o:OLEObject>
              </w:object>
            </w:r>
          </w:p>
          <w:p w14:paraId="25577A6D">
            <w:pPr>
              <w:pStyle w:val="22"/>
              <w:shd w:val="clear"/>
              <w:bidi w:val="0"/>
              <w:rPr>
                <w:color w:val="auto"/>
                <w:lang w:eastAsia="zh-CN"/>
              </w:rPr>
            </w:pPr>
            <w:r>
              <w:rPr>
                <w:color w:val="auto"/>
                <w:lang w:eastAsia="zh-CN"/>
              </w:rPr>
              <w:t>图</w:t>
            </w:r>
            <w:r>
              <w:rPr>
                <w:rFonts w:hint="eastAsia"/>
                <w:color w:val="auto"/>
                <w:lang w:val="en-US" w:eastAsia="zh-CN"/>
              </w:rPr>
              <w:t>2-3</w:t>
            </w:r>
            <w:r>
              <w:rPr>
                <w:rFonts w:hint="eastAsia"/>
                <w:color w:val="auto"/>
                <w:lang w:eastAsia="zh-CN"/>
              </w:rPr>
              <w:t xml:space="preserve">   运营期</w:t>
            </w:r>
            <w:r>
              <w:rPr>
                <w:rFonts w:hint="eastAsia"/>
                <w:color w:val="auto"/>
                <w:lang w:val="en-US" w:eastAsia="zh-CN"/>
              </w:rPr>
              <w:t>就诊</w:t>
            </w:r>
            <w:r>
              <w:rPr>
                <w:color w:val="auto"/>
                <w:lang w:eastAsia="zh-CN"/>
              </w:rPr>
              <w:t>流程及产污环节图</w:t>
            </w:r>
          </w:p>
          <w:p w14:paraId="5C91CF9C">
            <w:pPr>
              <w:pStyle w:val="29"/>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手术内容包括</w:t>
            </w:r>
            <w:r>
              <w:rPr>
                <w:rFonts w:hint="default" w:ascii="Times New Roman" w:hAnsi="Times New Roman" w:cs="Times New Roman"/>
                <w:color w:val="auto"/>
                <w:highlight w:val="none"/>
                <w:lang w:eastAsia="zh-CN"/>
              </w:rPr>
              <w:t>动物颅腔、胸腔或腹腔手术和</w:t>
            </w:r>
            <w:r>
              <w:rPr>
                <w:rFonts w:hint="default" w:ascii="Times New Roman" w:hAnsi="Times New Roman" w:cs="Times New Roman"/>
                <w:color w:val="auto"/>
                <w:highlight w:val="none"/>
              </w:rPr>
              <w:t>宠物绝育手术</w:t>
            </w:r>
            <w:r>
              <w:rPr>
                <w:rFonts w:hint="default" w:ascii="Times New Roman" w:hAnsi="Times New Roman" w:eastAsia="宋体" w:cs="Times New Roman"/>
                <w:color w:val="auto"/>
                <w:highlight w:val="none"/>
                <w:lang w:eastAsia="zh-CN"/>
              </w:rPr>
              <w:t>等，手术流程基本一致。手术过程工艺流程如下：</w:t>
            </w:r>
          </w:p>
          <w:p w14:paraId="64B8B118">
            <w:pPr>
              <w:pStyle w:val="29"/>
              <w:bidi w:val="0"/>
              <w:ind w:left="0" w:leftChars="0" w:firstLine="0" w:firstLineChars="0"/>
              <w:jc w:val="center"/>
              <w:rPr>
                <w:rFonts w:hint="default" w:ascii="Times New Roman" w:hAnsi="Times New Roman" w:eastAsia="宋体" w:cs="Times New Roman"/>
                <w:b/>
                <w:bCs/>
                <w:snapToGrid w:val="0"/>
                <w:color w:val="auto"/>
                <w:spacing w:val="8"/>
                <w:kern w:val="0"/>
                <w:sz w:val="21"/>
                <w:szCs w:val="72"/>
                <w:highlight w:val="none"/>
                <w:lang w:eastAsia="zh-CN"/>
              </w:rPr>
            </w:pPr>
            <w:r>
              <w:rPr>
                <w:rFonts w:hint="eastAsia"/>
                <w:color w:val="auto"/>
              </w:rPr>
              <w:object>
                <v:shape id="_x0000_i1026" o:spt="75" type="#_x0000_t75" style="height:75.25pt;width:376.05pt;" o:ole="t" filled="f" o:preferrelative="t" stroked="f" coordsize="21600,21600">
                  <v:path/>
                  <v:fill on="f" focussize="0,0"/>
                  <v:stroke on="f"/>
                  <v:imagedata r:id="rId18" o:title=""/>
                  <o:lock v:ext="edit" aspectratio="f"/>
                  <w10:wrap type="none"/>
                  <w10:anchorlock/>
                </v:shape>
                <o:OLEObject Type="Embed" ProgID="Visio.Drawing.15" ShapeID="_x0000_i1026" DrawAspect="Content" ObjectID="_1468075726" r:id="rId17">
                  <o:LockedField>false</o:LockedField>
                </o:OLEObject>
              </w:object>
            </w:r>
          </w:p>
          <w:p w14:paraId="1D8ADD1F">
            <w:pPr>
              <w:pStyle w:val="29"/>
              <w:bidi w:val="0"/>
              <w:jc w:val="center"/>
              <w:rPr>
                <w:rFonts w:hint="default" w:ascii="Times New Roman" w:hAnsi="Times New Roman" w:eastAsia="宋体" w:cs="Times New Roman"/>
                <w:b/>
                <w:bCs/>
                <w:snapToGrid w:val="0"/>
                <w:color w:val="auto"/>
                <w:spacing w:val="8"/>
                <w:kern w:val="0"/>
                <w:sz w:val="21"/>
                <w:szCs w:val="72"/>
                <w:highlight w:val="none"/>
                <w:lang w:eastAsia="zh-CN"/>
              </w:rPr>
            </w:pPr>
            <w:r>
              <w:rPr>
                <w:rFonts w:hint="default" w:ascii="Times New Roman" w:hAnsi="Times New Roman" w:eastAsia="宋体" w:cs="Times New Roman"/>
                <w:b/>
                <w:bCs/>
                <w:snapToGrid w:val="0"/>
                <w:color w:val="auto"/>
                <w:spacing w:val="8"/>
                <w:kern w:val="0"/>
                <w:sz w:val="21"/>
                <w:szCs w:val="72"/>
                <w:highlight w:val="none"/>
                <w:lang w:eastAsia="zh-CN"/>
              </w:rPr>
              <w:t>图2</w:t>
            </w:r>
            <w:r>
              <w:rPr>
                <w:rFonts w:hint="eastAsia" w:ascii="Times New Roman" w:hAnsi="Times New Roman" w:eastAsia="宋体" w:cs="Times New Roman"/>
                <w:b/>
                <w:bCs/>
                <w:snapToGrid w:val="0"/>
                <w:color w:val="auto"/>
                <w:spacing w:val="8"/>
                <w:kern w:val="0"/>
                <w:sz w:val="21"/>
                <w:szCs w:val="72"/>
                <w:highlight w:val="none"/>
                <w:lang w:val="en-US" w:eastAsia="zh-CN"/>
              </w:rPr>
              <w:t>-</w:t>
            </w:r>
            <w:r>
              <w:rPr>
                <w:rFonts w:hint="eastAsia" w:cs="Times New Roman"/>
                <w:b/>
                <w:bCs/>
                <w:snapToGrid w:val="0"/>
                <w:color w:val="auto"/>
                <w:spacing w:val="8"/>
                <w:kern w:val="0"/>
                <w:sz w:val="21"/>
                <w:szCs w:val="72"/>
                <w:highlight w:val="none"/>
                <w:lang w:val="en-US" w:eastAsia="zh-CN"/>
              </w:rPr>
              <w:t>4</w:t>
            </w:r>
            <w:r>
              <w:rPr>
                <w:rFonts w:hint="default" w:ascii="Times New Roman" w:hAnsi="Times New Roman" w:eastAsia="宋体" w:cs="Times New Roman"/>
                <w:b/>
                <w:bCs/>
                <w:snapToGrid w:val="0"/>
                <w:color w:val="auto"/>
                <w:spacing w:val="8"/>
                <w:kern w:val="0"/>
                <w:sz w:val="21"/>
                <w:szCs w:val="72"/>
                <w:highlight w:val="none"/>
                <w:lang w:eastAsia="zh-CN"/>
              </w:rPr>
              <w:t xml:space="preserve">   运营期</w:t>
            </w:r>
            <w:r>
              <w:rPr>
                <w:rFonts w:hint="eastAsia" w:ascii="Times New Roman" w:hAnsi="Times New Roman" w:eastAsia="宋体" w:cs="Times New Roman"/>
                <w:b/>
                <w:bCs/>
                <w:snapToGrid w:val="0"/>
                <w:color w:val="auto"/>
                <w:spacing w:val="8"/>
                <w:kern w:val="0"/>
                <w:sz w:val="21"/>
                <w:szCs w:val="72"/>
                <w:highlight w:val="none"/>
                <w:lang w:val="en-US" w:eastAsia="zh-CN"/>
              </w:rPr>
              <w:t>手术流程</w:t>
            </w:r>
            <w:r>
              <w:rPr>
                <w:rFonts w:hint="default" w:ascii="Times New Roman" w:hAnsi="Times New Roman" w:eastAsia="宋体" w:cs="Times New Roman"/>
                <w:b/>
                <w:bCs/>
                <w:snapToGrid w:val="0"/>
                <w:color w:val="auto"/>
                <w:spacing w:val="8"/>
                <w:kern w:val="0"/>
                <w:sz w:val="21"/>
                <w:szCs w:val="72"/>
                <w:highlight w:val="none"/>
                <w:lang w:eastAsia="zh-CN"/>
              </w:rPr>
              <w:t>及产污环节图</w:t>
            </w:r>
          </w:p>
          <w:p w14:paraId="285DBD9D">
            <w:pPr>
              <w:pStyle w:val="29"/>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项目主要提供宠物诊疗服务，具体工艺流程如下：</w:t>
            </w:r>
          </w:p>
          <w:p w14:paraId="7BC26C98">
            <w:pPr>
              <w:pStyle w:val="29"/>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1）挂号、初检</w:t>
            </w:r>
          </w:p>
          <w:p w14:paraId="459314BC">
            <w:pPr>
              <w:pStyle w:val="29"/>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顾客携带宠物先到前台挂号并进行初检（如发现患病动物染疫或者疑似染疫，按照国家规定立即向动物卫生监督管理局报告，并采取隔离等控制措施，防止动物疫病扩散，不得擅自进行治疗）</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排除传染性动物及超出本医院诊治能力的病症，将符合治疗条件的患病动物由导诊人员将顾客带至诊室就诊。</w:t>
            </w:r>
          </w:p>
          <w:p w14:paraId="0373333A">
            <w:pPr>
              <w:pStyle w:val="29"/>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b/>
                <w:bCs w:val="0"/>
                <w:color w:val="auto"/>
                <w:highlight w:val="none"/>
                <w:lang w:val="en-US" w:eastAsia="zh-CN"/>
              </w:rPr>
              <w:t>此过程污染物为：</w:t>
            </w:r>
            <w:r>
              <w:rPr>
                <w:rFonts w:hint="default" w:ascii="Times New Roman" w:hAnsi="Times New Roman" w:cs="Times New Roman"/>
                <w:b/>
                <w:bCs w:val="0"/>
                <w:color w:val="auto"/>
                <w:highlight w:val="none"/>
                <w:lang w:eastAsia="zh-CN"/>
              </w:rPr>
              <w:t>棉球等医疗废物</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宠物叫声。</w:t>
            </w:r>
          </w:p>
          <w:p w14:paraId="660527F8">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2）就诊（候诊）</w:t>
            </w:r>
          </w:p>
          <w:p w14:paraId="76323439">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挂号、初检完成后，符合治疗条件的患病动物由导诊（或顾客）带至诊室就诊，如诊室已有患病动物在诊，候诊患病动物需在候诊区排队等候。顾客向执业医师主诉患病动物的病情，执业医师对患病动物进行临床检查，告知顾客可能患有的疾病，需要做哪些化验检查，并打印化验通知单，告知顾客到前台缴费。</w:t>
            </w:r>
          </w:p>
          <w:p w14:paraId="3E15787F">
            <w:pPr>
              <w:pStyle w:val="29"/>
              <w:bidi w:val="0"/>
              <w:rPr>
                <w:rFonts w:hint="default" w:ascii="Times New Roman" w:hAnsi="Times New Roman" w:cs="Times New Roman"/>
                <w:color w:val="auto"/>
                <w:highlight w:val="none"/>
                <w:lang w:eastAsia="zh-CN"/>
              </w:rPr>
            </w:pPr>
            <w:r>
              <w:rPr>
                <w:rFonts w:hint="eastAsia" w:ascii="Times New Roman" w:hAnsi="Times New Roman" w:eastAsia="宋体" w:cs="Times New Roman"/>
                <w:b/>
                <w:bCs w:val="0"/>
                <w:color w:val="auto"/>
                <w:highlight w:val="none"/>
                <w:lang w:val="en-US" w:eastAsia="zh-CN"/>
              </w:rPr>
              <w:t>此过程污染物为：</w:t>
            </w:r>
            <w:r>
              <w:rPr>
                <w:rFonts w:hint="default" w:ascii="Times New Roman" w:hAnsi="Times New Roman" w:cs="Times New Roman"/>
                <w:b/>
                <w:bCs w:val="0"/>
                <w:color w:val="auto"/>
                <w:highlight w:val="none"/>
                <w:lang w:eastAsia="zh-CN"/>
              </w:rPr>
              <w:t>棉球</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废手套</w:t>
            </w:r>
            <w:r>
              <w:rPr>
                <w:rFonts w:hint="default" w:ascii="Times New Roman" w:hAnsi="Times New Roman" w:cs="Times New Roman"/>
                <w:b/>
                <w:bCs w:val="0"/>
                <w:color w:val="auto"/>
                <w:highlight w:val="none"/>
                <w:lang w:eastAsia="zh-CN"/>
              </w:rPr>
              <w:t>等医疗废物</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宠物叫声。</w:t>
            </w:r>
          </w:p>
          <w:p w14:paraId="0BC70C8B">
            <w:pPr>
              <w:pStyle w:val="29"/>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3）化验</w:t>
            </w:r>
          </w:p>
          <w:p w14:paraId="6C4090CC">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导诊（或顾客）持缴费后的化验通知单携带患病动物到</w:t>
            </w:r>
            <w:r>
              <w:rPr>
                <w:rFonts w:hint="eastAsia" w:cs="Times New Roman"/>
                <w:color w:val="auto"/>
                <w:highlight w:val="none"/>
                <w:lang w:val="en-US" w:eastAsia="zh-CN"/>
              </w:rPr>
              <w:t>处置室</w:t>
            </w:r>
            <w:r>
              <w:rPr>
                <w:rFonts w:hint="default" w:ascii="Times New Roman" w:hAnsi="Times New Roman" w:cs="Times New Roman"/>
                <w:color w:val="auto"/>
                <w:highlight w:val="none"/>
                <w:lang w:eastAsia="zh-CN"/>
              </w:rPr>
              <w:t>、影像室进行常规化验（血液、尿液、粪便等检测化验）、拍片。化验完成后，检验报告单送到诊室。</w:t>
            </w:r>
          </w:p>
          <w:p w14:paraId="66E3F887">
            <w:pPr>
              <w:pStyle w:val="29"/>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w:t>
            </w:r>
            <w:r>
              <w:rPr>
                <w:rFonts w:hint="eastAsia" w:cs="Times New Roman"/>
                <w:b/>
                <w:bCs w:val="0"/>
                <w:color w:val="auto"/>
                <w:highlight w:val="none"/>
                <w:lang w:eastAsia="zh-CN"/>
              </w:rPr>
              <w:t>：</w:t>
            </w:r>
            <w:r>
              <w:rPr>
                <w:rFonts w:hint="default" w:ascii="Times New Roman" w:hAnsi="Times New Roman" w:cs="Times New Roman"/>
                <w:b/>
                <w:bCs w:val="0"/>
                <w:color w:val="auto"/>
                <w:highlight w:val="none"/>
                <w:lang w:eastAsia="zh-CN"/>
              </w:rPr>
              <w:t>废棉球、废手套、废试管、废检测试纸、废血液样本、废尿液样本、废粪便样本</w:t>
            </w:r>
            <w:r>
              <w:rPr>
                <w:rFonts w:hint="eastAsia" w:cs="Times New Roman"/>
                <w:b/>
                <w:bCs w:val="0"/>
                <w:color w:val="auto"/>
                <w:highlight w:val="none"/>
                <w:lang w:val="en-US" w:eastAsia="zh-CN"/>
              </w:rPr>
              <w:t>等医疗废物</w:t>
            </w:r>
            <w:r>
              <w:rPr>
                <w:rFonts w:hint="default" w:ascii="Times New Roman" w:hAnsi="Times New Roman" w:cs="Times New Roman"/>
                <w:b/>
                <w:bCs w:val="0"/>
                <w:color w:val="auto"/>
                <w:highlight w:val="none"/>
                <w:lang w:eastAsia="zh-CN"/>
              </w:rPr>
              <w:t>、宠物叫声。</w:t>
            </w:r>
          </w:p>
          <w:p w14:paraId="74128C0E">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4）诊断</w:t>
            </w:r>
          </w:p>
          <w:p w14:paraId="3D095B4D">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执业医师根据化验数据做出诊断结果，根据患病动物的病情，建议顾客选择离开或治疗。</w:t>
            </w:r>
          </w:p>
          <w:p w14:paraId="22C2C86F">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5）门诊治疗</w:t>
            </w:r>
          </w:p>
          <w:p w14:paraId="41351F84">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根据诊断需要门诊治疗的，执业医师根据诊断结果到药房取药，并根据患病动物的情况进行输液、疫苗接种等诊疗过程。治疗完成后，返回诊室。执业医师</w:t>
            </w:r>
            <w:r>
              <w:rPr>
                <w:rFonts w:hint="eastAsia" w:cs="Times New Roman"/>
                <w:color w:val="auto"/>
                <w:highlight w:val="none"/>
                <w:lang w:eastAsia="zh-CN"/>
              </w:rPr>
              <w:t>交代</w:t>
            </w:r>
            <w:r>
              <w:rPr>
                <w:rFonts w:hint="default" w:ascii="Times New Roman" w:hAnsi="Times New Roman" w:cs="Times New Roman"/>
                <w:color w:val="auto"/>
                <w:highlight w:val="none"/>
                <w:lang w:eastAsia="zh-CN"/>
              </w:rPr>
              <w:t>顾客回家注意事项，送其离开，治疗结束。</w:t>
            </w:r>
          </w:p>
          <w:p w14:paraId="2136A361">
            <w:pPr>
              <w:pStyle w:val="29"/>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此过程污染物为：废棉球、废手套、废针头、废注射器、废纱布、门诊治疗废输液瓶、废药物</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医疗废物、宠物叫声、医疗废水。</w:t>
            </w:r>
          </w:p>
          <w:p w14:paraId="2C856C57">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6）手术</w:t>
            </w:r>
          </w:p>
          <w:p w14:paraId="3C61E343">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导诊根据处方需要手术的，在手术室进行手术，手术后可在病房恢复。手术内容包括动物颅腔、胸腔或腹腔手术和</w:t>
            </w:r>
            <w:r>
              <w:rPr>
                <w:rFonts w:hint="default" w:ascii="Times New Roman" w:hAnsi="Times New Roman" w:cs="Times New Roman"/>
                <w:color w:val="auto"/>
                <w:highlight w:val="none"/>
              </w:rPr>
              <w:t>宠物绝育手术</w:t>
            </w:r>
            <w:r>
              <w:rPr>
                <w:rFonts w:hint="default" w:ascii="Times New Roman" w:hAnsi="Times New Roman" w:cs="Times New Roman"/>
                <w:color w:val="auto"/>
                <w:highlight w:val="none"/>
                <w:lang w:eastAsia="zh-CN"/>
              </w:rPr>
              <w:t>等。</w:t>
            </w:r>
          </w:p>
          <w:p w14:paraId="576E0674">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①麻醉</w:t>
            </w:r>
          </w:p>
          <w:p w14:paraId="7D3E5851">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宠物医生跟顾客签好手术协议并告知风险后将宠物带入手术室进行麻醉。</w:t>
            </w:r>
          </w:p>
          <w:p w14:paraId="41FD6C4B">
            <w:pPr>
              <w:pStyle w:val="29"/>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此过程污染物为：废棉球、废手套、废注射器</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1927D0B2">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②剃毛</w:t>
            </w:r>
          </w:p>
          <w:p w14:paraId="22F7FB63">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宠物医生将患病宠物需要手术区域的毛发剔除，便于后续手术操作。</w:t>
            </w:r>
          </w:p>
          <w:p w14:paraId="390D70FF">
            <w:pPr>
              <w:pStyle w:val="29"/>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w:t>
            </w:r>
            <w:r>
              <w:rPr>
                <w:rFonts w:hint="eastAsia" w:cs="Times New Roman"/>
                <w:b/>
                <w:bCs w:val="0"/>
                <w:color w:val="auto"/>
                <w:highlight w:val="none"/>
                <w:lang w:val="en-US" w:eastAsia="zh-CN"/>
              </w:rPr>
              <w:t>宠物</w:t>
            </w:r>
            <w:r>
              <w:rPr>
                <w:rFonts w:hint="default" w:ascii="Times New Roman" w:hAnsi="Times New Roman" w:cs="Times New Roman"/>
                <w:b/>
                <w:bCs w:val="0"/>
                <w:color w:val="auto"/>
                <w:highlight w:val="none"/>
                <w:lang w:eastAsia="zh-CN"/>
              </w:rPr>
              <w:t>毛发。</w:t>
            </w:r>
          </w:p>
          <w:p w14:paraId="6B3C59DA">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③消毒</w:t>
            </w:r>
          </w:p>
          <w:p w14:paraId="739A9DE5">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宠物医生将患病宠物需要手术区域进行消毒，避免手术过程中伤口感染。</w:t>
            </w:r>
          </w:p>
          <w:p w14:paraId="78F0A1FF">
            <w:pPr>
              <w:pStyle w:val="29"/>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497228BC">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④开刀</w:t>
            </w:r>
          </w:p>
          <w:p w14:paraId="033B9A31">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宠物医生将患病宠物需要手术的部分划开，观察内部情况并做出判断进行手术操作，渗出的血液由纱布擦拭。</w:t>
            </w:r>
          </w:p>
          <w:p w14:paraId="658D25C2">
            <w:pPr>
              <w:pStyle w:val="29"/>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此过程污染物为：废棉球、废纱布</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0AE5B137">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⑤切除组织等</w:t>
            </w:r>
          </w:p>
          <w:p w14:paraId="4C66EDD8">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根据患病宠物实际情况，宠物医生对宠物进行相应的手术操作。对于失血多的宠物及时输血。</w:t>
            </w:r>
          </w:p>
          <w:p w14:paraId="1248CB56">
            <w:pPr>
              <w:pStyle w:val="29"/>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此过程污染物为：废棉球、废手套、动物组织、器官、废输血器、废手术刀</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75F56901">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⑥缝合</w:t>
            </w:r>
          </w:p>
          <w:p w14:paraId="66E096D8">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手术操作完成后对伤口进行缝合，并用纱布对伤口进行包裹。</w:t>
            </w:r>
          </w:p>
          <w:p w14:paraId="78A485D2">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注：极特殊情况造成宠物院内死亡时，由宠物主人</w:t>
            </w:r>
            <w:r>
              <w:rPr>
                <w:rFonts w:hint="eastAsia" w:cs="Times New Roman"/>
                <w:color w:val="auto"/>
                <w:highlight w:val="none"/>
                <w:lang w:val="en-US" w:eastAsia="zh-CN"/>
              </w:rPr>
              <w:t>自行</w:t>
            </w:r>
            <w:r>
              <w:rPr>
                <w:rFonts w:hint="default" w:ascii="Times New Roman" w:hAnsi="Times New Roman" w:cs="Times New Roman"/>
                <w:color w:val="auto"/>
                <w:highlight w:val="none"/>
                <w:lang w:eastAsia="zh-CN"/>
              </w:rPr>
              <w:t>带走</w:t>
            </w:r>
            <w:r>
              <w:rPr>
                <w:rFonts w:hint="eastAsia" w:cs="Times New Roman"/>
                <w:color w:val="auto"/>
                <w:highlight w:val="none"/>
                <w:lang w:val="en-US" w:eastAsia="zh-CN"/>
              </w:rPr>
              <w:t>处置</w:t>
            </w:r>
            <w:r>
              <w:rPr>
                <w:rFonts w:hint="default" w:ascii="Times New Roman" w:hAnsi="Times New Roman" w:cs="Times New Roman"/>
                <w:color w:val="auto"/>
                <w:highlight w:val="none"/>
                <w:lang w:eastAsia="zh-CN"/>
              </w:rPr>
              <w:t>。</w:t>
            </w:r>
          </w:p>
          <w:p w14:paraId="031749F3">
            <w:pPr>
              <w:pStyle w:val="29"/>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此过程污染物为：废棉球、废手套、废纱布、废缝合针</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1BB0D699">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7）住院治疗</w:t>
            </w:r>
          </w:p>
          <w:p w14:paraId="56987D3E">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手术完成后，患病动物住院继续进行观察治疗。安排住院的宠物安置于专用的宠物笼内，笼下方设有粪便托盘，设专人对宠物排便进行观察记录，及时清理。患病动物治疗康复后，出院离开。</w:t>
            </w:r>
          </w:p>
          <w:p w14:paraId="03D834C5">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b/>
                <w:bCs w:val="0"/>
                <w:color w:val="auto"/>
                <w:highlight w:val="none"/>
                <w:lang w:eastAsia="zh-CN"/>
              </w:rPr>
              <w:t>此过程污染物为：宠物本身散发</w:t>
            </w:r>
            <w:r>
              <w:rPr>
                <w:rFonts w:hint="eastAsia" w:cs="Times New Roman"/>
                <w:b/>
                <w:bCs w:val="0"/>
                <w:color w:val="auto"/>
                <w:highlight w:val="none"/>
                <w:lang w:val="en-US" w:eastAsia="zh-CN"/>
              </w:rPr>
              <w:t>或排泄物异味，</w:t>
            </w:r>
            <w:r>
              <w:rPr>
                <w:rFonts w:hint="default"/>
                <w:b/>
                <w:bCs w:val="0"/>
                <w:color w:val="auto"/>
                <w:highlight w:val="none"/>
                <w:lang w:val="en-US" w:eastAsia="zh-CN"/>
              </w:rPr>
              <w:t>宠物粪便及猫砂</w:t>
            </w:r>
            <w:r>
              <w:rPr>
                <w:rFonts w:hint="eastAsia" w:cs="Times New Roman"/>
                <w:b/>
                <w:bCs w:val="0"/>
                <w:color w:val="auto"/>
                <w:highlight w:val="none"/>
                <w:lang w:eastAsia="zh-CN"/>
              </w:rPr>
              <w:t>，</w:t>
            </w:r>
            <w:r>
              <w:rPr>
                <w:rFonts w:hint="default"/>
                <w:b/>
                <w:bCs w:val="0"/>
                <w:color w:val="auto"/>
                <w:highlight w:val="none"/>
                <w:lang w:val="en-US" w:eastAsia="zh-CN"/>
              </w:rPr>
              <w:t>拆包过</w:t>
            </w:r>
            <w:r>
              <w:rPr>
                <w:rFonts w:hint="eastAsia"/>
                <w:b/>
                <w:bCs w:val="0"/>
                <w:color w:val="auto"/>
                <w:highlight w:val="none"/>
                <w:lang w:val="en-US" w:eastAsia="zh-CN"/>
              </w:rPr>
              <w:t>程中</w:t>
            </w:r>
            <w:r>
              <w:rPr>
                <w:rFonts w:hint="default"/>
                <w:b/>
                <w:bCs w:val="0"/>
                <w:color w:val="auto"/>
                <w:highlight w:val="none"/>
                <w:lang w:val="en-US" w:eastAsia="zh-CN"/>
              </w:rPr>
              <w:t>产生的废包装物、输液瓶（袋）</w:t>
            </w:r>
            <w:r>
              <w:rPr>
                <w:rFonts w:hint="eastAsia"/>
                <w:b/>
                <w:bCs w:val="0"/>
                <w:color w:val="auto"/>
                <w:highlight w:val="none"/>
                <w:lang w:val="en-US" w:eastAsia="zh-CN"/>
              </w:rPr>
              <w:t>，</w:t>
            </w:r>
            <w:r>
              <w:rPr>
                <w:rFonts w:hint="default" w:ascii="Times New Roman" w:hAnsi="Times New Roman" w:cs="Times New Roman"/>
                <w:b/>
                <w:bCs w:val="0"/>
                <w:color w:val="auto"/>
                <w:highlight w:val="none"/>
                <w:lang w:eastAsia="zh-CN"/>
              </w:rPr>
              <w:t>废棉球、废手套、废针头、</w:t>
            </w:r>
            <w:r>
              <w:rPr>
                <w:rFonts w:hint="default"/>
                <w:b/>
                <w:bCs w:val="0"/>
                <w:color w:val="auto"/>
                <w:highlight w:val="none"/>
                <w:lang w:val="en-US" w:eastAsia="zh-CN"/>
              </w:rPr>
              <w:t>患病宠物排泄物及猫砂</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医疗废物、宠物叫声、医疗废水。</w:t>
            </w:r>
          </w:p>
          <w:p w14:paraId="7B11FFDE">
            <w:pPr>
              <w:widowControl w:val="0"/>
              <w:spacing w:line="360" w:lineRule="auto"/>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本项目产排污情况见表2-</w:t>
            </w:r>
            <w:r>
              <w:rPr>
                <w:rFonts w:hint="eastAsia" w:cs="Times New Roman"/>
                <w:b w:val="0"/>
                <w:bCs w:val="0"/>
                <w:color w:val="auto"/>
                <w:kern w:val="2"/>
                <w:sz w:val="24"/>
                <w:szCs w:val="24"/>
                <w:highlight w:val="none"/>
                <w:lang w:val="en-US" w:eastAsia="zh-CN" w:bidi="ar-SA"/>
              </w:rPr>
              <w:t>6</w:t>
            </w:r>
            <w:r>
              <w:rPr>
                <w:rFonts w:hint="default" w:ascii="Times New Roman" w:hAnsi="Times New Roman" w:eastAsia="宋体" w:cs="Times New Roman"/>
                <w:b w:val="0"/>
                <w:bCs w:val="0"/>
                <w:color w:val="auto"/>
                <w:kern w:val="2"/>
                <w:sz w:val="24"/>
                <w:szCs w:val="24"/>
                <w:highlight w:val="none"/>
                <w:lang w:val="en-US" w:eastAsia="zh-CN" w:bidi="ar-SA"/>
              </w:rPr>
              <w:t>。</w:t>
            </w:r>
          </w:p>
          <w:p w14:paraId="21F0B811">
            <w:pPr>
              <w:widowControl w:val="0"/>
              <w:kinsoku/>
              <w:autoSpaceDE/>
              <w:autoSpaceDN/>
              <w:adjustRightInd w:val="0"/>
              <w:snapToGrid w:val="0"/>
              <w:spacing w:line="240" w:lineRule="auto"/>
              <w:ind w:firstLine="422" w:firstLineChars="200"/>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表2-</w:t>
            </w:r>
            <w:r>
              <w:rPr>
                <w:rFonts w:hint="eastAsia" w:cs="Times New Roman"/>
                <w:b/>
                <w:bCs/>
                <w:snapToGrid/>
                <w:color w:val="auto"/>
                <w:kern w:val="2"/>
                <w:sz w:val="21"/>
                <w:szCs w:val="21"/>
                <w:highlight w:val="none"/>
                <w:lang w:val="en-US" w:eastAsia="zh-CN" w:bidi="ar-SA"/>
              </w:rPr>
              <w:t>6</w:t>
            </w:r>
            <w:r>
              <w:rPr>
                <w:rFonts w:hint="default" w:ascii="Times New Roman" w:hAnsi="Times New Roman" w:eastAsia="宋体" w:cs="Times New Roman"/>
                <w:b/>
                <w:bCs/>
                <w:snapToGrid/>
                <w:color w:val="auto"/>
                <w:kern w:val="2"/>
                <w:sz w:val="21"/>
                <w:szCs w:val="21"/>
                <w:highlight w:val="none"/>
                <w:lang w:val="en-US" w:eastAsia="zh-CN" w:bidi="ar-SA"/>
              </w:rPr>
              <w:t xml:space="preserve">   产排污环节一览表</w:t>
            </w:r>
          </w:p>
          <w:tbl>
            <w:tblPr>
              <w:tblStyle w:val="14"/>
              <w:tblW w:w="494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625"/>
              <w:gridCol w:w="1610"/>
              <w:gridCol w:w="1362"/>
              <w:gridCol w:w="1412"/>
              <w:gridCol w:w="1442"/>
              <w:gridCol w:w="1858"/>
            </w:tblGrid>
            <w:tr w14:paraId="0B2ADF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tblHeader/>
                <w:jc w:val="center"/>
              </w:trPr>
              <w:tc>
                <w:tcPr>
                  <w:tcW w:w="625" w:type="dxa"/>
                  <w:tcBorders>
                    <w:tl2br w:val="nil"/>
                    <w:tr2bl w:val="nil"/>
                  </w:tcBorders>
                  <w:shd w:val="clear" w:color="auto" w:fill="auto"/>
                  <w:vAlign w:val="center"/>
                </w:tcPr>
                <w:p w14:paraId="0300580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类别</w:t>
                  </w:r>
                </w:p>
              </w:tc>
              <w:tc>
                <w:tcPr>
                  <w:tcW w:w="1610" w:type="dxa"/>
                  <w:tcBorders>
                    <w:tl2br w:val="nil"/>
                    <w:tr2bl w:val="nil"/>
                  </w:tcBorders>
                  <w:shd w:val="clear" w:color="auto" w:fill="auto"/>
                  <w:vAlign w:val="center"/>
                </w:tcPr>
                <w:p w14:paraId="36D066A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产污环节</w:t>
                  </w:r>
                </w:p>
              </w:tc>
              <w:tc>
                <w:tcPr>
                  <w:tcW w:w="1362" w:type="dxa"/>
                  <w:tcBorders>
                    <w:tl2br w:val="nil"/>
                    <w:tr2bl w:val="nil"/>
                  </w:tcBorders>
                  <w:shd w:val="clear" w:color="auto" w:fill="auto"/>
                  <w:vAlign w:val="center"/>
                </w:tcPr>
                <w:p w14:paraId="3EFA224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污染物名称</w:t>
                  </w:r>
                </w:p>
              </w:tc>
              <w:tc>
                <w:tcPr>
                  <w:tcW w:w="1412" w:type="dxa"/>
                  <w:tcBorders>
                    <w:tl2br w:val="nil"/>
                    <w:tr2bl w:val="nil"/>
                  </w:tcBorders>
                  <w:shd w:val="clear" w:color="auto" w:fill="auto"/>
                  <w:vAlign w:val="center"/>
                </w:tcPr>
                <w:p w14:paraId="6DA0B27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污染因子</w:t>
                  </w:r>
                </w:p>
              </w:tc>
              <w:tc>
                <w:tcPr>
                  <w:tcW w:w="3300" w:type="dxa"/>
                  <w:gridSpan w:val="2"/>
                  <w:tcBorders>
                    <w:tl2br w:val="nil"/>
                    <w:tr2bl w:val="nil"/>
                  </w:tcBorders>
                  <w:shd w:val="clear" w:color="auto" w:fill="auto"/>
                  <w:vAlign w:val="center"/>
                </w:tcPr>
                <w:p w14:paraId="7D231AA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排放/处理方式</w:t>
                  </w:r>
                </w:p>
              </w:tc>
            </w:tr>
            <w:tr w14:paraId="28A1C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restart"/>
                  <w:tcBorders>
                    <w:tl2br w:val="nil"/>
                    <w:tr2bl w:val="nil"/>
                  </w:tcBorders>
                  <w:shd w:val="clear" w:color="auto" w:fill="auto"/>
                  <w:vAlign w:val="center"/>
                </w:tcPr>
                <w:p w14:paraId="1BF2AFB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废气</w:t>
                  </w:r>
                </w:p>
              </w:tc>
              <w:tc>
                <w:tcPr>
                  <w:tcW w:w="1610" w:type="dxa"/>
                  <w:tcBorders>
                    <w:tl2br w:val="nil"/>
                    <w:tr2bl w:val="nil"/>
                  </w:tcBorders>
                  <w:shd w:val="clear" w:color="auto" w:fill="auto"/>
                  <w:vAlign w:val="center"/>
                </w:tcPr>
                <w:p w14:paraId="2373370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宠物本身散发或排泄物</w:t>
                  </w:r>
                </w:p>
              </w:tc>
              <w:tc>
                <w:tcPr>
                  <w:tcW w:w="1362" w:type="dxa"/>
                  <w:tcBorders>
                    <w:tl2br w:val="nil"/>
                    <w:tr2bl w:val="nil"/>
                  </w:tcBorders>
                  <w:shd w:val="clear" w:color="auto" w:fill="auto"/>
                  <w:vAlign w:val="center"/>
                </w:tcPr>
                <w:p w14:paraId="4F418EC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宠物本身散发或排泄物</w:t>
                  </w:r>
                  <w:r>
                    <w:rPr>
                      <w:rFonts w:hint="eastAsia" w:ascii="Times New Roman" w:hAnsi="Times New Roman" w:eastAsia="宋体" w:cs="Times New Roman"/>
                      <w:b w:val="0"/>
                      <w:bCs w:val="0"/>
                      <w:color w:val="auto"/>
                      <w:kern w:val="2"/>
                      <w:sz w:val="21"/>
                      <w:szCs w:val="21"/>
                      <w:lang w:val="en-US" w:eastAsia="zh-CN" w:bidi="ar-SA"/>
                    </w:rPr>
                    <w:t>异味</w:t>
                  </w:r>
                </w:p>
              </w:tc>
              <w:tc>
                <w:tcPr>
                  <w:tcW w:w="1412" w:type="dxa"/>
                  <w:tcBorders>
                    <w:tl2br w:val="nil"/>
                    <w:tr2bl w:val="nil"/>
                  </w:tcBorders>
                  <w:shd w:val="clear" w:color="auto" w:fill="auto"/>
                  <w:vAlign w:val="center"/>
                </w:tcPr>
                <w:p w14:paraId="78D0EF4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臭气浓度</w:t>
                  </w:r>
                </w:p>
              </w:tc>
              <w:tc>
                <w:tcPr>
                  <w:tcW w:w="3300" w:type="dxa"/>
                  <w:gridSpan w:val="2"/>
                  <w:tcBorders>
                    <w:tl2br w:val="nil"/>
                    <w:tr2bl w:val="nil"/>
                  </w:tcBorders>
                  <w:shd w:val="clear" w:color="auto" w:fill="auto"/>
                  <w:vAlign w:val="center"/>
                </w:tcPr>
                <w:p w14:paraId="6AC87EE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动物粪便及时清理，消毒后装入密封袋，减少暴露时间，减少臭气产生，房间内采取紫外灯消毒、新风系统、喷洒生物除臭剂等措施。</w:t>
                  </w:r>
                </w:p>
              </w:tc>
            </w:tr>
            <w:tr w14:paraId="591A5E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570D3D7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11E8440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污水处理设施</w:t>
                  </w:r>
                </w:p>
              </w:tc>
              <w:tc>
                <w:tcPr>
                  <w:tcW w:w="1362" w:type="dxa"/>
                  <w:tcBorders>
                    <w:tl2br w:val="nil"/>
                    <w:tr2bl w:val="nil"/>
                  </w:tcBorders>
                  <w:shd w:val="clear" w:color="auto" w:fill="auto"/>
                  <w:vAlign w:val="center"/>
                </w:tcPr>
                <w:p w14:paraId="220D294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污水处理设施异味</w:t>
                  </w:r>
                </w:p>
              </w:tc>
              <w:tc>
                <w:tcPr>
                  <w:tcW w:w="1412" w:type="dxa"/>
                  <w:tcBorders>
                    <w:tl2br w:val="nil"/>
                    <w:tr2bl w:val="nil"/>
                  </w:tcBorders>
                  <w:shd w:val="clear" w:color="auto" w:fill="auto"/>
                  <w:vAlign w:val="center"/>
                </w:tcPr>
                <w:p w14:paraId="010D856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臭气浓度</w:t>
                  </w:r>
                </w:p>
              </w:tc>
              <w:tc>
                <w:tcPr>
                  <w:tcW w:w="3300" w:type="dxa"/>
                  <w:gridSpan w:val="2"/>
                  <w:tcBorders>
                    <w:tl2br w:val="nil"/>
                    <w:tr2bl w:val="nil"/>
                  </w:tcBorders>
                  <w:shd w:val="clear" w:color="auto" w:fill="auto"/>
                  <w:vAlign w:val="center"/>
                </w:tcPr>
                <w:p w14:paraId="4E1EC33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密闭</w:t>
                  </w:r>
                  <w:r>
                    <w:rPr>
                      <w:rFonts w:hint="eastAsia" w:ascii="Times New Roman" w:hAnsi="Times New Roman" w:eastAsia="宋体" w:cs="Times New Roman"/>
                      <w:b w:val="0"/>
                      <w:bCs w:val="0"/>
                      <w:color w:val="auto"/>
                      <w:kern w:val="2"/>
                      <w:sz w:val="21"/>
                      <w:szCs w:val="21"/>
                      <w:lang w:val="en-US" w:eastAsia="zh-CN" w:bidi="ar-SA"/>
                    </w:rPr>
                    <w:t>设备</w:t>
                  </w:r>
                  <w:r>
                    <w:rPr>
                      <w:rFonts w:hint="default" w:ascii="Times New Roman" w:hAnsi="Times New Roman" w:eastAsia="宋体" w:cs="Times New Roman"/>
                      <w:b w:val="0"/>
                      <w:bCs w:val="0"/>
                      <w:color w:val="auto"/>
                      <w:kern w:val="2"/>
                      <w:sz w:val="21"/>
                      <w:szCs w:val="21"/>
                      <w:lang w:val="en-US" w:eastAsia="zh-CN" w:bidi="ar-SA"/>
                    </w:rPr>
                    <w:t>，规模较小，</w:t>
                  </w:r>
                  <w:r>
                    <w:rPr>
                      <w:rFonts w:hint="eastAsia" w:ascii="Times New Roman" w:hAnsi="Times New Roman" w:eastAsia="宋体" w:cs="Times New Roman"/>
                      <w:b w:val="0"/>
                      <w:bCs w:val="0"/>
                      <w:color w:val="auto"/>
                      <w:kern w:val="2"/>
                      <w:sz w:val="21"/>
                      <w:szCs w:val="21"/>
                      <w:lang w:val="en-US" w:eastAsia="zh-CN" w:bidi="ar-SA"/>
                    </w:rPr>
                    <w:t>经</w:t>
                  </w:r>
                  <w:r>
                    <w:rPr>
                      <w:rFonts w:hint="default" w:ascii="Times New Roman" w:hAnsi="Times New Roman" w:eastAsia="宋体" w:cs="Times New Roman"/>
                      <w:b w:val="0"/>
                      <w:bCs w:val="0"/>
                      <w:color w:val="auto"/>
                      <w:kern w:val="2"/>
                      <w:sz w:val="21"/>
                      <w:szCs w:val="21"/>
                      <w:lang w:val="en-US" w:eastAsia="zh-CN" w:bidi="ar-SA"/>
                    </w:rPr>
                    <w:t>加强通风和定期消毒处理</w:t>
                  </w:r>
                  <w:r>
                    <w:rPr>
                      <w:rFonts w:hint="eastAsia" w:cs="Times New Roman"/>
                      <w:b w:val="0"/>
                      <w:bCs w:val="0"/>
                      <w:color w:val="auto"/>
                      <w:kern w:val="2"/>
                      <w:sz w:val="21"/>
                      <w:szCs w:val="21"/>
                      <w:lang w:val="en-US" w:eastAsia="zh-CN" w:bidi="ar-SA"/>
                    </w:rPr>
                    <w:t>。</w:t>
                  </w:r>
                </w:p>
              </w:tc>
            </w:tr>
            <w:tr w14:paraId="1BAA92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070A8D3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6CD02BA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snapToGrid w:val="0"/>
                      <w:color w:val="auto"/>
                      <w:kern w:val="2"/>
                      <w:sz w:val="21"/>
                      <w:szCs w:val="21"/>
                      <w:lang w:val="en-US" w:eastAsia="zh-CN" w:bidi="ar-SA"/>
                    </w:rPr>
                    <w:t>医疗废物贮存间</w:t>
                  </w:r>
                </w:p>
              </w:tc>
              <w:tc>
                <w:tcPr>
                  <w:tcW w:w="1362" w:type="dxa"/>
                  <w:tcBorders>
                    <w:tl2br w:val="nil"/>
                    <w:tr2bl w:val="nil"/>
                  </w:tcBorders>
                  <w:shd w:val="clear" w:color="auto" w:fill="auto"/>
                  <w:vAlign w:val="center"/>
                </w:tcPr>
                <w:p w14:paraId="5CB41C7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snapToGrid w:val="0"/>
                      <w:color w:val="auto"/>
                      <w:kern w:val="2"/>
                      <w:sz w:val="21"/>
                      <w:szCs w:val="21"/>
                      <w:lang w:val="en-US" w:eastAsia="zh-CN" w:bidi="ar-SA"/>
                    </w:rPr>
                    <w:t>医疗废物贮存间</w:t>
                  </w:r>
                  <w:r>
                    <w:rPr>
                      <w:rFonts w:hint="eastAsia" w:ascii="Times New Roman" w:hAnsi="Times New Roman" w:eastAsia="宋体" w:cs="Times New Roman"/>
                      <w:b w:val="0"/>
                      <w:bCs w:val="0"/>
                      <w:color w:val="auto"/>
                      <w:kern w:val="2"/>
                      <w:sz w:val="21"/>
                      <w:szCs w:val="21"/>
                      <w:lang w:val="en-US" w:eastAsia="zh-CN" w:bidi="ar-SA"/>
                    </w:rPr>
                    <w:t>异味</w:t>
                  </w:r>
                </w:p>
              </w:tc>
              <w:tc>
                <w:tcPr>
                  <w:tcW w:w="1412" w:type="dxa"/>
                  <w:tcBorders>
                    <w:tl2br w:val="nil"/>
                    <w:tr2bl w:val="nil"/>
                  </w:tcBorders>
                  <w:shd w:val="clear" w:color="auto" w:fill="auto"/>
                  <w:vAlign w:val="center"/>
                </w:tcPr>
                <w:p w14:paraId="3538C9A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臭气浓度</w:t>
                  </w:r>
                </w:p>
              </w:tc>
              <w:tc>
                <w:tcPr>
                  <w:tcW w:w="3300" w:type="dxa"/>
                  <w:gridSpan w:val="2"/>
                  <w:tcBorders>
                    <w:tl2br w:val="nil"/>
                    <w:tr2bl w:val="nil"/>
                  </w:tcBorders>
                  <w:shd w:val="clear" w:color="auto" w:fill="auto"/>
                  <w:vAlign w:val="center"/>
                </w:tcPr>
                <w:p w14:paraId="04957213">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snapToGrid w:val="0"/>
                      <w:color w:val="auto"/>
                      <w:spacing w:val="0"/>
                      <w:kern w:val="2"/>
                      <w:sz w:val="21"/>
                      <w:szCs w:val="21"/>
                      <w:lang w:val="en-US" w:eastAsia="zh-CN" w:bidi="ar-SA"/>
                    </w:rPr>
                    <w:t>医疗废物储存加盖密封，同时加强管理，做好消毒工作，及时清运，定期进行医疗废物贮存间存储设施、设备的清洁和消毒工作，确保医疗废物的暂存时间最多不超过2</w:t>
                  </w:r>
                  <w:r>
                    <w:rPr>
                      <w:rFonts w:hint="eastAsia" w:ascii="Times New Roman" w:hAnsi="Times New Roman" w:eastAsia="宋体" w:cs="Times New Roman"/>
                      <w:b w:val="0"/>
                      <w:bCs w:val="0"/>
                      <w:snapToGrid w:val="0"/>
                      <w:color w:val="auto"/>
                      <w:spacing w:val="0"/>
                      <w:kern w:val="2"/>
                      <w:sz w:val="21"/>
                      <w:szCs w:val="21"/>
                      <w:lang w:val="en-US" w:eastAsia="zh-CN" w:bidi="ar-SA"/>
                    </w:rPr>
                    <w:t>天</w:t>
                  </w:r>
                  <w:r>
                    <w:rPr>
                      <w:rFonts w:hint="eastAsia" w:cs="Times New Roman"/>
                      <w:b w:val="0"/>
                      <w:bCs w:val="0"/>
                      <w:snapToGrid w:val="0"/>
                      <w:color w:val="auto"/>
                      <w:spacing w:val="0"/>
                      <w:kern w:val="2"/>
                      <w:sz w:val="21"/>
                      <w:szCs w:val="21"/>
                      <w:lang w:val="en-US" w:eastAsia="zh-CN" w:bidi="ar-SA"/>
                    </w:rPr>
                    <w:t>。</w:t>
                  </w:r>
                </w:p>
              </w:tc>
            </w:tr>
            <w:tr w14:paraId="191F5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restart"/>
                  <w:tcBorders>
                    <w:tl2br w:val="nil"/>
                    <w:tr2bl w:val="nil"/>
                  </w:tcBorders>
                  <w:shd w:val="clear" w:color="auto" w:fill="auto"/>
                  <w:vAlign w:val="center"/>
                </w:tcPr>
                <w:p w14:paraId="228154A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废水</w:t>
                  </w:r>
                </w:p>
              </w:tc>
              <w:tc>
                <w:tcPr>
                  <w:tcW w:w="1610" w:type="dxa"/>
                  <w:tcBorders>
                    <w:tl2br w:val="nil"/>
                    <w:tr2bl w:val="nil"/>
                  </w:tcBorders>
                  <w:shd w:val="clear" w:color="auto" w:fill="auto"/>
                  <w:vAlign w:val="center"/>
                </w:tcPr>
                <w:p w14:paraId="697DBA5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62" w:type="dxa"/>
                  <w:tcBorders>
                    <w:tl2br w:val="nil"/>
                    <w:tr2bl w:val="nil"/>
                  </w:tcBorders>
                  <w:shd w:val="clear" w:color="auto" w:fill="auto"/>
                  <w:vAlign w:val="center"/>
                </w:tcPr>
                <w:p w14:paraId="22B4093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医疗废水</w:t>
                  </w:r>
                  <w:r>
                    <w:rPr>
                      <w:rFonts w:hint="eastAsia" w:cs="Times New Roman"/>
                      <w:b w:val="0"/>
                      <w:bCs w:val="0"/>
                      <w:color w:val="auto"/>
                      <w:kern w:val="2"/>
                      <w:sz w:val="21"/>
                      <w:szCs w:val="21"/>
                      <w:lang w:val="en-US" w:eastAsia="zh-CN" w:bidi="ar-SA"/>
                    </w:rPr>
                    <w:t>、清洗消毒废水</w:t>
                  </w:r>
                </w:p>
              </w:tc>
              <w:tc>
                <w:tcPr>
                  <w:tcW w:w="1412" w:type="dxa"/>
                  <w:tcBorders>
                    <w:tl2br w:val="nil"/>
                    <w:tr2bl w:val="nil"/>
                  </w:tcBorders>
                  <w:shd w:val="clear" w:color="auto" w:fill="auto"/>
                  <w:vAlign w:val="center"/>
                </w:tcPr>
                <w:p w14:paraId="5D9341F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COD、NH₃-N、SS、BOD</w:t>
                  </w:r>
                  <w:r>
                    <w:rPr>
                      <w:rFonts w:hint="default" w:ascii="Times New Roman" w:hAnsi="Times New Roman" w:eastAsia="宋体" w:cs="Times New Roman"/>
                      <w:b w:val="0"/>
                      <w:bCs w:val="0"/>
                      <w:color w:val="auto"/>
                      <w:kern w:val="2"/>
                      <w:sz w:val="21"/>
                      <w:szCs w:val="21"/>
                      <w:vertAlign w:val="subscript"/>
                      <w:lang w:val="en-US" w:eastAsia="zh-CN" w:bidi="ar-SA"/>
                    </w:rPr>
                    <w:t>5</w:t>
                  </w:r>
                  <w:r>
                    <w:rPr>
                      <w:rFonts w:hint="default" w:ascii="Times New Roman" w:hAnsi="Times New Roman" w:eastAsia="宋体" w:cs="Times New Roman"/>
                      <w:b w:val="0"/>
                      <w:bCs w:val="0"/>
                      <w:color w:val="auto"/>
                      <w:kern w:val="2"/>
                      <w:sz w:val="21"/>
                      <w:szCs w:val="21"/>
                      <w:lang w:val="en-US" w:eastAsia="zh-CN" w:bidi="ar-SA"/>
                    </w:rPr>
                    <w:t>、粪大肠菌群</w:t>
                  </w:r>
                  <w:r>
                    <w:rPr>
                      <w:rFonts w:hint="eastAsia" w:cs="Times New Roman"/>
                      <w:b w:val="0"/>
                      <w:bCs w:val="0"/>
                      <w:color w:val="auto"/>
                      <w:kern w:val="2"/>
                      <w:sz w:val="21"/>
                      <w:szCs w:val="21"/>
                      <w:lang w:val="en-US" w:eastAsia="zh-CN" w:bidi="ar-SA"/>
                    </w:rPr>
                    <w:t>数</w:t>
                  </w:r>
                </w:p>
              </w:tc>
              <w:tc>
                <w:tcPr>
                  <w:tcW w:w="1442" w:type="dxa"/>
                  <w:tcBorders>
                    <w:tl2br w:val="nil"/>
                    <w:tr2bl w:val="nil"/>
                  </w:tcBorders>
                  <w:shd w:val="clear" w:color="auto" w:fill="auto"/>
                  <w:vAlign w:val="center"/>
                </w:tcPr>
                <w:p w14:paraId="2CA4022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一体化污水处理设施预处理</w:t>
                  </w:r>
                  <w:r>
                    <w:rPr>
                      <w:rFonts w:hint="eastAsia" w:ascii="Times New Roman" w:hAnsi="Times New Roman" w:eastAsia="宋体" w:cs="Times New Roman"/>
                      <w:b w:val="0"/>
                      <w:bCs w:val="0"/>
                      <w:color w:val="auto"/>
                      <w:kern w:val="2"/>
                      <w:sz w:val="21"/>
                      <w:szCs w:val="21"/>
                      <w:lang w:val="en-US" w:eastAsia="zh-CN" w:bidi="ar-SA"/>
                    </w:rPr>
                    <w:t>后</w:t>
                  </w:r>
                </w:p>
              </w:tc>
              <w:tc>
                <w:tcPr>
                  <w:tcW w:w="1858" w:type="dxa"/>
                  <w:vMerge w:val="restart"/>
                  <w:tcBorders>
                    <w:tl2br w:val="nil"/>
                    <w:tr2bl w:val="nil"/>
                  </w:tcBorders>
                  <w:shd w:val="clear" w:color="auto" w:fill="auto"/>
                  <w:vAlign w:val="center"/>
                </w:tcPr>
                <w:p w14:paraId="11F3557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排入市政排水管网</w:t>
                  </w:r>
                  <w:r>
                    <w:rPr>
                      <w:rFonts w:hint="eastAsia" w:ascii="Times New Roman" w:hAnsi="Times New Roman" w:eastAsia="宋体" w:cs="Times New Roman"/>
                      <w:b w:val="0"/>
                      <w:bCs w:val="0"/>
                      <w:color w:val="auto"/>
                      <w:kern w:val="2"/>
                      <w:sz w:val="21"/>
                      <w:szCs w:val="21"/>
                      <w:lang w:val="en-US" w:eastAsia="zh-CN" w:bidi="ar-SA"/>
                    </w:rPr>
                    <w:t>后最终进入库尔勒市</w:t>
                  </w:r>
                  <w:r>
                    <w:rPr>
                      <w:rFonts w:hint="eastAsia" w:cs="Times New Roman"/>
                      <w:b w:val="0"/>
                      <w:bCs w:val="0"/>
                      <w:color w:val="auto"/>
                      <w:kern w:val="2"/>
                      <w:sz w:val="21"/>
                      <w:szCs w:val="21"/>
                      <w:lang w:val="en-US" w:eastAsia="zh-CN" w:bidi="ar-SA"/>
                    </w:rPr>
                    <w:t>老城区</w:t>
                  </w:r>
                  <w:r>
                    <w:rPr>
                      <w:rFonts w:hint="eastAsia" w:ascii="Times New Roman" w:hAnsi="Times New Roman" w:eastAsia="宋体" w:cs="Times New Roman"/>
                      <w:b w:val="0"/>
                      <w:bCs w:val="0"/>
                      <w:color w:val="auto"/>
                      <w:kern w:val="2"/>
                      <w:sz w:val="21"/>
                      <w:szCs w:val="21"/>
                      <w:lang w:val="en-US" w:eastAsia="zh-CN" w:bidi="ar-SA"/>
                    </w:rPr>
                    <w:t>污水处理厂</w:t>
                  </w:r>
                  <w:r>
                    <w:rPr>
                      <w:rFonts w:hint="eastAsia" w:cs="Times New Roman"/>
                      <w:b w:val="0"/>
                      <w:bCs w:val="0"/>
                      <w:color w:val="auto"/>
                      <w:kern w:val="2"/>
                      <w:sz w:val="21"/>
                      <w:szCs w:val="21"/>
                      <w:lang w:val="en-US" w:eastAsia="zh-CN" w:bidi="ar-SA"/>
                    </w:rPr>
                    <w:t>。</w:t>
                  </w:r>
                </w:p>
              </w:tc>
            </w:tr>
            <w:tr w14:paraId="5351AF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62FB5F6D">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409903A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职工生活</w:t>
                  </w:r>
                </w:p>
              </w:tc>
              <w:tc>
                <w:tcPr>
                  <w:tcW w:w="1362" w:type="dxa"/>
                  <w:tcBorders>
                    <w:tl2br w:val="nil"/>
                    <w:tr2bl w:val="nil"/>
                  </w:tcBorders>
                  <w:shd w:val="clear" w:color="auto" w:fill="auto"/>
                  <w:vAlign w:val="center"/>
                </w:tcPr>
                <w:p w14:paraId="1B064A4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生活污水</w:t>
                  </w:r>
                </w:p>
              </w:tc>
              <w:tc>
                <w:tcPr>
                  <w:tcW w:w="1412" w:type="dxa"/>
                  <w:tcBorders>
                    <w:tl2br w:val="nil"/>
                    <w:tr2bl w:val="nil"/>
                  </w:tcBorders>
                  <w:shd w:val="clear" w:color="auto" w:fill="auto"/>
                  <w:vAlign w:val="center"/>
                </w:tcPr>
                <w:p w14:paraId="212431C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COD、BOD₅、NH₃-N、SS</w:t>
                  </w:r>
                </w:p>
              </w:tc>
              <w:tc>
                <w:tcPr>
                  <w:tcW w:w="1442" w:type="dxa"/>
                  <w:tcBorders>
                    <w:tl2br w:val="nil"/>
                    <w:tr2bl w:val="nil"/>
                  </w:tcBorders>
                  <w:shd w:val="clear" w:color="auto" w:fill="auto"/>
                  <w:vAlign w:val="center"/>
                </w:tcPr>
                <w:p w14:paraId="10323BB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w:t>
                  </w:r>
                </w:p>
              </w:tc>
              <w:tc>
                <w:tcPr>
                  <w:tcW w:w="1858" w:type="dxa"/>
                  <w:vMerge w:val="continue"/>
                  <w:tcBorders>
                    <w:tl2br w:val="nil"/>
                    <w:tr2bl w:val="nil"/>
                  </w:tcBorders>
                  <w:shd w:val="clear" w:color="auto" w:fill="auto"/>
                  <w:vAlign w:val="center"/>
                </w:tcPr>
                <w:p w14:paraId="371E062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r>
            <w:tr w14:paraId="2E9B9C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tcBorders>
                    <w:tl2br w:val="nil"/>
                    <w:tr2bl w:val="nil"/>
                  </w:tcBorders>
                  <w:shd w:val="clear" w:color="auto" w:fill="auto"/>
                  <w:vAlign w:val="center"/>
                </w:tcPr>
                <w:p w14:paraId="40F7897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噪声</w:t>
                  </w:r>
                </w:p>
              </w:tc>
              <w:tc>
                <w:tcPr>
                  <w:tcW w:w="1610" w:type="dxa"/>
                  <w:tcBorders>
                    <w:tl2br w:val="nil"/>
                    <w:tr2bl w:val="nil"/>
                  </w:tcBorders>
                  <w:shd w:val="clear" w:color="auto" w:fill="auto"/>
                  <w:vAlign w:val="center"/>
                </w:tcPr>
                <w:p w14:paraId="69BA4D8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宠物叫声、设备</w:t>
                  </w:r>
                  <w:r>
                    <w:rPr>
                      <w:rFonts w:hint="default" w:ascii="Times New Roman" w:hAnsi="Times New Roman" w:eastAsia="宋体" w:cs="Times New Roman"/>
                      <w:b w:val="0"/>
                      <w:bCs w:val="0"/>
                      <w:color w:val="auto"/>
                      <w:kern w:val="2"/>
                      <w:sz w:val="21"/>
                      <w:szCs w:val="21"/>
                      <w:lang w:val="en-US" w:eastAsia="zh-CN" w:bidi="ar-SA"/>
                    </w:rPr>
                    <w:t>等</w:t>
                  </w:r>
                </w:p>
              </w:tc>
              <w:tc>
                <w:tcPr>
                  <w:tcW w:w="1362" w:type="dxa"/>
                  <w:tcBorders>
                    <w:tl2br w:val="nil"/>
                    <w:tr2bl w:val="nil"/>
                  </w:tcBorders>
                  <w:shd w:val="clear" w:color="auto" w:fill="auto"/>
                  <w:vAlign w:val="center"/>
                </w:tcPr>
                <w:p w14:paraId="19D21F2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噪声</w:t>
                  </w:r>
                </w:p>
              </w:tc>
              <w:tc>
                <w:tcPr>
                  <w:tcW w:w="1412" w:type="dxa"/>
                  <w:tcBorders>
                    <w:tl2br w:val="nil"/>
                    <w:tr2bl w:val="nil"/>
                  </w:tcBorders>
                  <w:shd w:val="clear" w:color="auto" w:fill="auto"/>
                  <w:vAlign w:val="center"/>
                </w:tcPr>
                <w:p w14:paraId="45FAF932">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等效</w:t>
                  </w:r>
                  <w:r>
                    <w:rPr>
                      <w:rFonts w:hint="eastAsia" w:ascii="Times New Roman" w:hAnsi="Times New Roman" w:eastAsia="宋体" w:cs="Times New Roman"/>
                      <w:b w:val="0"/>
                      <w:bCs w:val="0"/>
                      <w:color w:val="auto"/>
                      <w:kern w:val="2"/>
                      <w:sz w:val="21"/>
                      <w:szCs w:val="21"/>
                      <w:lang w:val="en-US" w:eastAsia="zh-CN" w:bidi="ar-SA"/>
                    </w:rPr>
                    <w:t>连续</w:t>
                  </w:r>
                  <w:r>
                    <w:rPr>
                      <w:rFonts w:hint="default" w:ascii="Times New Roman" w:hAnsi="Times New Roman" w:eastAsia="宋体" w:cs="Times New Roman"/>
                      <w:b w:val="0"/>
                      <w:bCs w:val="0"/>
                      <w:color w:val="auto"/>
                      <w:kern w:val="2"/>
                      <w:sz w:val="21"/>
                      <w:szCs w:val="21"/>
                      <w:lang w:val="en-US" w:eastAsia="zh-CN" w:bidi="ar-SA"/>
                    </w:rPr>
                    <w:t>A声级</w:t>
                  </w:r>
                </w:p>
              </w:tc>
              <w:tc>
                <w:tcPr>
                  <w:tcW w:w="3300" w:type="dxa"/>
                  <w:gridSpan w:val="2"/>
                  <w:tcBorders>
                    <w:tl2br w:val="nil"/>
                    <w:tr2bl w:val="nil"/>
                  </w:tcBorders>
                  <w:shd w:val="clear" w:color="auto" w:fill="auto"/>
                  <w:vAlign w:val="center"/>
                </w:tcPr>
                <w:p w14:paraId="4960E92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选用低噪声设备，设备安装基础减振设施，室内隔声等</w:t>
                  </w:r>
                  <w:r>
                    <w:rPr>
                      <w:rFonts w:hint="eastAsia" w:cs="Times New Roman"/>
                      <w:b w:val="0"/>
                      <w:bCs w:val="0"/>
                      <w:color w:val="auto"/>
                      <w:kern w:val="2"/>
                      <w:sz w:val="21"/>
                      <w:szCs w:val="21"/>
                      <w:lang w:val="en-US" w:eastAsia="zh-CN" w:bidi="ar-SA"/>
                    </w:rPr>
                    <w:t>。</w:t>
                  </w:r>
                </w:p>
              </w:tc>
            </w:tr>
            <w:tr w14:paraId="0C0DA8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restart"/>
                  <w:tcBorders>
                    <w:tl2br w:val="nil"/>
                    <w:tr2bl w:val="nil"/>
                  </w:tcBorders>
                  <w:shd w:val="clear" w:color="auto" w:fill="auto"/>
                  <w:vAlign w:val="center"/>
                </w:tcPr>
                <w:p w14:paraId="7CE6FCF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固体废物</w:t>
                  </w:r>
                </w:p>
              </w:tc>
              <w:tc>
                <w:tcPr>
                  <w:tcW w:w="1610" w:type="dxa"/>
                  <w:tcBorders>
                    <w:tl2br w:val="nil"/>
                    <w:tr2bl w:val="nil"/>
                  </w:tcBorders>
                  <w:shd w:val="clear" w:color="auto" w:fill="auto"/>
                  <w:vAlign w:val="center"/>
                </w:tcPr>
                <w:p w14:paraId="6EB39DE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拆包过程</w:t>
                  </w:r>
                </w:p>
              </w:tc>
              <w:tc>
                <w:tcPr>
                  <w:tcW w:w="1362" w:type="dxa"/>
                  <w:tcBorders>
                    <w:tl2br w:val="nil"/>
                    <w:tr2bl w:val="nil"/>
                  </w:tcBorders>
                  <w:shd w:val="clear" w:color="auto" w:fill="auto"/>
                  <w:vAlign w:val="center"/>
                </w:tcPr>
                <w:p w14:paraId="6707A0FB">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废包装物、输液瓶（袋）</w:t>
                  </w:r>
                </w:p>
              </w:tc>
              <w:tc>
                <w:tcPr>
                  <w:tcW w:w="1412" w:type="dxa"/>
                  <w:tcBorders>
                    <w:tl2br w:val="nil"/>
                    <w:tr2bl w:val="nil"/>
                  </w:tcBorders>
                  <w:shd w:val="clear" w:color="auto" w:fill="auto"/>
                  <w:vAlign w:val="center"/>
                </w:tcPr>
                <w:p w14:paraId="0A45EA37">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废包装物、输液瓶（袋）</w:t>
                  </w:r>
                </w:p>
              </w:tc>
              <w:tc>
                <w:tcPr>
                  <w:tcW w:w="3300" w:type="dxa"/>
                  <w:gridSpan w:val="2"/>
                  <w:tcBorders>
                    <w:tl2br w:val="nil"/>
                    <w:tr2bl w:val="nil"/>
                  </w:tcBorders>
                  <w:shd w:val="clear" w:color="auto" w:fill="auto"/>
                  <w:vAlign w:val="center"/>
                </w:tcPr>
                <w:p w14:paraId="640E9995">
                  <w:pPr>
                    <w:pStyle w:val="28"/>
                    <w:bidi w:val="0"/>
                    <w:rPr>
                      <w:rFonts w:hint="default" w:ascii="Times New Roman" w:hAnsi="Times New Roman" w:eastAsia="宋体" w:cs="Times New Roman"/>
                      <w:b w:val="0"/>
                      <w:bCs w:val="0"/>
                      <w:snapToGrid w:val="0"/>
                      <w:color w:val="auto"/>
                      <w:spacing w:val="0"/>
                      <w:kern w:val="2"/>
                      <w:sz w:val="21"/>
                      <w:szCs w:val="21"/>
                      <w:lang w:val="en-US" w:eastAsia="zh-CN" w:bidi="ar-SA"/>
                    </w:rPr>
                  </w:pPr>
                  <w:r>
                    <w:rPr>
                      <w:rFonts w:hint="default" w:ascii="Times New Roman" w:hAnsi="Times New Roman" w:eastAsia="宋体" w:cs="Times New Roman"/>
                      <w:b w:val="0"/>
                      <w:bCs w:val="0"/>
                      <w:snapToGrid w:val="0"/>
                      <w:color w:val="auto"/>
                      <w:spacing w:val="0"/>
                      <w:kern w:val="2"/>
                      <w:sz w:val="21"/>
                      <w:szCs w:val="21"/>
                      <w:lang w:val="en-US" w:eastAsia="zh-CN" w:bidi="ar-SA"/>
                    </w:rPr>
                    <w:t>收集暂存，交由再生资源回收单位处置。</w:t>
                  </w:r>
                </w:p>
              </w:tc>
            </w:tr>
            <w:tr w14:paraId="56864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11DAD11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40A23B9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手术</w:t>
                  </w:r>
                </w:p>
              </w:tc>
              <w:tc>
                <w:tcPr>
                  <w:tcW w:w="1362" w:type="dxa"/>
                  <w:tcBorders>
                    <w:tl2br w:val="nil"/>
                    <w:tr2bl w:val="nil"/>
                  </w:tcBorders>
                  <w:shd w:val="clear" w:color="auto" w:fill="auto"/>
                  <w:vAlign w:val="center"/>
                </w:tcPr>
                <w:p w14:paraId="34B9E911">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宠物毛发</w:t>
                  </w:r>
                </w:p>
              </w:tc>
              <w:tc>
                <w:tcPr>
                  <w:tcW w:w="1412" w:type="dxa"/>
                  <w:tcBorders>
                    <w:tl2br w:val="nil"/>
                    <w:tr2bl w:val="nil"/>
                  </w:tcBorders>
                  <w:shd w:val="clear" w:color="auto" w:fill="auto"/>
                  <w:vAlign w:val="center"/>
                </w:tcPr>
                <w:p w14:paraId="77DA315A">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宠物毛发</w:t>
                  </w:r>
                </w:p>
              </w:tc>
              <w:tc>
                <w:tcPr>
                  <w:tcW w:w="3300" w:type="dxa"/>
                  <w:gridSpan w:val="2"/>
                  <w:tcBorders>
                    <w:tl2br w:val="nil"/>
                    <w:tr2bl w:val="nil"/>
                  </w:tcBorders>
                  <w:shd w:val="clear" w:color="auto" w:fill="auto"/>
                  <w:vAlign w:val="center"/>
                </w:tcPr>
                <w:p w14:paraId="345010B9">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专用包装袋收集后统一由环卫部门定期外运处置</w:t>
                  </w:r>
                  <w:r>
                    <w:rPr>
                      <w:rFonts w:hint="eastAsia"/>
                      <w:color w:val="auto"/>
                      <w:highlight w:val="none"/>
                      <w:lang w:val="en-US" w:eastAsia="zh-CN"/>
                    </w:rPr>
                    <w:t>。若产生少量</w:t>
                  </w:r>
                  <w:r>
                    <w:rPr>
                      <w:rFonts w:hint="default"/>
                      <w:color w:val="auto"/>
                      <w:highlight w:val="none"/>
                      <w:lang w:val="en-US" w:eastAsia="zh-CN"/>
                    </w:rPr>
                    <w:t>被感染性物质污染的毛发</w:t>
                  </w:r>
                  <w:r>
                    <w:rPr>
                      <w:rFonts w:hint="eastAsia"/>
                      <w:color w:val="auto"/>
                      <w:highlight w:val="none"/>
                      <w:lang w:val="en-US" w:eastAsia="zh-CN"/>
                    </w:rPr>
                    <w:t>应</w:t>
                  </w:r>
                  <w:r>
                    <w:rPr>
                      <w:rFonts w:hint="default"/>
                      <w:color w:val="auto"/>
                      <w:highlight w:val="none"/>
                      <w:lang w:val="en-US" w:eastAsia="zh-CN"/>
                    </w:rPr>
                    <w:t>按</w:t>
                  </w:r>
                  <w:r>
                    <w:rPr>
                      <w:rFonts w:hint="eastAsia"/>
                      <w:color w:val="auto"/>
                      <w:highlight w:val="none"/>
                      <w:lang w:val="en-US" w:eastAsia="zh-CN"/>
                    </w:rPr>
                    <w:t>感染性</w:t>
                  </w:r>
                  <w:r>
                    <w:rPr>
                      <w:rFonts w:hint="default"/>
                      <w:color w:val="auto"/>
                      <w:highlight w:val="none"/>
                      <w:lang w:val="en-US" w:eastAsia="zh-CN"/>
                    </w:rPr>
                    <w:t>医疗废物处置</w:t>
                  </w:r>
                  <w:r>
                    <w:rPr>
                      <w:rFonts w:hint="eastAsia"/>
                      <w:color w:val="auto"/>
                      <w:highlight w:val="none"/>
                      <w:lang w:val="en-US" w:eastAsia="zh-CN"/>
                    </w:rPr>
                    <w:t>。</w:t>
                  </w:r>
                </w:p>
              </w:tc>
            </w:tr>
            <w:tr w14:paraId="739AB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7FC04A8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237809E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62" w:type="dxa"/>
                  <w:tcBorders>
                    <w:tl2br w:val="nil"/>
                    <w:tr2bl w:val="nil"/>
                  </w:tcBorders>
                  <w:shd w:val="clear" w:color="auto" w:fill="auto"/>
                  <w:vAlign w:val="center"/>
                </w:tcPr>
                <w:p w14:paraId="48E9EEA5">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highlight w:val="none"/>
                      <w:lang w:val="en-US" w:eastAsia="zh-CN"/>
                    </w:rPr>
                    <w:t>健康</w:t>
                  </w:r>
                  <w:r>
                    <w:rPr>
                      <w:rFonts w:hint="default"/>
                      <w:color w:val="auto"/>
                      <w:highlight w:val="none"/>
                      <w:lang w:val="en-US" w:eastAsia="zh-CN"/>
                    </w:rPr>
                    <w:t>宠物粪便及猫砂</w:t>
                  </w:r>
                </w:p>
              </w:tc>
              <w:tc>
                <w:tcPr>
                  <w:tcW w:w="1412" w:type="dxa"/>
                  <w:tcBorders>
                    <w:tl2br w:val="nil"/>
                    <w:tr2bl w:val="nil"/>
                  </w:tcBorders>
                  <w:shd w:val="clear" w:color="auto" w:fill="auto"/>
                  <w:vAlign w:val="center"/>
                </w:tcPr>
                <w:p w14:paraId="1CFDF16C">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highlight w:val="none"/>
                      <w:lang w:val="en-US" w:eastAsia="zh-CN"/>
                    </w:rPr>
                    <w:t>健康</w:t>
                  </w:r>
                  <w:r>
                    <w:rPr>
                      <w:rFonts w:hint="default"/>
                      <w:color w:val="auto"/>
                      <w:highlight w:val="none"/>
                      <w:lang w:val="en-US" w:eastAsia="zh-CN"/>
                    </w:rPr>
                    <w:t>宠物粪便及猫砂</w:t>
                  </w:r>
                </w:p>
              </w:tc>
              <w:tc>
                <w:tcPr>
                  <w:tcW w:w="3300" w:type="dxa"/>
                  <w:gridSpan w:val="2"/>
                  <w:tcBorders>
                    <w:tl2br w:val="nil"/>
                    <w:tr2bl w:val="nil"/>
                  </w:tcBorders>
                  <w:shd w:val="clear" w:color="auto" w:fill="auto"/>
                  <w:vAlign w:val="center"/>
                </w:tcPr>
                <w:p w14:paraId="10D42D6C">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采用专用包装袋收集后统一由环卫部门处置</w:t>
                  </w:r>
                  <w:r>
                    <w:rPr>
                      <w:rFonts w:hint="eastAsia"/>
                      <w:color w:val="auto"/>
                      <w:highlight w:val="none"/>
                      <w:lang w:val="en-US" w:eastAsia="zh-CN"/>
                    </w:rPr>
                    <w:t>。</w:t>
                  </w:r>
                </w:p>
              </w:tc>
            </w:tr>
            <w:tr w14:paraId="64E4C4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523E2FC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62A7BFC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职工生活</w:t>
                  </w:r>
                </w:p>
              </w:tc>
              <w:tc>
                <w:tcPr>
                  <w:tcW w:w="1362" w:type="dxa"/>
                  <w:tcBorders>
                    <w:tl2br w:val="nil"/>
                    <w:tr2bl w:val="nil"/>
                  </w:tcBorders>
                  <w:shd w:val="clear" w:color="auto" w:fill="auto"/>
                  <w:vAlign w:val="center"/>
                </w:tcPr>
                <w:p w14:paraId="534C53AA">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生活垃圾</w:t>
                  </w:r>
                </w:p>
              </w:tc>
              <w:tc>
                <w:tcPr>
                  <w:tcW w:w="1412" w:type="dxa"/>
                  <w:tcBorders>
                    <w:tl2br w:val="nil"/>
                    <w:tr2bl w:val="nil"/>
                  </w:tcBorders>
                  <w:shd w:val="clear" w:color="auto" w:fill="auto"/>
                  <w:vAlign w:val="center"/>
                </w:tcPr>
                <w:p w14:paraId="0FBED062">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生活垃圾</w:t>
                  </w:r>
                </w:p>
              </w:tc>
              <w:tc>
                <w:tcPr>
                  <w:tcW w:w="3300" w:type="dxa"/>
                  <w:gridSpan w:val="2"/>
                  <w:tcBorders>
                    <w:tl2br w:val="nil"/>
                    <w:tr2bl w:val="nil"/>
                  </w:tcBorders>
                  <w:shd w:val="clear" w:color="auto" w:fill="auto"/>
                  <w:vAlign w:val="center"/>
                </w:tcPr>
                <w:p w14:paraId="4F3A5BB5">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集中收集至垃圾桶后，由环卫部门统一收运处置。</w:t>
                  </w:r>
                </w:p>
              </w:tc>
            </w:tr>
            <w:tr w14:paraId="243BE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03C635D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0BBF838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手术</w:t>
                  </w:r>
                </w:p>
              </w:tc>
              <w:tc>
                <w:tcPr>
                  <w:tcW w:w="1362" w:type="dxa"/>
                  <w:tcBorders>
                    <w:tl2br w:val="nil"/>
                    <w:tr2bl w:val="nil"/>
                  </w:tcBorders>
                  <w:shd w:val="clear" w:color="auto" w:fill="auto"/>
                  <w:vAlign w:val="center"/>
                </w:tcPr>
                <w:p w14:paraId="35B4397A">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动物尸体</w:t>
                  </w:r>
                </w:p>
              </w:tc>
              <w:tc>
                <w:tcPr>
                  <w:tcW w:w="1412" w:type="dxa"/>
                  <w:tcBorders>
                    <w:tl2br w:val="nil"/>
                    <w:tr2bl w:val="nil"/>
                  </w:tcBorders>
                  <w:shd w:val="clear" w:color="auto" w:fill="auto"/>
                  <w:vAlign w:val="center"/>
                </w:tcPr>
                <w:p w14:paraId="67F1ED5F">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动物尸体</w:t>
                  </w:r>
                </w:p>
              </w:tc>
              <w:tc>
                <w:tcPr>
                  <w:tcW w:w="3300" w:type="dxa"/>
                  <w:gridSpan w:val="2"/>
                  <w:tcBorders>
                    <w:tl2br w:val="nil"/>
                    <w:tr2bl w:val="nil"/>
                  </w:tcBorders>
                  <w:shd w:val="clear" w:color="auto" w:fill="auto"/>
                  <w:vAlign w:val="center"/>
                </w:tcPr>
                <w:p w14:paraId="566B3C04">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lang w:val="en-US" w:eastAsia="zh-CN"/>
                    </w:rPr>
                    <w:t>本项目运营过程中不负责处理动物尸体，</w:t>
                  </w:r>
                  <w:r>
                    <w:rPr>
                      <w:rFonts w:hint="eastAsia"/>
                      <w:color w:val="auto"/>
                      <w:lang w:val="en-US" w:eastAsia="zh-CN"/>
                    </w:rPr>
                    <w:t>由客户自行带走依法处置。</w:t>
                  </w:r>
                </w:p>
              </w:tc>
            </w:tr>
            <w:tr w14:paraId="38184B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3CD6BC7D">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08A7DEF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治疗、手术</w:t>
                  </w:r>
                </w:p>
              </w:tc>
              <w:tc>
                <w:tcPr>
                  <w:tcW w:w="1362" w:type="dxa"/>
                  <w:tcBorders>
                    <w:tl2br w:val="nil"/>
                    <w:tr2bl w:val="nil"/>
                  </w:tcBorders>
                  <w:shd w:val="clear" w:color="auto" w:fill="auto"/>
                  <w:vAlign w:val="center"/>
                </w:tcPr>
                <w:p w14:paraId="143ABECA">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医疗废物</w:t>
                  </w:r>
                </w:p>
              </w:tc>
              <w:tc>
                <w:tcPr>
                  <w:tcW w:w="1412" w:type="dxa"/>
                  <w:tcBorders>
                    <w:tl2br w:val="nil"/>
                    <w:tr2bl w:val="nil"/>
                  </w:tcBorders>
                  <w:shd w:val="clear" w:color="auto" w:fill="auto"/>
                  <w:vAlign w:val="center"/>
                </w:tcPr>
                <w:p w14:paraId="5056965D">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医疗废物</w:t>
                  </w:r>
                </w:p>
              </w:tc>
              <w:tc>
                <w:tcPr>
                  <w:tcW w:w="3300" w:type="dxa"/>
                  <w:gridSpan w:val="2"/>
                  <w:tcBorders>
                    <w:tl2br w:val="nil"/>
                    <w:tr2bl w:val="nil"/>
                  </w:tcBorders>
                  <w:shd w:val="clear" w:color="auto" w:fill="auto"/>
                  <w:vAlign w:val="center"/>
                </w:tcPr>
                <w:p w14:paraId="31EBC4E2">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收集消毒后暂存在医疗废物贮存间（</w:t>
                  </w:r>
                  <w:r>
                    <w:rPr>
                      <w:rFonts w:hint="eastAsia" w:cs="Times New Roman"/>
                      <w:color w:val="auto"/>
                      <w:highlight w:val="none"/>
                      <w:lang w:val="en-US" w:eastAsia="zh-CN"/>
                    </w:rPr>
                    <w:t>2m</w:t>
                  </w:r>
                  <w:r>
                    <w:rPr>
                      <w:rFonts w:hint="eastAsia" w:cs="Times New Roman"/>
                      <w:color w:val="auto"/>
                      <w:highlight w:val="none"/>
                      <w:vertAlign w:val="superscript"/>
                      <w:lang w:val="en-US" w:eastAsia="zh-CN"/>
                    </w:rPr>
                    <w:t>2</w:t>
                  </w:r>
                  <w:r>
                    <w:rPr>
                      <w:rFonts w:hint="default"/>
                      <w:color w:val="auto"/>
                      <w:highlight w:val="none"/>
                      <w:lang w:val="en-US" w:eastAsia="zh-CN"/>
                    </w:rPr>
                    <w:t>），委托有资质单位上门回收处置。</w:t>
                  </w:r>
                </w:p>
              </w:tc>
            </w:tr>
            <w:tr w14:paraId="0CA064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4AEEC52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2CD947D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紫外灯消毒</w:t>
                  </w:r>
                </w:p>
              </w:tc>
              <w:tc>
                <w:tcPr>
                  <w:tcW w:w="1362" w:type="dxa"/>
                  <w:tcBorders>
                    <w:tl2br w:val="nil"/>
                    <w:tr2bl w:val="nil"/>
                  </w:tcBorders>
                  <w:shd w:val="clear" w:color="auto" w:fill="auto"/>
                  <w:vAlign w:val="center"/>
                </w:tcPr>
                <w:p w14:paraId="61D0570E">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废紫外线灯管</w:t>
                  </w:r>
                </w:p>
              </w:tc>
              <w:tc>
                <w:tcPr>
                  <w:tcW w:w="1412" w:type="dxa"/>
                  <w:tcBorders>
                    <w:tl2br w:val="nil"/>
                    <w:tr2bl w:val="nil"/>
                  </w:tcBorders>
                  <w:shd w:val="clear" w:color="auto" w:fill="auto"/>
                  <w:vAlign w:val="center"/>
                </w:tcPr>
                <w:p w14:paraId="1421B8AF">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废紫外线灯管</w:t>
                  </w:r>
                </w:p>
              </w:tc>
              <w:tc>
                <w:tcPr>
                  <w:tcW w:w="3300" w:type="dxa"/>
                  <w:gridSpan w:val="2"/>
                  <w:tcBorders>
                    <w:tl2br w:val="nil"/>
                    <w:tr2bl w:val="nil"/>
                  </w:tcBorders>
                  <w:shd w:val="clear" w:color="auto" w:fill="auto"/>
                  <w:vAlign w:val="center"/>
                </w:tcPr>
                <w:p w14:paraId="55B9AA2E">
                  <w:pPr>
                    <w:pStyle w:val="28"/>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暂存在医疗废物贮存间（</w:t>
                  </w:r>
                  <w:r>
                    <w:rPr>
                      <w:rFonts w:hint="eastAsia" w:cs="Times New Roman"/>
                      <w:color w:val="auto"/>
                      <w:highlight w:val="none"/>
                      <w:lang w:val="en-US" w:eastAsia="zh-CN"/>
                    </w:rPr>
                    <w:t>2m</w:t>
                  </w:r>
                  <w:r>
                    <w:rPr>
                      <w:rFonts w:hint="eastAsia" w:cs="Times New Roman"/>
                      <w:color w:val="auto"/>
                      <w:highlight w:val="none"/>
                      <w:vertAlign w:val="superscript"/>
                      <w:lang w:val="en-US" w:eastAsia="zh-CN"/>
                    </w:rPr>
                    <w:t>2</w:t>
                  </w:r>
                  <w:r>
                    <w:rPr>
                      <w:rFonts w:hint="default"/>
                      <w:color w:val="auto"/>
                      <w:highlight w:val="none"/>
                      <w:lang w:val="en-US" w:eastAsia="zh-CN"/>
                    </w:rPr>
                    <w:t>），委托有资质单位上门回收处置。</w:t>
                  </w:r>
                </w:p>
              </w:tc>
            </w:tr>
            <w:tr w14:paraId="183DC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36510A2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1E066A1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一体化污水处理设施</w:t>
                  </w:r>
                </w:p>
              </w:tc>
              <w:tc>
                <w:tcPr>
                  <w:tcW w:w="1362" w:type="dxa"/>
                  <w:tcBorders>
                    <w:tl2br w:val="nil"/>
                    <w:tr2bl w:val="nil"/>
                  </w:tcBorders>
                  <w:shd w:val="clear" w:color="auto" w:fill="auto"/>
                  <w:vAlign w:val="center"/>
                </w:tcPr>
                <w:p w14:paraId="7B7E632D">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lang w:val="en-US" w:eastAsia="zh-CN"/>
                    </w:rPr>
                    <w:t>废水处理设施废渣</w:t>
                  </w:r>
                </w:p>
              </w:tc>
              <w:tc>
                <w:tcPr>
                  <w:tcW w:w="1412" w:type="dxa"/>
                  <w:tcBorders>
                    <w:tl2br w:val="nil"/>
                    <w:tr2bl w:val="nil"/>
                  </w:tcBorders>
                  <w:shd w:val="clear" w:color="auto" w:fill="auto"/>
                  <w:vAlign w:val="center"/>
                </w:tcPr>
                <w:p w14:paraId="4600538C">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lang w:val="en-US" w:eastAsia="zh-CN"/>
                    </w:rPr>
                    <w:t>废水处理设施废渣</w:t>
                  </w:r>
                </w:p>
              </w:tc>
              <w:tc>
                <w:tcPr>
                  <w:tcW w:w="3300" w:type="dxa"/>
                  <w:gridSpan w:val="2"/>
                  <w:tcBorders>
                    <w:tl2br w:val="nil"/>
                    <w:tr2bl w:val="nil"/>
                  </w:tcBorders>
                  <w:shd w:val="clear" w:color="auto" w:fill="auto"/>
                  <w:vAlign w:val="center"/>
                </w:tcPr>
                <w:p w14:paraId="41636664">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委托有资质单位定期清捞与处置，不在项目区贮存</w:t>
                  </w:r>
                  <w:r>
                    <w:rPr>
                      <w:rFonts w:hint="eastAsia"/>
                      <w:color w:val="auto"/>
                      <w:highlight w:val="none"/>
                      <w:lang w:val="en-US" w:eastAsia="zh-CN"/>
                    </w:rPr>
                    <w:t>。</w:t>
                  </w:r>
                </w:p>
              </w:tc>
            </w:tr>
            <w:tr w14:paraId="605D70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25" w:type="dxa"/>
                  <w:vMerge w:val="continue"/>
                  <w:tcBorders>
                    <w:tl2br w:val="nil"/>
                    <w:tr2bl w:val="nil"/>
                  </w:tcBorders>
                  <w:shd w:val="clear" w:color="auto" w:fill="auto"/>
                  <w:vAlign w:val="center"/>
                </w:tcPr>
                <w:p w14:paraId="5D1F686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610" w:type="dxa"/>
                  <w:tcBorders>
                    <w:tl2br w:val="nil"/>
                    <w:tr2bl w:val="nil"/>
                  </w:tcBorders>
                  <w:shd w:val="clear" w:color="auto" w:fill="auto"/>
                  <w:vAlign w:val="center"/>
                </w:tcPr>
                <w:p w14:paraId="1F420F0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62" w:type="dxa"/>
                  <w:tcBorders>
                    <w:tl2br w:val="nil"/>
                    <w:tr2bl w:val="nil"/>
                  </w:tcBorders>
                  <w:shd w:val="clear" w:color="auto" w:fill="auto"/>
                  <w:vAlign w:val="center"/>
                </w:tcPr>
                <w:p w14:paraId="0DC14E78">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患病宠物排泄物及猫砂</w:t>
                  </w:r>
                </w:p>
              </w:tc>
              <w:tc>
                <w:tcPr>
                  <w:tcW w:w="1412" w:type="dxa"/>
                  <w:tcBorders>
                    <w:tl2br w:val="nil"/>
                    <w:tr2bl w:val="nil"/>
                  </w:tcBorders>
                  <w:shd w:val="clear" w:color="auto" w:fill="auto"/>
                  <w:vAlign w:val="center"/>
                </w:tcPr>
                <w:p w14:paraId="5DA796F7">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患病宠物排泄物及猫砂</w:t>
                  </w:r>
                </w:p>
              </w:tc>
              <w:tc>
                <w:tcPr>
                  <w:tcW w:w="3300" w:type="dxa"/>
                  <w:gridSpan w:val="2"/>
                  <w:tcBorders>
                    <w:tl2br w:val="nil"/>
                    <w:tr2bl w:val="nil"/>
                  </w:tcBorders>
                  <w:shd w:val="clear" w:color="auto" w:fill="auto"/>
                  <w:vAlign w:val="center"/>
                </w:tcPr>
                <w:p w14:paraId="5DC5C028">
                  <w:pPr>
                    <w:pStyle w:val="28"/>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收集消毒后暂存在医疗废物贮存间（</w:t>
                  </w:r>
                  <w:r>
                    <w:rPr>
                      <w:rFonts w:hint="eastAsia"/>
                      <w:color w:val="auto"/>
                      <w:highlight w:val="none"/>
                      <w:lang w:val="en-US" w:eastAsia="zh-CN"/>
                    </w:rPr>
                    <w:t>2</w:t>
                  </w:r>
                  <w:r>
                    <w:rPr>
                      <w:rFonts w:hint="eastAsia" w:cs="Times New Roman"/>
                      <w:color w:val="auto"/>
                      <w:highlight w:val="none"/>
                      <w:lang w:val="en-US" w:eastAsia="zh-CN"/>
                    </w:rPr>
                    <w:t>m</w:t>
                  </w:r>
                  <w:r>
                    <w:rPr>
                      <w:rFonts w:hint="default"/>
                      <w:color w:val="auto"/>
                      <w:highlight w:val="none"/>
                      <w:vertAlign w:val="superscript"/>
                      <w:lang w:val="en-US" w:eastAsia="zh-CN"/>
                    </w:rPr>
                    <w:t>2</w:t>
                  </w:r>
                  <w:r>
                    <w:rPr>
                      <w:rFonts w:hint="default"/>
                      <w:color w:val="auto"/>
                      <w:highlight w:val="none"/>
                      <w:lang w:val="en-US" w:eastAsia="zh-CN"/>
                    </w:rPr>
                    <w:t>），委托有资质单位上门回收处置。</w:t>
                  </w:r>
                </w:p>
              </w:tc>
            </w:tr>
          </w:tbl>
          <w:p w14:paraId="4C148E59">
            <w:pPr>
              <w:pStyle w:val="29"/>
              <w:bidi w:val="0"/>
              <w:rPr>
                <w:rFonts w:hint="default"/>
                <w:color w:val="auto"/>
              </w:rPr>
            </w:pPr>
          </w:p>
        </w:tc>
      </w:tr>
      <w:tr w14:paraId="7DEC0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trPr>
        <w:tc>
          <w:tcPr>
            <w:tcW w:w="645" w:type="dxa"/>
            <w:tcBorders>
              <w:left w:val="single" w:color="000000" w:sz="6" w:space="0"/>
            </w:tcBorders>
            <w:vAlign w:val="center"/>
          </w:tcPr>
          <w:p w14:paraId="1CE28EC2">
            <w:pPr>
              <w:bidi w:val="0"/>
              <w:spacing w:line="240" w:lineRule="auto"/>
              <w:jc w:val="both"/>
              <w:rPr>
                <w:rFonts w:hint="default"/>
                <w:color w:val="auto"/>
              </w:rPr>
            </w:pPr>
            <w:r>
              <w:rPr>
                <w:rFonts w:hint="default"/>
                <w:color w:val="auto"/>
              </w:rPr>
              <w:t>与项目有关的原有环境污染问题</w:t>
            </w:r>
          </w:p>
        </w:tc>
        <w:tc>
          <w:tcPr>
            <w:tcW w:w="8406" w:type="dxa"/>
            <w:tcBorders>
              <w:right w:val="single" w:color="000000" w:sz="6" w:space="0"/>
            </w:tcBorders>
            <w:vAlign w:val="center"/>
          </w:tcPr>
          <w:p w14:paraId="5CE3BD05">
            <w:pPr>
              <w:pStyle w:val="23"/>
              <w:ind w:left="0" w:leftChars="0" w:firstLine="0" w:firstLineChars="0"/>
              <w:rPr>
                <w:rFonts w:hint="eastAsia" w:ascii="Times New Roman" w:hAnsi="宋体" w:eastAsia="宋体" w:cs="Times New Roman"/>
                <w:b w:val="0"/>
                <w:color w:val="auto"/>
                <w:sz w:val="24"/>
                <w:szCs w:val="24"/>
                <w:lang w:val="en-US" w:eastAsia="zh-CN" w:bidi="ar-SA"/>
              </w:rPr>
            </w:pPr>
          </w:p>
          <w:p w14:paraId="2C43AEA0">
            <w:pPr>
              <w:pStyle w:val="23"/>
              <w:ind w:left="0" w:leftChars="0" w:firstLine="0" w:firstLineChars="0"/>
              <w:rPr>
                <w:rFonts w:hint="eastAsia" w:ascii="Times New Roman" w:hAnsi="宋体" w:eastAsia="宋体" w:cs="Times New Roman"/>
                <w:b w:val="0"/>
                <w:color w:val="auto"/>
                <w:sz w:val="24"/>
                <w:szCs w:val="24"/>
                <w:lang w:val="en-US" w:eastAsia="zh-CN" w:bidi="ar-SA"/>
              </w:rPr>
            </w:pPr>
          </w:p>
          <w:p w14:paraId="7113EF51">
            <w:pPr>
              <w:bidi w:val="0"/>
              <w:jc w:val="center"/>
              <w:rPr>
                <w:rFonts w:hint="eastAsia" w:ascii="Times New Roman" w:hAnsi="宋体" w:eastAsia="宋体" w:cs="Times New Roman"/>
                <w:b w:val="0"/>
                <w:color w:val="auto"/>
                <w:sz w:val="24"/>
                <w:szCs w:val="24"/>
                <w:lang w:val="en-US" w:eastAsia="zh-CN" w:bidi="ar-SA"/>
              </w:rPr>
            </w:pPr>
            <w:r>
              <w:rPr>
                <w:rFonts w:hint="eastAsia" w:ascii="Times New Roman" w:hAnsi="宋体" w:eastAsia="宋体" w:cs="Times New Roman"/>
                <w:b w:val="0"/>
                <w:color w:val="auto"/>
                <w:sz w:val="24"/>
                <w:szCs w:val="24"/>
                <w:lang w:val="en-US" w:eastAsia="zh-CN" w:bidi="ar-SA"/>
              </w:rPr>
              <w:t>本项目为新建项目，不存在与项目有关的原有环境污染问题。</w:t>
            </w:r>
          </w:p>
          <w:p w14:paraId="0AA29EF9">
            <w:pPr>
              <w:pStyle w:val="23"/>
              <w:ind w:left="0" w:leftChars="0" w:firstLine="0" w:firstLineChars="0"/>
              <w:rPr>
                <w:rFonts w:hint="eastAsia" w:ascii="Times New Roman" w:hAnsi="宋体" w:eastAsia="宋体" w:cs="Times New Roman"/>
                <w:b w:val="0"/>
                <w:color w:val="auto"/>
                <w:sz w:val="24"/>
                <w:szCs w:val="24"/>
                <w:lang w:val="en-US" w:eastAsia="zh-CN" w:bidi="ar-SA"/>
              </w:rPr>
            </w:pPr>
          </w:p>
          <w:p w14:paraId="56E57013">
            <w:pPr>
              <w:pStyle w:val="23"/>
              <w:ind w:left="0" w:leftChars="0" w:firstLine="0" w:firstLineChars="0"/>
              <w:rPr>
                <w:rFonts w:hint="default" w:ascii="Times New Roman" w:hAnsi="宋体" w:eastAsia="宋体" w:cs="Times New Roman"/>
                <w:b w:val="0"/>
                <w:color w:val="auto"/>
                <w:sz w:val="24"/>
                <w:szCs w:val="24"/>
                <w:lang w:val="en-US" w:eastAsia="zh-CN" w:bidi="ar-SA"/>
              </w:rPr>
            </w:pPr>
          </w:p>
        </w:tc>
      </w:tr>
    </w:tbl>
    <w:p w14:paraId="4AF273AB">
      <w:pPr>
        <w:rPr>
          <w:rFonts w:hint="default" w:ascii="Times New Roman" w:hAnsi="Times New Roman" w:cs="Times New Roman"/>
          <w:color w:val="auto"/>
          <w:sz w:val="21"/>
        </w:rPr>
      </w:pPr>
    </w:p>
    <w:p w14:paraId="27B2725A">
      <w:pPr>
        <w:rPr>
          <w:rFonts w:hint="default" w:ascii="Times New Roman" w:hAnsi="Times New Roman" w:cs="Times New Roman"/>
          <w:color w:val="auto"/>
        </w:rPr>
        <w:sectPr>
          <w:footerReference r:id="rId7" w:type="default"/>
          <w:pgSz w:w="11906" w:h="16839"/>
          <w:pgMar w:top="1431" w:right="1451" w:bottom="955" w:left="1451" w:header="0" w:footer="692" w:gutter="0"/>
          <w:pgBorders>
            <w:top w:val="none" w:sz="0" w:space="0"/>
            <w:left w:val="none" w:sz="0" w:space="0"/>
            <w:bottom w:val="none" w:sz="0" w:space="0"/>
            <w:right w:val="none" w:sz="0" w:space="0"/>
          </w:pgBorders>
          <w:pgNumType w:fmt="decimal"/>
          <w:cols w:space="720" w:num="1"/>
        </w:sectPr>
      </w:pPr>
    </w:p>
    <w:p w14:paraId="4BD1717E">
      <w:pPr>
        <w:spacing w:line="259" w:lineRule="auto"/>
        <w:rPr>
          <w:rFonts w:hint="default" w:ascii="Times New Roman" w:hAnsi="Times New Roman" w:cs="Times New Roman"/>
          <w:color w:val="auto"/>
          <w:sz w:val="21"/>
        </w:rPr>
      </w:pPr>
    </w:p>
    <w:p w14:paraId="781AA661">
      <w:pPr>
        <w:pStyle w:val="2"/>
        <w:bidi w:val="0"/>
        <w:rPr>
          <w:rFonts w:hint="default"/>
          <w:color w:val="auto"/>
        </w:rPr>
      </w:pPr>
      <w:r>
        <w:rPr>
          <w:rFonts w:hint="default"/>
          <w:color w:val="auto"/>
        </w:rPr>
        <w:t>三、区域环境质量现状、环境保护目标及评价标准</w:t>
      </w:r>
    </w:p>
    <w:p w14:paraId="2AF5CBCD">
      <w:pPr>
        <w:spacing w:line="46" w:lineRule="auto"/>
        <w:rPr>
          <w:rFonts w:hint="default" w:ascii="Times New Roman" w:hAnsi="Times New Roman" w:cs="Times New Roman"/>
          <w:color w:val="auto"/>
          <w:sz w:val="2"/>
        </w:rPr>
      </w:pPr>
    </w:p>
    <w:tbl>
      <w:tblPr>
        <w:tblStyle w:val="27"/>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8269"/>
      </w:tblGrid>
      <w:tr w14:paraId="5CF77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725" w:type="dxa"/>
            <w:tcBorders>
              <w:left w:val="single" w:color="000000" w:sz="6" w:space="0"/>
            </w:tcBorders>
            <w:vAlign w:val="center"/>
          </w:tcPr>
          <w:p w14:paraId="45C9D521">
            <w:pPr>
              <w:bidi w:val="0"/>
              <w:jc w:val="center"/>
              <w:rPr>
                <w:rFonts w:hint="default"/>
                <w:color w:val="auto"/>
              </w:rPr>
            </w:pPr>
            <w:r>
              <w:rPr>
                <w:rFonts w:hint="default"/>
                <w:color w:val="auto"/>
              </w:rPr>
              <w:t>区域环境质量现状</w:t>
            </w:r>
          </w:p>
        </w:tc>
        <w:tc>
          <w:tcPr>
            <w:tcW w:w="8269" w:type="dxa"/>
            <w:tcBorders>
              <w:right w:val="single" w:color="000000" w:sz="6" w:space="0"/>
            </w:tcBorders>
            <w:vAlign w:val="center"/>
          </w:tcPr>
          <w:p w14:paraId="38F28088">
            <w:pPr>
              <w:pStyle w:val="3"/>
              <w:bidi w:val="0"/>
              <w:rPr>
                <w:color w:val="auto"/>
              </w:rPr>
            </w:pPr>
            <w:r>
              <w:rPr>
                <w:rFonts w:hint="eastAsia"/>
                <w:color w:val="auto"/>
                <w:lang w:val="en-US" w:eastAsia="zh-CN"/>
              </w:rPr>
              <w:t>3.</w:t>
            </w:r>
            <w:r>
              <w:rPr>
                <w:color w:val="auto"/>
              </w:rPr>
              <w:t>1</w:t>
            </w:r>
            <w:r>
              <w:rPr>
                <w:rFonts w:hint="eastAsia"/>
                <w:color w:val="auto"/>
              </w:rPr>
              <w:t>、大气环境质量现状</w:t>
            </w:r>
          </w:p>
          <w:p w14:paraId="1793EAC4">
            <w:pPr>
              <w:pStyle w:val="29"/>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rPr>
              <w:t>根据《新疆维吾尔自治区2025年生态环境状况公报》，库尔勒市2025</w:t>
            </w:r>
            <w:r>
              <w:rPr>
                <w:rFonts w:hint="eastAsia" w:cs="Times New Roman"/>
                <w:color w:val="auto"/>
                <w:highlight w:val="none"/>
                <w:lang w:val="en-US" w:eastAsia="zh-CN"/>
              </w:rPr>
              <w:t>年</w:t>
            </w:r>
            <w:r>
              <w:rPr>
                <w:rFonts w:hint="default" w:ascii="Times New Roman" w:hAnsi="Times New Roman" w:eastAsia="宋体" w:cs="Times New Roman"/>
                <w:i w:val="0"/>
                <w:iCs w:val="0"/>
                <w:caps w:val="0"/>
                <w:color w:val="auto"/>
                <w:spacing w:val="0"/>
                <w:sz w:val="24"/>
                <w:szCs w:val="24"/>
                <w:highlight w:val="none"/>
                <w:shd w:val="clear" w:fill="FFFFFF"/>
                <w:lang w:val="en-US" w:eastAsia="zh-CN"/>
              </w:rPr>
              <w:t>环境质量</w:t>
            </w:r>
            <w:r>
              <w:rPr>
                <w:rFonts w:hint="default" w:ascii="Times New Roman" w:hAnsi="Times New Roman" w:cs="Times New Roman"/>
                <w:color w:val="auto"/>
                <w:highlight w:val="none"/>
              </w:rPr>
              <w:t>现状基本污染物SO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2.5</w:t>
            </w:r>
            <w:r>
              <w:rPr>
                <w:rFonts w:hint="default" w:ascii="Times New Roman" w:hAnsi="Times New Roman" w:cs="Times New Roman"/>
                <w:color w:val="auto"/>
                <w:highlight w:val="none"/>
              </w:rPr>
              <w:t>、CO和O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的评价</w:t>
            </w:r>
            <w:r>
              <w:rPr>
                <w:rFonts w:hint="eastAsia" w:cs="Times New Roman"/>
                <w:color w:val="auto"/>
                <w:highlight w:val="none"/>
                <w:lang w:val="en-US" w:eastAsia="zh-CN"/>
              </w:rPr>
              <w:t>结果</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详见下表</w:t>
            </w:r>
            <w:r>
              <w:rPr>
                <w:rFonts w:hint="default" w:ascii="Times New Roman" w:hAnsi="Times New Roman" w:cs="Times New Roman"/>
                <w:color w:val="auto"/>
                <w:highlight w:val="none"/>
              </w:rPr>
              <w:t>。</w:t>
            </w:r>
          </w:p>
          <w:p w14:paraId="213FC9CD">
            <w:pPr>
              <w:pStyle w:val="22"/>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zh-CN"/>
              </w:rPr>
              <w:t>表</w:t>
            </w: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rPr>
              <w:t xml:space="preserve">1   </w:t>
            </w:r>
            <w:r>
              <w:rPr>
                <w:rFonts w:hint="default" w:ascii="Times New Roman" w:hAnsi="Times New Roman" w:cs="Times New Roman"/>
                <w:color w:val="auto"/>
                <w:highlight w:val="none"/>
              </w:rPr>
              <w:t>环境空气常规因子现状监测及评价结果</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68"/>
              <w:gridCol w:w="2712"/>
              <w:gridCol w:w="1060"/>
              <w:gridCol w:w="1259"/>
              <w:gridCol w:w="1104"/>
              <w:gridCol w:w="1243"/>
            </w:tblGrid>
            <w:tr w14:paraId="540D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49449716">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1644" w:type="pct"/>
                  <w:tcBorders>
                    <w:tl2br w:val="nil"/>
                    <w:tr2bl w:val="nil"/>
                  </w:tcBorders>
                  <w:noWrap w:val="0"/>
                  <w:vAlign w:val="center"/>
                </w:tcPr>
                <w:p w14:paraId="3C1B9AB1">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年度评价指标</w:t>
                  </w:r>
                </w:p>
              </w:tc>
              <w:tc>
                <w:tcPr>
                  <w:tcW w:w="642" w:type="pct"/>
                  <w:tcBorders>
                    <w:tl2br w:val="nil"/>
                    <w:tr2bl w:val="nil"/>
                  </w:tcBorders>
                  <w:noWrap w:val="0"/>
                  <w:vAlign w:val="center"/>
                </w:tcPr>
                <w:p w14:paraId="48DECA84">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现状浓度</w:t>
                  </w:r>
                </w:p>
                <w:p w14:paraId="172AE7E7">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eastAsia="黑体" w:cs="Times New Roman"/>
                      <w:color w:val="auto"/>
                      <w:highlight w:val="none"/>
                    </w:rPr>
                    <w:t>µ</w:t>
                  </w:r>
                  <w:r>
                    <w:rPr>
                      <w:rFonts w:hint="default" w:ascii="Times New Roman" w:hAnsi="Times New Roman" w:eastAsia="黑体" w:cs="Times New Roman"/>
                      <w:color w:val="auto"/>
                      <w:szCs w:val="40"/>
                      <w:highlight w:val="none"/>
                    </w:rPr>
                    <w:t>g/m</w:t>
                  </w:r>
                  <w:r>
                    <w:rPr>
                      <w:rFonts w:hint="default" w:ascii="Times New Roman" w:hAnsi="Times New Roman" w:eastAsia="黑体" w:cs="Times New Roman"/>
                      <w:color w:val="auto"/>
                      <w:szCs w:val="40"/>
                      <w:highlight w:val="none"/>
                      <w:vertAlign w:val="superscript"/>
                    </w:rPr>
                    <w:t>3</w:t>
                  </w:r>
                </w:p>
              </w:tc>
              <w:tc>
                <w:tcPr>
                  <w:tcW w:w="763" w:type="pct"/>
                  <w:tcBorders>
                    <w:tl2br w:val="nil"/>
                    <w:tr2bl w:val="nil"/>
                  </w:tcBorders>
                  <w:noWrap w:val="0"/>
                  <w:vAlign w:val="center"/>
                </w:tcPr>
                <w:p w14:paraId="0128E3D3">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标准值</w:t>
                  </w:r>
                </w:p>
                <w:p w14:paraId="3F02BC2F">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eastAsia="黑体" w:cs="Times New Roman"/>
                      <w:color w:val="auto"/>
                      <w:highlight w:val="none"/>
                    </w:rPr>
                    <w:t>µ</w:t>
                  </w:r>
                  <w:r>
                    <w:rPr>
                      <w:rFonts w:hint="default" w:ascii="Times New Roman" w:hAnsi="Times New Roman" w:eastAsia="黑体" w:cs="Times New Roman"/>
                      <w:color w:val="auto"/>
                      <w:szCs w:val="40"/>
                      <w:highlight w:val="none"/>
                    </w:rPr>
                    <w:t>g/m</w:t>
                  </w:r>
                  <w:r>
                    <w:rPr>
                      <w:rFonts w:hint="default" w:ascii="Times New Roman" w:hAnsi="Times New Roman" w:eastAsia="黑体" w:cs="Times New Roman"/>
                      <w:color w:val="auto"/>
                      <w:szCs w:val="40"/>
                      <w:highlight w:val="none"/>
                      <w:vertAlign w:val="superscript"/>
                    </w:rPr>
                    <w:t>3</w:t>
                  </w:r>
                </w:p>
              </w:tc>
              <w:tc>
                <w:tcPr>
                  <w:tcW w:w="669" w:type="pct"/>
                  <w:tcBorders>
                    <w:tl2br w:val="nil"/>
                    <w:tr2bl w:val="nil"/>
                  </w:tcBorders>
                  <w:noWrap w:val="0"/>
                  <w:vAlign w:val="center"/>
                </w:tcPr>
                <w:p w14:paraId="40556568">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占标率</w:t>
                  </w:r>
                </w:p>
                <w:p w14:paraId="39F43E2B">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w:t>
                  </w:r>
                </w:p>
              </w:tc>
              <w:tc>
                <w:tcPr>
                  <w:tcW w:w="753" w:type="pct"/>
                  <w:tcBorders>
                    <w:tl2br w:val="nil"/>
                    <w:tr2bl w:val="nil"/>
                  </w:tcBorders>
                  <w:noWrap w:val="0"/>
                  <w:vAlign w:val="center"/>
                </w:tcPr>
                <w:p w14:paraId="34C0B6F7">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5028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64F49FF1">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1644" w:type="pct"/>
                  <w:tcBorders>
                    <w:tl2br w:val="nil"/>
                    <w:tr2bl w:val="nil"/>
                  </w:tcBorders>
                  <w:noWrap w:val="0"/>
                  <w:vAlign w:val="center"/>
                </w:tcPr>
                <w:p w14:paraId="478A3A31">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642" w:type="pct"/>
                  <w:tcBorders>
                    <w:tl2br w:val="nil"/>
                    <w:tr2bl w:val="nil"/>
                  </w:tcBorders>
                  <w:noWrap w:val="0"/>
                  <w:vAlign w:val="top"/>
                </w:tcPr>
                <w:p w14:paraId="49C0EE1C">
                  <w:pPr>
                    <w:spacing w:line="240" w:lineRule="auto"/>
                    <w:ind w:firstLine="0" w:firstLineChars="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4</w:t>
                  </w:r>
                </w:p>
              </w:tc>
              <w:tc>
                <w:tcPr>
                  <w:tcW w:w="763" w:type="pct"/>
                  <w:tcBorders>
                    <w:tl2br w:val="nil"/>
                    <w:tr2bl w:val="nil"/>
                  </w:tcBorders>
                  <w:noWrap w:val="0"/>
                  <w:vAlign w:val="center"/>
                </w:tcPr>
                <w:p w14:paraId="52BD6A2E">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669" w:type="pct"/>
                  <w:tcBorders>
                    <w:tl2br w:val="nil"/>
                    <w:tr2bl w:val="nil"/>
                  </w:tcBorders>
                  <w:noWrap w:val="0"/>
                  <w:vAlign w:val="top"/>
                </w:tcPr>
                <w:p w14:paraId="529FFDB5">
                  <w:pPr>
                    <w:spacing w:line="240" w:lineRule="auto"/>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6.7</w:t>
                  </w:r>
                </w:p>
              </w:tc>
              <w:tc>
                <w:tcPr>
                  <w:tcW w:w="753" w:type="pct"/>
                  <w:tcBorders>
                    <w:tl2br w:val="nil"/>
                    <w:tr2bl w:val="nil"/>
                  </w:tcBorders>
                  <w:noWrap w:val="0"/>
                  <w:vAlign w:val="center"/>
                </w:tcPr>
                <w:p w14:paraId="09A98AAC">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147C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2F97A8DA">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1644" w:type="pct"/>
                  <w:tcBorders>
                    <w:tl2br w:val="nil"/>
                    <w:tr2bl w:val="nil"/>
                  </w:tcBorders>
                  <w:noWrap w:val="0"/>
                  <w:vAlign w:val="center"/>
                </w:tcPr>
                <w:p w14:paraId="649A1F3E">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642" w:type="pct"/>
                  <w:tcBorders>
                    <w:tl2br w:val="nil"/>
                    <w:tr2bl w:val="nil"/>
                  </w:tcBorders>
                  <w:noWrap w:val="0"/>
                  <w:vAlign w:val="top"/>
                </w:tcPr>
                <w:p w14:paraId="34866A6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34</w:t>
                  </w:r>
                </w:p>
              </w:tc>
              <w:tc>
                <w:tcPr>
                  <w:tcW w:w="763" w:type="pct"/>
                  <w:tcBorders>
                    <w:tl2br w:val="nil"/>
                    <w:tr2bl w:val="nil"/>
                  </w:tcBorders>
                  <w:noWrap w:val="0"/>
                  <w:vAlign w:val="center"/>
                </w:tcPr>
                <w:p w14:paraId="233F5650">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669" w:type="pct"/>
                  <w:tcBorders>
                    <w:tl2br w:val="nil"/>
                    <w:tr2bl w:val="nil"/>
                  </w:tcBorders>
                  <w:noWrap w:val="0"/>
                  <w:vAlign w:val="top"/>
                </w:tcPr>
                <w:p w14:paraId="311C81E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753" w:type="pct"/>
                  <w:tcBorders>
                    <w:tl2br w:val="nil"/>
                    <w:tr2bl w:val="nil"/>
                  </w:tcBorders>
                  <w:noWrap w:val="0"/>
                  <w:vAlign w:val="center"/>
                </w:tcPr>
                <w:p w14:paraId="4F3094D9">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D6D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3979E716">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p>
              </w:tc>
              <w:tc>
                <w:tcPr>
                  <w:tcW w:w="1644" w:type="pct"/>
                  <w:tcBorders>
                    <w:tl2br w:val="nil"/>
                    <w:tr2bl w:val="nil"/>
                  </w:tcBorders>
                  <w:noWrap w:val="0"/>
                  <w:vAlign w:val="center"/>
                </w:tcPr>
                <w:p w14:paraId="42934C4A">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642" w:type="pct"/>
                  <w:tcBorders>
                    <w:tl2br w:val="nil"/>
                    <w:tr2bl w:val="nil"/>
                  </w:tcBorders>
                  <w:noWrap w:val="0"/>
                  <w:vAlign w:val="top"/>
                </w:tcPr>
                <w:p w14:paraId="12828F21">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78</w:t>
                  </w:r>
                </w:p>
              </w:tc>
              <w:tc>
                <w:tcPr>
                  <w:tcW w:w="763" w:type="pct"/>
                  <w:tcBorders>
                    <w:tl2br w:val="nil"/>
                    <w:tr2bl w:val="nil"/>
                  </w:tcBorders>
                  <w:noWrap w:val="0"/>
                  <w:vAlign w:val="center"/>
                </w:tcPr>
                <w:p w14:paraId="0D01AEF6">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0</w:t>
                  </w:r>
                </w:p>
              </w:tc>
              <w:tc>
                <w:tcPr>
                  <w:tcW w:w="669" w:type="pct"/>
                  <w:tcBorders>
                    <w:tl2br w:val="nil"/>
                    <w:tr2bl w:val="nil"/>
                  </w:tcBorders>
                  <w:noWrap w:val="0"/>
                  <w:vAlign w:val="top"/>
                </w:tcPr>
                <w:p w14:paraId="5556D8DD">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130</w:t>
                  </w:r>
                </w:p>
              </w:tc>
              <w:tc>
                <w:tcPr>
                  <w:tcW w:w="753" w:type="pct"/>
                  <w:tcBorders>
                    <w:tl2br w:val="nil"/>
                    <w:tr2bl w:val="nil"/>
                  </w:tcBorders>
                  <w:noWrap w:val="0"/>
                  <w:vAlign w:val="center"/>
                </w:tcPr>
                <w:p w14:paraId="24D30914">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超</w:t>
                  </w:r>
                  <w:r>
                    <w:rPr>
                      <w:rFonts w:hint="default" w:ascii="Times New Roman" w:hAnsi="Times New Roman" w:eastAsia="宋体" w:cs="Times New Roman"/>
                      <w:color w:val="auto"/>
                      <w:sz w:val="21"/>
                      <w:szCs w:val="21"/>
                      <w:highlight w:val="none"/>
                    </w:rPr>
                    <w:t>标</w:t>
                  </w:r>
                </w:p>
              </w:tc>
            </w:tr>
            <w:tr w14:paraId="7DE9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 w:hRule="atLeast"/>
                <w:jc w:val="center"/>
              </w:trPr>
              <w:tc>
                <w:tcPr>
                  <w:tcW w:w="526" w:type="pct"/>
                  <w:tcBorders>
                    <w:tl2br w:val="nil"/>
                    <w:tr2bl w:val="nil"/>
                  </w:tcBorders>
                  <w:noWrap w:val="0"/>
                  <w:vAlign w:val="center"/>
                </w:tcPr>
                <w:p w14:paraId="2BF98E76">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p>
              </w:tc>
              <w:tc>
                <w:tcPr>
                  <w:tcW w:w="1644" w:type="pct"/>
                  <w:tcBorders>
                    <w:tl2br w:val="nil"/>
                    <w:tr2bl w:val="nil"/>
                  </w:tcBorders>
                  <w:noWrap w:val="0"/>
                  <w:vAlign w:val="center"/>
                </w:tcPr>
                <w:p w14:paraId="69294D87">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642" w:type="pct"/>
                  <w:tcBorders>
                    <w:tl2br w:val="nil"/>
                    <w:tr2bl w:val="nil"/>
                  </w:tcBorders>
                  <w:noWrap w:val="0"/>
                  <w:vAlign w:val="top"/>
                </w:tcPr>
                <w:p w14:paraId="5E45BF80">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37</w:t>
                  </w:r>
                </w:p>
              </w:tc>
              <w:tc>
                <w:tcPr>
                  <w:tcW w:w="763" w:type="pct"/>
                  <w:tcBorders>
                    <w:tl2br w:val="nil"/>
                    <w:tr2bl w:val="nil"/>
                  </w:tcBorders>
                  <w:noWrap w:val="0"/>
                  <w:vAlign w:val="center"/>
                </w:tcPr>
                <w:p w14:paraId="0014B83C">
                  <w:pPr>
                    <w:spacing w:line="240" w:lineRule="auto"/>
                    <w:ind w:firstLine="0" w:firstLineChars="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3</w:t>
                  </w:r>
                  <w:r>
                    <w:rPr>
                      <w:rFonts w:hint="eastAsia" w:cs="Times New Roman"/>
                      <w:color w:val="auto"/>
                      <w:sz w:val="21"/>
                      <w:szCs w:val="21"/>
                      <w:highlight w:val="none"/>
                      <w:lang w:val="en-US" w:eastAsia="zh-CN"/>
                    </w:rPr>
                    <w:t>0</w:t>
                  </w:r>
                </w:p>
              </w:tc>
              <w:tc>
                <w:tcPr>
                  <w:tcW w:w="669" w:type="pct"/>
                  <w:tcBorders>
                    <w:tl2br w:val="nil"/>
                    <w:tr2bl w:val="nil"/>
                  </w:tcBorders>
                  <w:noWrap w:val="0"/>
                  <w:vAlign w:val="top"/>
                </w:tcPr>
                <w:p w14:paraId="4A621A20">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123.3</w:t>
                  </w:r>
                </w:p>
              </w:tc>
              <w:tc>
                <w:tcPr>
                  <w:tcW w:w="753" w:type="pct"/>
                  <w:tcBorders>
                    <w:tl2br w:val="nil"/>
                    <w:tr2bl w:val="nil"/>
                  </w:tcBorders>
                  <w:noWrap w:val="0"/>
                  <w:vAlign w:val="center"/>
                </w:tcPr>
                <w:p w14:paraId="1C708BFD">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超</w:t>
                  </w:r>
                  <w:r>
                    <w:rPr>
                      <w:rFonts w:hint="default" w:ascii="Times New Roman" w:hAnsi="Times New Roman" w:eastAsia="宋体" w:cs="Times New Roman"/>
                      <w:color w:val="auto"/>
                      <w:sz w:val="21"/>
                      <w:szCs w:val="21"/>
                      <w:highlight w:val="none"/>
                    </w:rPr>
                    <w:t>标</w:t>
                  </w:r>
                </w:p>
              </w:tc>
            </w:tr>
            <w:tr w14:paraId="5E99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46396B4A">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1644" w:type="pct"/>
                  <w:tcBorders>
                    <w:tl2br w:val="nil"/>
                    <w:tr2bl w:val="nil"/>
                  </w:tcBorders>
                  <w:noWrap w:val="0"/>
                  <w:vAlign w:val="center"/>
                </w:tcPr>
                <w:p w14:paraId="5320037B">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日平均95百分位数</w:t>
                  </w:r>
                </w:p>
              </w:tc>
              <w:tc>
                <w:tcPr>
                  <w:tcW w:w="642" w:type="pct"/>
                  <w:tcBorders>
                    <w:tl2br w:val="nil"/>
                    <w:tr2bl w:val="nil"/>
                  </w:tcBorders>
                  <w:noWrap w:val="0"/>
                  <w:vAlign w:val="top"/>
                </w:tcPr>
                <w:p w14:paraId="25A83183">
                  <w:pPr>
                    <w:spacing w:line="240" w:lineRule="auto"/>
                    <w:ind w:firstLine="0" w:firstLineChars="0"/>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600</w:t>
                  </w:r>
                </w:p>
              </w:tc>
              <w:tc>
                <w:tcPr>
                  <w:tcW w:w="763" w:type="pct"/>
                  <w:tcBorders>
                    <w:tl2br w:val="nil"/>
                    <w:tr2bl w:val="nil"/>
                  </w:tcBorders>
                  <w:noWrap w:val="0"/>
                  <w:vAlign w:val="center"/>
                </w:tcPr>
                <w:p w14:paraId="7E28F556">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4000</w:t>
                  </w:r>
                </w:p>
              </w:tc>
              <w:tc>
                <w:tcPr>
                  <w:tcW w:w="669" w:type="pct"/>
                  <w:tcBorders>
                    <w:tl2br w:val="nil"/>
                    <w:tr2bl w:val="nil"/>
                  </w:tcBorders>
                  <w:noWrap w:val="0"/>
                  <w:vAlign w:val="top"/>
                </w:tcPr>
                <w:p w14:paraId="4733E74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753" w:type="pct"/>
                  <w:tcBorders>
                    <w:tl2br w:val="nil"/>
                    <w:tr2bl w:val="nil"/>
                  </w:tcBorders>
                  <w:noWrap w:val="0"/>
                  <w:vAlign w:val="center"/>
                </w:tcPr>
                <w:p w14:paraId="33A46DEA">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1359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4974444F">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1644" w:type="pct"/>
                  <w:tcBorders>
                    <w:tl2br w:val="nil"/>
                    <w:tr2bl w:val="nil"/>
                  </w:tcBorders>
                  <w:noWrap w:val="0"/>
                  <w:vAlign w:val="center"/>
                </w:tcPr>
                <w:p w14:paraId="35849BF9">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8h最大平均第90百分位数</w:t>
                  </w:r>
                </w:p>
              </w:tc>
              <w:tc>
                <w:tcPr>
                  <w:tcW w:w="642" w:type="pct"/>
                  <w:tcBorders>
                    <w:tl2br w:val="nil"/>
                    <w:tr2bl w:val="nil"/>
                  </w:tcBorders>
                  <w:noWrap w:val="0"/>
                  <w:vAlign w:val="top"/>
                </w:tcPr>
                <w:p w14:paraId="258C9376">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63</w:t>
                  </w:r>
                </w:p>
              </w:tc>
              <w:tc>
                <w:tcPr>
                  <w:tcW w:w="763" w:type="pct"/>
                  <w:tcBorders>
                    <w:tl2br w:val="nil"/>
                    <w:tr2bl w:val="nil"/>
                  </w:tcBorders>
                  <w:noWrap w:val="0"/>
                  <w:vAlign w:val="center"/>
                </w:tcPr>
                <w:p w14:paraId="7994A9AD">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160</w:t>
                  </w:r>
                </w:p>
              </w:tc>
              <w:tc>
                <w:tcPr>
                  <w:tcW w:w="669" w:type="pct"/>
                  <w:tcBorders>
                    <w:tl2br w:val="nil"/>
                    <w:tr2bl w:val="nil"/>
                  </w:tcBorders>
                  <w:noWrap w:val="0"/>
                  <w:vAlign w:val="top"/>
                </w:tcPr>
                <w:p w14:paraId="40891573">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39.4</w:t>
                  </w:r>
                </w:p>
              </w:tc>
              <w:tc>
                <w:tcPr>
                  <w:tcW w:w="753" w:type="pct"/>
                  <w:tcBorders>
                    <w:tl2br w:val="nil"/>
                    <w:tr2bl w:val="nil"/>
                  </w:tcBorders>
                  <w:noWrap w:val="0"/>
                  <w:vAlign w:val="center"/>
                </w:tcPr>
                <w:p w14:paraId="7F384A2A">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1A90283B">
            <w:pPr>
              <w:pStyle w:val="29"/>
              <w:bidi w:val="0"/>
              <w:rPr>
                <w:rFonts w:hint="default" w:ascii="Times New Roman" w:hAnsi="Times New Roman" w:cs="Times New Roman"/>
                <w:color w:val="auto"/>
                <w:kern w:val="0"/>
                <w:highlight w:val="none"/>
                <w:lang w:bidi="zh-CN"/>
              </w:rPr>
            </w:pPr>
            <w:r>
              <w:rPr>
                <w:color w:val="auto"/>
                <w:sz w:val="24"/>
                <w:szCs w:val="32"/>
                <w:highlight w:val="none"/>
              </w:rPr>
              <w:t>由上表可知，项目所在区域SO</w:t>
            </w:r>
            <w:r>
              <w:rPr>
                <w:color w:val="auto"/>
                <w:sz w:val="24"/>
                <w:szCs w:val="32"/>
                <w:highlight w:val="none"/>
                <w:vertAlign w:val="subscript"/>
              </w:rPr>
              <w:t>2</w:t>
            </w:r>
            <w:r>
              <w:rPr>
                <w:color w:val="auto"/>
                <w:sz w:val="24"/>
                <w:szCs w:val="32"/>
                <w:highlight w:val="none"/>
              </w:rPr>
              <w:t>、NO</w:t>
            </w:r>
            <w:r>
              <w:rPr>
                <w:color w:val="auto"/>
                <w:sz w:val="24"/>
                <w:szCs w:val="32"/>
                <w:highlight w:val="none"/>
                <w:vertAlign w:val="subscript"/>
              </w:rPr>
              <w:t>2</w:t>
            </w:r>
            <w:r>
              <w:rPr>
                <w:color w:val="auto"/>
                <w:sz w:val="24"/>
                <w:szCs w:val="32"/>
                <w:highlight w:val="none"/>
              </w:rPr>
              <w:t>的年均浓度和</w:t>
            </w:r>
            <w:r>
              <w:rPr>
                <w:color w:val="auto"/>
                <w:sz w:val="24"/>
                <w:highlight w:val="none"/>
              </w:rPr>
              <w:t>CO的95百分位24小时平均、O</w:t>
            </w:r>
            <w:r>
              <w:rPr>
                <w:color w:val="auto"/>
                <w:sz w:val="24"/>
                <w:highlight w:val="none"/>
                <w:vertAlign w:val="subscript"/>
              </w:rPr>
              <w:t>3</w:t>
            </w:r>
            <w:r>
              <w:rPr>
                <w:color w:val="auto"/>
                <w:sz w:val="24"/>
                <w:highlight w:val="none"/>
              </w:rPr>
              <w:t>的90百分位8小时平均浓度</w:t>
            </w:r>
            <w:r>
              <w:rPr>
                <w:color w:val="auto"/>
                <w:sz w:val="24"/>
                <w:szCs w:val="32"/>
                <w:highlight w:val="none"/>
              </w:rPr>
              <w:t>均</w:t>
            </w:r>
            <w:r>
              <w:rPr>
                <w:rFonts w:hint="eastAsia"/>
                <w:color w:val="auto"/>
                <w:kern w:val="0"/>
                <w:sz w:val="24"/>
                <w:highlight w:val="none"/>
              </w:rPr>
              <w:t>满足</w:t>
            </w:r>
            <w:r>
              <w:rPr>
                <w:rFonts w:hint="default" w:ascii="Times New Roman" w:hAnsi="Times New Roman" w:eastAsia="宋体" w:cs="Times New Roman"/>
                <w:color w:val="auto"/>
                <w:kern w:val="21"/>
                <w:sz w:val="24"/>
                <w:lang w:val="en-US" w:eastAsia="zh-CN"/>
              </w:rPr>
              <w:t>《环境空气质量标准》（GB3095-20</w:t>
            </w:r>
            <w:r>
              <w:rPr>
                <w:rFonts w:hint="eastAsia" w:cs="Times New Roman"/>
                <w:color w:val="auto"/>
                <w:kern w:val="21"/>
                <w:sz w:val="24"/>
                <w:lang w:val="en-US" w:eastAsia="zh-CN"/>
              </w:rPr>
              <w:t>26</w:t>
            </w:r>
            <w:r>
              <w:rPr>
                <w:rFonts w:hint="default" w:ascii="Times New Roman" w:hAnsi="Times New Roman" w:eastAsia="宋体" w:cs="Times New Roman"/>
                <w:color w:val="auto"/>
                <w:kern w:val="21"/>
                <w:sz w:val="24"/>
                <w:lang w:val="en-US" w:eastAsia="zh-CN"/>
              </w:rPr>
              <w:t>）中的过渡阶段</w:t>
            </w:r>
            <w:r>
              <w:rPr>
                <w:rFonts w:hint="eastAsia" w:cs="Times New Roman"/>
                <w:color w:val="auto"/>
                <w:kern w:val="21"/>
                <w:sz w:val="24"/>
                <w:lang w:val="en-US" w:eastAsia="zh-CN"/>
              </w:rPr>
              <w:t>-</w:t>
            </w:r>
            <w:r>
              <w:rPr>
                <w:rFonts w:hint="default" w:ascii="Times New Roman" w:hAnsi="Times New Roman" w:eastAsia="宋体" w:cs="Times New Roman"/>
                <w:color w:val="auto"/>
                <w:kern w:val="21"/>
                <w:sz w:val="24"/>
                <w:lang w:val="en-US" w:eastAsia="zh-CN"/>
              </w:rPr>
              <w:t>二级</w:t>
            </w:r>
            <w:r>
              <w:rPr>
                <w:rFonts w:hint="eastAsia" w:ascii="Times New Roman" w:hAnsi="Times New Roman" w:eastAsia="宋体" w:cs="Times New Roman"/>
                <w:color w:val="auto"/>
                <w:kern w:val="21"/>
                <w:sz w:val="24"/>
                <w:lang w:val="en-US" w:eastAsia="zh-CN"/>
              </w:rPr>
              <w:t>标准</w:t>
            </w:r>
            <w:r>
              <w:rPr>
                <w:rFonts w:hint="default" w:ascii="Times New Roman" w:hAnsi="Times New Roman" w:eastAsia="宋体" w:cs="Times New Roman"/>
                <w:color w:val="auto"/>
                <w:kern w:val="21"/>
                <w:sz w:val="24"/>
                <w:lang w:val="en-US" w:eastAsia="zh-CN"/>
              </w:rPr>
              <w:t>浓度限值</w:t>
            </w:r>
            <w:r>
              <w:rPr>
                <w:rFonts w:hint="eastAsia" w:ascii="Times New Roman" w:hAnsi="Times New Roman" w:eastAsia="宋体" w:cs="Times New Roman"/>
                <w:color w:val="auto"/>
                <w:kern w:val="21"/>
                <w:sz w:val="24"/>
                <w:lang w:val="en-US" w:eastAsia="zh-CN"/>
              </w:rPr>
              <w:t>；</w:t>
            </w:r>
            <w:r>
              <w:rPr>
                <w:rFonts w:hint="default" w:ascii="Times New Roman" w:hAnsi="Times New Roman" w:eastAsia="宋体" w:cs="Times New Roman"/>
                <w:color w:val="auto"/>
                <w:kern w:val="21"/>
                <w:sz w:val="24"/>
                <w:lang w:val="en-US" w:eastAsia="zh-CN"/>
              </w:rPr>
              <w:t>PM</w:t>
            </w:r>
            <w:r>
              <w:rPr>
                <w:rFonts w:hint="default" w:ascii="Times New Roman" w:hAnsi="Times New Roman" w:eastAsia="宋体" w:cs="Times New Roman"/>
                <w:color w:val="auto"/>
                <w:kern w:val="21"/>
                <w:sz w:val="24"/>
                <w:vertAlign w:val="subscript"/>
                <w:lang w:val="en-US" w:eastAsia="zh-CN"/>
              </w:rPr>
              <w:t>10</w:t>
            </w:r>
            <w:r>
              <w:rPr>
                <w:rFonts w:hint="eastAsia" w:ascii="Times New Roman" w:hAnsi="Times New Roman" w:eastAsia="宋体" w:cs="Times New Roman"/>
                <w:color w:val="auto"/>
                <w:kern w:val="21"/>
                <w:sz w:val="24"/>
                <w:lang w:val="en-US" w:eastAsia="zh-CN"/>
              </w:rPr>
              <w:t>、</w:t>
            </w:r>
            <w:r>
              <w:rPr>
                <w:rFonts w:hint="default" w:ascii="Times New Roman" w:hAnsi="Times New Roman" w:eastAsia="宋体" w:cs="Times New Roman"/>
                <w:color w:val="auto"/>
                <w:kern w:val="21"/>
                <w:sz w:val="24"/>
                <w:lang w:val="en-US" w:eastAsia="zh-CN"/>
              </w:rPr>
              <w:t>PM</w:t>
            </w:r>
            <w:r>
              <w:rPr>
                <w:rFonts w:hint="default" w:ascii="Times New Roman" w:hAnsi="Times New Roman" w:eastAsia="宋体" w:cs="Times New Roman"/>
                <w:color w:val="auto"/>
                <w:kern w:val="21"/>
                <w:sz w:val="24"/>
                <w:vertAlign w:val="subscript"/>
                <w:lang w:val="en-US" w:eastAsia="zh-CN"/>
              </w:rPr>
              <w:t>2.5</w:t>
            </w:r>
            <w:r>
              <w:rPr>
                <w:rFonts w:ascii="宋体" w:hAnsi="宋体" w:eastAsia="宋体" w:cs="宋体"/>
                <w:sz w:val="24"/>
                <w:szCs w:val="24"/>
              </w:rPr>
              <w:t>的年均浓度超过《环境空气质量标准》（</w:t>
            </w:r>
            <w:r>
              <w:rPr>
                <w:rFonts w:hint="default" w:ascii="Times New Roman" w:hAnsi="Times New Roman" w:eastAsia="宋体" w:cs="Times New Roman"/>
                <w:color w:val="auto"/>
                <w:kern w:val="21"/>
                <w:sz w:val="24"/>
                <w:lang w:val="en-US" w:eastAsia="zh-CN"/>
              </w:rPr>
              <w:t>GB3095-2026）</w:t>
            </w:r>
            <w:r>
              <w:rPr>
                <w:rFonts w:ascii="宋体" w:hAnsi="宋体" w:eastAsia="宋体" w:cs="宋体"/>
                <w:sz w:val="24"/>
                <w:szCs w:val="24"/>
              </w:rPr>
              <w:t>的</w:t>
            </w:r>
            <w:r>
              <w:rPr>
                <w:rFonts w:hint="default" w:ascii="Times New Roman" w:hAnsi="Times New Roman" w:eastAsia="宋体" w:cs="Times New Roman"/>
                <w:color w:val="auto"/>
                <w:kern w:val="21"/>
                <w:sz w:val="24"/>
                <w:lang w:val="en-US" w:eastAsia="zh-CN"/>
              </w:rPr>
              <w:t>过渡阶段</w:t>
            </w:r>
            <w:r>
              <w:rPr>
                <w:rFonts w:hint="eastAsia" w:cs="Times New Roman"/>
                <w:color w:val="auto"/>
                <w:kern w:val="21"/>
                <w:sz w:val="24"/>
                <w:lang w:val="en-US" w:eastAsia="zh-CN"/>
              </w:rPr>
              <w:t>-</w:t>
            </w:r>
            <w:r>
              <w:rPr>
                <w:rFonts w:hint="default" w:ascii="Times New Roman" w:hAnsi="Times New Roman" w:eastAsia="宋体" w:cs="Times New Roman"/>
                <w:color w:val="auto"/>
                <w:kern w:val="21"/>
                <w:sz w:val="24"/>
                <w:lang w:val="en-US" w:eastAsia="zh-CN"/>
              </w:rPr>
              <w:t>二级</w:t>
            </w:r>
            <w:r>
              <w:rPr>
                <w:rFonts w:hint="eastAsia" w:ascii="Times New Roman" w:hAnsi="Times New Roman" w:eastAsia="宋体" w:cs="Times New Roman"/>
                <w:color w:val="auto"/>
                <w:kern w:val="21"/>
                <w:sz w:val="24"/>
                <w:lang w:val="en-US" w:eastAsia="zh-CN"/>
              </w:rPr>
              <w:t>标准</w:t>
            </w:r>
            <w:r>
              <w:rPr>
                <w:rFonts w:hint="default" w:ascii="Times New Roman" w:hAnsi="Times New Roman" w:eastAsia="宋体" w:cs="Times New Roman"/>
                <w:color w:val="auto"/>
                <w:kern w:val="21"/>
                <w:sz w:val="24"/>
                <w:lang w:val="en-US" w:eastAsia="zh-CN"/>
              </w:rPr>
              <w:t>浓度限值</w:t>
            </w:r>
            <w:r>
              <w:rPr>
                <w:rFonts w:ascii="宋体" w:hAnsi="宋体" w:eastAsia="宋体" w:cs="宋体"/>
                <w:sz w:val="24"/>
                <w:szCs w:val="24"/>
              </w:rPr>
              <w:t>要求</w:t>
            </w:r>
            <w:r>
              <w:rPr>
                <w:rFonts w:hint="eastAsia" w:ascii="宋体" w:hAnsi="宋体" w:eastAsia="宋体" w:cs="宋体"/>
                <w:sz w:val="24"/>
                <w:szCs w:val="24"/>
                <w:lang w:eastAsia="zh-CN"/>
              </w:rPr>
              <w:t>。</w:t>
            </w:r>
            <w:r>
              <w:rPr>
                <w:color w:val="auto"/>
                <w:sz w:val="24"/>
                <w:szCs w:val="32"/>
                <w:highlight w:val="none"/>
              </w:rPr>
              <w:t>因此，本项目所在区域为</w:t>
            </w:r>
            <w:r>
              <w:rPr>
                <w:rFonts w:hint="eastAsia"/>
                <w:color w:val="auto"/>
                <w:sz w:val="24"/>
                <w:szCs w:val="32"/>
                <w:highlight w:val="none"/>
                <w:lang w:val="en-US" w:eastAsia="zh-CN"/>
              </w:rPr>
              <w:t>环境</w:t>
            </w:r>
            <w:r>
              <w:rPr>
                <w:rFonts w:hint="eastAsia" w:ascii="Times New Roman" w:hAnsi="Times New Roman" w:eastAsia="宋体" w:cs="Times New Roman"/>
                <w:color w:val="auto"/>
                <w:kern w:val="21"/>
                <w:sz w:val="24"/>
                <w:lang w:val="en-US" w:eastAsia="zh-CN"/>
              </w:rPr>
              <w:t>空气质量不</w:t>
            </w:r>
            <w:r>
              <w:rPr>
                <w:color w:val="auto"/>
                <w:sz w:val="24"/>
                <w:szCs w:val="32"/>
                <w:highlight w:val="none"/>
              </w:rPr>
              <w:t>达标区域</w:t>
            </w:r>
            <w:r>
              <w:rPr>
                <w:rFonts w:hint="default" w:ascii="Times New Roman" w:hAnsi="Times New Roman" w:cs="Times New Roman"/>
                <w:color w:val="auto"/>
                <w:kern w:val="0"/>
                <w:highlight w:val="none"/>
                <w:lang w:bidi="zh-CN"/>
              </w:rPr>
              <w:t>。</w:t>
            </w:r>
          </w:p>
          <w:p w14:paraId="1881EA93">
            <w:pPr>
              <w:pStyle w:val="3"/>
              <w:bidi w:val="0"/>
              <w:rPr>
                <w:color w:val="auto"/>
              </w:rPr>
            </w:pPr>
            <w:r>
              <w:rPr>
                <w:rFonts w:hint="eastAsia"/>
                <w:color w:val="auto"/>
                <w:lang w:val="en-US" w:eastAsia="zh-CN"/>
              </w:rPr>
              <w:t>3.</w:t>
            </w:r>
            <w:r>
              <w:rPr>
                <w:color w:val="auto"/>
              </w:rPr>
              <w:t>2</w:t>
            </w:r>
            <w:r>
              <w:rPr>
                <w:rFonts w:hint="eastAsia"/>
                <w:color w:val="auto"/>
              </w:rPr>
              <w:t>、</w:t>
            </w:r>
            <w:r>
              <w:rPr>
                <w:rFonts w:hint="eastAsia"/>
                <w:color w:val="auto"/>
                <w:lang w:val="en-US" w:eastAsia="zh-CN"/>
              </w:rPr>
              <w:t>地表</w:t>
            </w:r>
            <w:r>
              <w:rPr>
                <w:rFonts w:hint="eastAsia"/>
                <w:color w:val="auto"/>
              </w:rPr>
              <w:t>水环境质量现状</w:t>
            </w:r>
          </w:p>
          <w:p w14:paraId="6D9C367E">
            <w:pPr>
              <w:pStyle w:val="29"/>
              <w:bidi w:val="0"/>
              <w:rPr>
                <w:rFonts w:hint="eastAsia"/>
                <w:color w:val="auto"/>
                <w:lang w:val="en-US" w:eastAsia="zh-CN"/>
              </w:rPr>
            </w:pPr>
            <w:r>
              <w:rPr>
                <w:rFonts w:hint="eastAsia"/>
                <w:color w:val="auto"/>
                <w:lang w:val="en-US" w:eastAsia="zh-CN"/>
              </w:rPr>
              <w:t>本项目区周围500米范围内无地表水，</w:t>
            </w:r>
            <w:r>
              <w:rPr>
                <w:color w:val="auto"/>
              </w:rPr>
              <w:t>本项目与地表水没有直接的水力联系，本项目运营期不会对区域地表水产生影响</w:t>
            </w:r>
            <w:r>
              <w:rPr>
                <w:rFonts w:hint="eastAsia"/>
                <w:color w:val="auto"/>
                <w:lang w:eastAsia="zh-CN"/>
              </w:rPr>
              <w:t>，</w:t>
            </w:r>
            <w:r>
              <w:rPr>
                <w:color w:val="auto"/>
              </w:rPr>
              <w:t>故</w:t>
            </w:r>
            <w:r>
              <w:rPr>
                <w:rFonts w:hint="eastAsia"/>
                <w:color w:val="auto"/>
                <w:lang w:val="en-US" w:eastAsia="zh-CN"/>
              </w:rPr>
              <w:t>本项目</w:t>
            </w:r>
            <w:r>
              <w:rPr>
                <w:color w:val="auto"/>
              </w:rPr>
              <w:t>不开展</w:t>
            </w:r>
            <w:r>
              <w:rPr>
                <w:rFonts w:hint="eastAsia"/>
                <w:color w:val="auto"/>
                <w:lang w:val="en-US" w:eastAsia="zh-CN"/>
              </w:rPr>
              <w:t>地表水</w:t>
            </w:r>
            <w:r>
              <w:rPr>
                <w:color w:val="auto"/>
              </w:rPr>
              <w:t>环境质量现状评价。</w:t>
            </w:r>
          </w:p>
          <w:p w14:paraId="10C30731">
            <w:pPr>
              <w:pStyle w:val="3"/>
              <w:bidi w:val="0"/>
              <w:rPr>
                <w:rFonts w:hint="eastAsia"/>
                <w:color w:val="auto"/>
                <w:lang w:val="en-US" w:eastAsia="zh-CN"/>
              </w:rPr>
            </w:pPr>
            <w:r>
              <w:rPr>
                <w:rFonts w:hint="eastAsia"/>
                <w:color w:val="auto"/>
                <w:lang w:val="en-US" w:eastAsia="zh-CN"/>
              </w:rPr>
              <w:t>3.3、地下水及土壤环境</w:t>
            </w:r>
          </w:p>
          <w:p w14:paraId="6DFAD3F0">
            <w:pPr>
              <w:pStyle w:val="29"/>
              <w:bidi w:val="0"/>
              <w:rPr>
                <w:rFonts w:hint="default"/>
                <w:color w:val="auto"/>
                <w:lang w:val="en-US" w:eastAsia="zh-CN"/>
              </w:rPr>
            </w:pPr>
            <w:r>
              <w:rPr>
                <w:color w:val="auto"/>
              </w:rPr>
              <w:t>根据《建设项目环境影响报告表编制技术指南(污染影响类</w:t>
            </w:r>
            <w:r>
              <w:rPr>
                <w:rFonts w:hint="default"/>
                <w:color w:val="auto"/>
              </w:rPr>
              <w:t>)</w:t>
            </w:r>
            <w:r>
              <w:rPr>
                <w:color w:val="auto"/>
              </w:rPr>
              <w:t>（试行</w:t>
            </w:r>
            <w:r>
              <w:rPr>
                <w:rFonts w:hint="eastAsia"/>
                <w:color w:val="auto"/>
                <w:lang w:eastAsia="zh-CN"/>
              </w:rPr>
              <w:t>）</w:t>
            </w:r>
            <w:r>
              <w:rPr>
                <w:color w:val="auto"/>
              </w:rPr>
              <w:t>》</w:t>
            </w:r>
            <w:r>
              <w:rPr>
                <w:rFonts w:hint="default"/>
                <w:color w:val="auto"/>
              </w:rPr>
              <w:t>(</w:t>
            </w:r>
            <w:r>
              <w:rPr>
                <w:color w:val="auto"/>
              </w:rPr>
              <w:t>环办环评〔</w:t>
            </w:r>
            <w:r>
              <w:rPr>
                <w:rFonts w:hint="default"/>
                <w:color w:val="auto"/>
              </w:rPr>
              <w:t>2020</w:t>
            </w:r>
            <w:r>
              <w:rPr>
                <w:color w:val="auto"/>
              </w:rPr>
              <w:t>〕</w:t>
            </w:r>
            <w:r>
              <w:rPr>
                <w:rFonts w:hint="default"/>
                <w:color w:val="auto"/>
              </w:rPr>
              <w:t>33</w:t>
            </w:r>
            <w:r>
              <w:rPr>
                <w:color w:val="auto"/>
              </w:rPr>
              <w:t>号</w:t>
            </w:r>
            <w:r>
              <w:rPr>
                <w:rFonts w:hint="default"/>
                <w:color w:val="auto"/>
              </w:rPr>
              <w:t>)</w:t>
            </w:r>
            <w:r>
              <w:rPr>
                <w:color w:val="auto"/>
              </w:rPr>
              <w:t>规定，“原则上不开展环境质量现状调查。建设项目存在土壤、地下水环境污染途径的，应结合污染源、保护目标分布情况开展现状调查以留作背景值</w:t>
            </w:r>
            <w:r>
              <w:rPr>
                <w:rFonts w:hint="eastAsia"/>
                <w:color w:val="auto"/>
                <w:lang w:eastAsia="zh-CN"/>
              </w:rPr>
              <w:t>”</w:t>
            </w:r>
            <w:r>
              <w:rPr>
                <w:color w:val="auto"/>
              </w:rPr>
              <w:t>。</w:t>
            </w:r>
            <w:r>
              <w:rPr>
                <w:rFonts w:hint="default" w:ascii="Times New Roman" w:hAnsi="Times New Roman" w:cs="Times New Roman"/>
                <w:color w:val="auto"/>
                <w:highlight w:val="none"/>
              </w:rPr>
              <w:t>本项目租赁</w:t>
            </w:r>
            <w:r>
              <w:rPr>
                <w:rFonts w:hint="eastAsia" w:cs="Times New Roman"/>
                <w:color w:val="auto"/>
                <w:highlight w:val="none"/>
                <w:lang w:val="en-US" w:eastAsia="zh-CN"/>
              </w:rPr>
              <w:t>闲置</w:t>
            </w:r>
            <w:r>
              <w:rPr>
                <w:rFonts w:hint="default" w:ascii="Times New Roman" w:hAnsi="Times New Roman" w:cs="Times New Roman"/>
                <w:color w:val="auto"/>
                <w:highlight w:val="none"/>
              </w:rPr>
              <w:t>商铺</w:t>
            </w:r>
            <w:r>
              <w:rPr>
                <w:rFonts w:hint="eastAsia" w:cs="Times New Roman"/>
                <w:color w:val="auto"/>
                <w:highlight w:val="none"/>
                <w:lang w:eastAsia="zh-CN"/>
              </w:rPr>
              <w:t>，</w:t>
            </w:r>
            <w:r>
              <w:rPr>
                <w:rFonts w:hint="default" w:ascii="Times New Roman" w:hAnsi="Times New Roman" w:cs="Times New Roman"/>
                <w:color w:val="auto"/>
                <w:highlight w:val="none"/>
              </w:rPr>
              <w:t>地面已全部硬化，运营过程不会影响土壤和地下水环境，原则上不开展地下水、土壤环境质量现状调查。</w:t>
            </w:r>
          </w:p>
          <w:p w14:paraId="5784DB62">
            <w:pPr>
              <w:pStyle w:val="3"/>
              <w:bidi w:val="0"/>
              <w:rPr>
                <w:color w:val="auto"/>
                <w:lang w:eastAsia="zh-CN"/>
              </w:rPr>
            </w:pPr>
            <w:r>
              <w:rPr>
                <w:rFonts w:hint="eastAsia"/>
                <w:color w:val="auto"/>
                <w:lang w:val="en-US" w:eastAsia="zh-CN"/>
              </w:rPr>
              <w:t>3.4</w:t>
            </w:r>
            <w:r>
              <w:rPr>
                <w:rFonts w:hint="eastAsia"/>
                <w:color w:val="auto"/>
                <w:lang w:eastAsia="zh-CN"/>
              </w:rPr>
              <w:t>、声环境质量现状</w:t>
            </w:r>
          </w:p>
          <w:p w14:paraId="3C888EB9">
            <w:pPr>
              <w:pStyle w:val="4"/>
              <w:bidi w:val="0"/>
              <w:rPr>
                <w:rFonts w:hint="eastAsia"/>
                <w:color w:val="auto"/>
                <w:lang w:eastAsia="zh-CN"/>
              </w:rPr>
            </w:pPr>
            <w:r>
              <w:rPr>
                <w:rFonts w:hint="eastAsia"/>
                <w:color w:val="auto"/>
                <w:lang w:val="en-US" w:eastAsia="zh-CN"/>
              </w:rPr>
              <w:t>3.4</w:t>
            </w:r>
            <w:r>
              <w:rPr>
                <w:rFonts w:hint="eastAsia"/>
                <w:color w:val="auto"/>
                <w:lang w:eastAsia="zh-CN"/>
              </w:rPr>
              <w:t>.1监测布点</w:t>
            </w:r>
          </w:p>
          <w:p w14:paraId="0FE68F5A">
            <w:pPr>
              <w:pStyle w:val="29"/>
              <w:bidi w:val="0"/>
              <w:rPr>
                <w:rFonts w:hint="eastAsia"/>
                <w:color w:val="auto"/>
                <w:lang w:eastAsia="zh-CN"/>
              </w:rPr>
            </w:pPr>
            <w:r>
              <w:rPr>
                <w:color w:val="auto"/>
              </w:rPr>
              <w:t>新疆坤元检测科技</w:t>
            </w:r>
            <w:r>
              <w:rPr>
                <w:color w:val="auto"/>
                <w:lang w:eastAsia="zh-CN"/>
              </w:rPr>
              <w:t>于</w:t>
            </w:r>
            <w:r>
              <w:rPr>
                <w:color w:val="000000" w:themeColor="text1"/>
                <w:lang w:eastAsia="zh-CN"/>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color w:val="000000" w:themeColor="text1"/>
                <w:lang w:eastAsia="zh-CN"/>
                <w14:textFill>
                  <w14:solidFill>
                    <w14:schemeClr w14:val="tx1"/>
                  </w14:solidFill>
                </w14:textFill>
              </w:rPr>
              <w:t>年</w:t>
            </w:r>
            <w:r>
              <w:rPr>
                <w:rFonts w:hint="eastAsia"/>
                <w:color w:val="000000" w:themeColor="text1"/>
                <w:lang w:val="en-US" w:eastAsia="zh-CN"/>
                <w14:textFill>
                  <w14:solidFill>
                    <w14:schemeClr w14:val="tx1"/>
                  </w14:solidFill>
                </w14:textFill>
              </w:rPr>
              <w:t>9</w:t>
            </w:r>
            <w:r>
              <w:rPr>
                <w:color w:val="000000" w:themeColor="text1"/>
                <w:lang w:eastAsia="zh-CN"/>
                <w14:textFill>
                  <w14:solidFill>
                    <w14:schemeClr w14:val="tx1"/>
                  </w14:solidFill>
                </w14:textFill>
              </w:rPr>
              <w:t>月</w:t>
            </w:r>
            <w:r>
              <w:rPr>
                <w:rFonts w:hint="eastAsia"/>
                <w:color w:val="000000" w:themeColor="text1"/>
                <w:lang w:val="en-US" w:eastAsia="zh-CN"/>
                <w14:textFill>
                  <w14:solidFill>
                    <w14:schemeClr w14:val="tx1"/>
                  </w14:solidFill>
                </w14:textFill>
              </w:rPr>
              <w:t>23</w:t>
            </w:r>
            <w:r>
              <w:rPr>
                <w:color w:val="000000" w:themeColor="text1"/>
                <w:lang w:eastAsia="zh-CN"/>
                <w14:textFill>
                  <w14:solidFill>
                    <w14:schemeClr w14:val="tx1"/>
                  </w14:solidFill>
                </w14:textFill>
              </w:rPr>
              <w:t>日</w:t>
            </w:r>
            <w:r>
              <w:rPr>
                <w:rFonts w:hint="eastAsia"/>
                <w:color w:val="000000" w:themeColor="text1"/>
                <w:lang w:val="en-US" w:eastAsia="zh-CN"/>
                <w14:textFill>
                  <w14:solidFill>
                    <w14:schemeClr w14:val="tx1"/>
                  </w14:solidFill>
                </w14:textFill>
              </w:rPr>
              <w:t>-9月24日</w:t>
            </w:r>
            <w:r>
              <w:rPr>
                <w:color w:val="auto"/>
                <w:lang w:eastAsia="zh-CN"/>
              </w:rPr>
              <w:t>对</w:t>
            </w:r>
            <w:r>
              <w:rPr>
                <w:rFonts w:hint="eastAsia"/>
                <w:color w:val="auto"/>
                <w:lang w:val="en-US" w:eastAsia="zh-CN"/>
              </w:rPr>
              <w:t>声环境敏感点金梦花园3号楼及厂界四周</w:t>
            </w:r>
            <w:r>
              <w:rPr>
                <w:color w:val="auto"/>
                <w:lang w:eastAsia="zh-CN"/>
              </w:rPr>
              <w:t>进行监测</w:t>
            </w:r>
            <w:r>
              <w:rPr>
                <w:rFonts w:hint="eastAsia"/>
                <w:color w:val="auto"/>
                <w:lang w:eastAsia="zh-CN"/>
              </w:rPr>
              <w:t>，</w:t>
            </w:r>
            <w:r>
              <w:rPr>
                <w:color w:val="auto"/>
                <w:lang w:eastAsia="zh-CN"/>
              </w:rPr>
              <w:t>监测点位</w:t>
            </w:r>
            <w:r>
              <w:rPr>
                <w:rFonts w:hint="eastAsia"/>
                <w:color w:val="auto"/>
                <w:lang w:val="en-US" w:eastAsia="zh-CN"/>
              </w:rPr>
              <w:t>分布</w:t>
            </w:r>
            <w:r>
              <w:rPr>
                <w:color w:val="auto"/>
                <w:lang w:eastAsia="zh-CN"/>
              </w:rPr>
              <w:t>见</w:t>
            </w:r>
            <w:r>
              <w:rPr>
                <w:rFonts w:hint="eastAsia"/>
                <w:color w:val="auto"/>
                <w:lang w:val="en-US" w:eastAsia="zh-CN"/>
              </w:rPr>
              <w:t>附</w:t>
            </w:r>
            <w:r>
              <w:rPr>
                <w:color w:val="auto"/>
                <w:lang w:eastAsia="zh-CN"/>
              </w:rPr>
              <w:t>图</w:t>
            </w:r>
            <w:r>
              <w:rPr>
                <w:rFonts w:hint="eastAsia"/>
                <w:color w:val="auto"/>
                <w:lang w:eastAsia="zh-CN"/>
              </w:rPr>
              <w:t>。</w:t>
            </w:r>
          </w:p>
          <w:p w14:paraId="34A44297">
            <w:pPr>
              <w:pStyle w:val="4"/>
              <w:bidi w:val="0"/>
              <w:rPr>
                <w:rFonts w:hint="eastAsia"/>
                <w:color w:val="auto"/>
                <w:lang w:eastAsia="zh-CN"/>
              </w:rPr>
            </w:pPr>
            <w:r>
              <w:rPr>
                <w:rFonts w:hint="eastAsia"/>
                <w:color w:val="auto"/>
                <w:lang w:val="en-US" w:eastAsia="zh-CN"/>
              </w:rPr>
              <w:t>3.4</w:t>
            </w:r>
            <w:r>
              <w:rPr>
                <w:color w:val="auto"/>
                <w:lang w:eastAsia="zh-CN"/>
              </w:rPr>
              <w:t>.2监测方法</w:t>
            </w:r>
          </w:p>
          <w:p w14:paraId="328640AC">
            <w:pPr>
              <w:pStyle w:val="29"/>
              <w:bidi w:val="0"/>
              <w:rPr>
                <w:rFonts w:hint="eastAsia"/>
                <w:color w:val="auto"/>
                <w:highlight w:val="none"/>
                <w:lang w:eastAsia="zh-CN"/>
              </w:rPr>
            </w:pPr>
            <w:r>
              <w:rPr>
                <w:color w:val="auto"/>
                <w:highlight w:val="none"/>
                <w:lang w:eastAsia="zh-CN"/>
              </w:rPr>
              <w:t>依照《声环境质量标准》（</w:t>
            </w:r>
            <w:r>
              <w:rPr>
                <w:rFonts w:hint="eastAsia"/>
                <w:color w:val="auto"/>
                <w:highlight w:val="none"/>
                <w:lang w:eastAsia="zh-CN"/>
              </w:rPr>
              <w:t>GB 3096</w:t>
            </w:r>
            <w:r>
              <w:rPr>
                <w:color w:val="auto"/>
                <w:highlight w:val="none"/>
                <w:lang w:eastAsia="zh-CN"/>
              </w:rPr>
              <w:t>-2008）进行噪声监测，监测仪器使用AWA5688型多功能声级计，监测前用声校准器进行校准，测量时传声器距地面1.2m，传声器戴风罩进行监测。</w:t>
            </w:r>
          </w:p>
          <w:p w14:paraId="78660259">
            <w:pPr>
              <w:pStyle w:val="4"/>
              <w:bidi w:val="0"/>
              <w:rPr>
                <w:rFonts w:hint="eastAsia"/>
                <w:color w:val="auto"/>
                <w:lang w:eastAsia="zh-CN"/>
              </w:rPr>
            </w:pPr>
            <w:r>
              <w:rPr>
                <w:rFonts w:hint="eastAsia"/>
                <w:color w:val="auto"/>
                <w:lang w:val="en-US" w:eastAsia="zh-CN"/>
              </w:rPr>
              <w:t>3.4</w:t>
            </w:r>
            <w:r>
              <w:rPr>
                <w:color w:val="auto"/>
                <w:lang w:eastAsia="zh-CN"/>
              </w:rPr>
              <w:t>.3评价标准</w:t>
            </w:r>
          </w:p>
          <w:p w14:paraId="38F3C379">
            <w:pPr>
              <w:pStyle w:val="29"/>
              <w:bidi w:val="0"/>
              <w:rPr>
                <w:rFonts w:hint="eastAsia"/>
                <w:color w:val="auto"/>
                <w:lang w:eastAsia="zh-CN"/>
              </w:rPr>
            </w:pPr>
            <w:r>
              <w:rPr>
                <w:color w:val="auto"/>
                <w:lang w:eastAsia="zh-CN"/>
              </w:rPr>
              <w:t>根据该项目所处地理位置和周围环境现状，按照《</w:t>
            </w:r>
            <w:r>
              <w:rPr>
                <w:rFonts w:hint="eastAsia"/>
                <w:color w:val="auto"/>
                <w:lang w:val="en-US" w:eastAsia="zh-CN"/>
              </w:rPr>
              <w:t>库尔勒市</w:t>
            </w:r>
            <w:r>
              <w:rPr>
                <w:color w:val="auto"/>
                <w:lang w:eastAsia="zh-CN"/>
              </w:rPr>
              <w:t>声环境</w:t>
            </w:r>
            <w:r>
              <w:rPr>
                <w:rFonts w:hint="eastAsia"/>
                <w:color w:val="auto"/>
                <w:lang w:val="en-US" w:eastAsia="zh-CN"/>
              </w:rPr>
              <w:t>功能区划分</w:t>
            </w:r>
            <w:r>
              <w:rPr>
                <w:color w:val="auto"/>
                <w:lang w:eastAsia="zh-CN"/>
              </w:rPr>
              <w:t>》中声环境功能区的划分要求</w:t>
            </w:r>
            <w:r>
              <w:rPr>
                <w:rFonts w:hint="eastAsia"/>
                <w:color w:val="auto"/>
                <w:lang w:eastAsia="zh-CN"/>
              </w:rPr>
              <w:t>，</w:t>
            </w:r>
            <w:r>
              <w:rPr>
                <w:rFonts w:hint="eastAsia"/>
                <w:color w:val="auto"/>
                <w:lang w:val="en-US" w:eastAsia="zh-CN"/>
              </w:rPr>
              <w:t>声环境敏感点金梦花园3号楼及项目区厂界四周</w:t>
            </w:r>
            <w:r>
              <w:rPr>
                <w:color w:val="auto"/>
                <w:lang w:eastAsia="zh-CN"/>
              </w:rPr>
              <w:t>，</w:t>
            </w:r>
            <w:r>
              <w:rPr>
                <w:rFonts w:hint="eastAsia"/>
                <w:color w:val="auto"/>
                <w:lang w:val="en-US" w:eastAsia="zh-CN"/>
              </w:rPr>
              <w:t>属于</w:t>
            </w:r>
            <w:r>
              <w:rPr>
                <w:rFonts w:hint="default"/>
                <w:color w:val="auto"/>
                <w:lang w:val="en-US" w:eastAsia="zh-CN"/>
              </w:rPr>
              <w:t>2</w:t>
            </w:r>
            <w:r>
              <w:rPr>
                <w:color w:val="auto"/>
                <w:lang w:val="en-US" w:eastAsia="zh-CN"/>
              </w:rPr>
              <w:t>类声环境功能区</w:t>
            </w:r>
            <w:r>
              <w:rPr>
                <w:rFonts w:hint="eastAsia"/>
                <w:color w:val="auto"/>
                <w:lang w:val="en-US" w:eastAsia="zh-CN"/>
              </w:rPr>
              <w:t>，</w:t>
            </w:r>
            <w:r>
              <w:rPr>
                <w:rFonts w:hint="default" w:ascii="Times New Roman" w:hAnsi="Times New Roman" w:cs="Times New Roman"/>
                <w:color w:val="auto"/>
                <w:lang w:val="en-US" w:eastAsia="zh-CN"/>
              </w:rPr>
              <w:t>执行</w:t>
            </w:r>
            <w:r>
              <w:rPr>
                <w:rFonts w:hint="default" w:ascii="Times New Roman" w:hAnsi="Times New Roman" w:cs="Times New Roman"/>
                <w:color w:val="auto"/>
                <w:lang w:eastAsia="zh-CN"/>
              </w:rPr>
              <w:t>《声环境质量标准》（</w:t>
            </w:r>
            <w:r>
              <w:rPr>
                <w:rFonts w:hint="eastAsia" w:cs="Times New Roman"/>
                <w:color w:val="auto"/>
                <w:lang w:eastAsia="zh-CN"/>
              </w:rPr>
              <w:t>GB 3096</w:t>
            </w:r>
            <w:r>
              <w:rPr>
                <w:rFonts w:hint="default" w:ascii="Times New Roman" w:hAnsi="Times New Roman" w:cs="Times New Roman"/>
                <w:color w:val="auto"/>
                <w:lang w:eastAsia="zh-CN"/>
              </w:rPr>
              <w:t>-2008）</w:t>
            </w:r>
            <w:r>
              <w:rPr>
                <w:rFonts w:hint="default" w:ascii="Times New Roman" w:hAnsi="Times New Roman" w:cs="Times New Roman"/>
                <w:color w:val="auto"/>
                <w:lang w:val="en-US" w:eastAsia="zh-CN"/>
              </w:rPr>
              <w:t>表1中</w:t>
            </w:r>
            <w:r>
              <w:rPr>
                <w:rFonts w:hint="default" w:ascii="Times New Roman" w:hAnsi="Times New Roman" w:cs="Times New Roman"/>
                <w:color w:val="auto"/>
                <w:lang w:eastAsia="zh-CN"/>
              </w:rPr>
              <w:t>2类标准</w:t>
            </w:r>
            <w:r>
              <w:rPr>
                <w:rFonts w:hint="eastAsia"/>
                <w:color w:val="auto"/>
                <w:lang w:eastAsia="zh-CN"/>
              </w:rPr>
              <w:t>。</w:t>
            </w:r>
          </w:p>
          <w:p w14:paraId="3342A943">
            <w:pPr>
              <w:pStyle w:val="4"/>
              <w:bidi w:val="0"/>
              <w:rPr>
                <w:rFonts w:hint="eastAsia"/>
                <w:color w:val="auto"/>
                <w:lang w:eastAsia="zh-CN"/>
              </w:rPr>
            </w:pPr>
            <w:r>
              <w:rPr>
                <w:rFonts w:hint="eastAsia"/>
                <w:color w:val="auto"/>
                <w:lang w:val="en-US" w:eastAsia="zh-CN"/>
              </w:rPr>
              <w:t>3.4</w:t>
            </w:r>
            <w:r>
              <w:rPr>
                <w:color w:val="auto"/>
                <w:lang w:eastAsia="zh-CN"/>
              </w:rPr>
              <w:t>.4监测结果及评价</w:t>
            </w:r>
          </w:p>
          <w:p w14:paraId="6063A5D4">
            <w:pPr>
              <w:pStyle w:val="29"/>
              <w:bidi w:val="0"/>
              <w:rPr>
                <w:rFonts w:hint="eastAsia"/>
                <w:color w:val="auto"/>
                <w:lang w:eastAsia="zh-CN"/>
              </w:rPr>
            </w:pPr>
            <w:r>
              <w:rPr>
                <w:color w:val="auto"/>
                <w:lang w:eastAsia="zh-CN"/>
              </w:rPr>
              <w:t>监测结果及评价结果见表</w:t>
            </w:r>
            <w:r>
              <w:rPr>
                <w:rFonts w:hint="eastAsia"/>
                <w:color w:val="auto"/>
                <w:lang w:eastAsia="zh-CN"/>
              </w:rPr>
              <w:t>3-</w:t>
            </w:r>
            <w:r>
              <w:rPr>
                <w:rFonts w:hint="eastAsia"/>
                <w:color w:val="auto"/>
                <w:lang w:val="en-US" w:eastAsia="zh-CN"/>
              </w:rPr>
              <w:t>2</w:t>
            </w:r>
            <w:r>
              <w:rPr>
                <w:color w:val="auto"/>
                <w:lang w:eastAsia="zh-CN"/>
              </w:rPr>
              <w:t>。</w:t>
            </w:r>
          </w:p>
          <w:p w14:paraId="3C84749A">
            <w:pPr>
              <w:pStyle w:val="22"/>
              <w:bidi w:val="0"/>
              <w:rPr>
                <w:rFonts w:hint="default"/>
                <w:color w:val="auto"/>
                <w:lang w:eastAsia="zh-CN"/>
              </w:rPr>
            </w:pPr>
            <w:r>
              <w:rPr>
                <w:rFonts w:hint="eastAsia"/>
                <w:color w:val="auto"/>
                <w:lang w:eastAsia="zh-CN"/>
              </w:rPr>
              <w:t>表3-</w:t>
            </w:r>
            <w:r>
              <w:rPr>
                <w:rFonts w:hint="eastAsia"/>
                <w:color w:val="auto"/>
                <w:lang w:val="en-US" w:eastAsia="zh-CN"/>
              </w:rPr>
              <w:t>2</w:t>
            </w:r>
            <w:r>
              <w:rPr>
                <w:rFonts w:hint="eastAsia"/>
                <w:color w:val="auto"/>
                <w:lang w:eastAsia="zh-CN"/>
              </w:rPr>
              <w:t xml:space="preserve"> 环境现状监测结果 单位：</w:t>
            </w:r>
            <w:r>
              <w:rPr>
                <w:rFonts w:hint="default"/>
                <w:color w:val="auto"/>
                <w:lang w:eastAsia="zh-CN"/>
              </w:rPr>
              <w:t>dB</w:t>
            </w:r>
            <w:r>
              <w:rPr>
                <w:rFonts w:hint="eastAsia"/>
                <w:color w:val="auto"/>
                <w:lang w:eastAsia="zh-CN"/>
              </w:rPr>
              <w:t>（</w:t>
            </w:r>
            <w:r>
              <w:rPr>
                <w:rFonts w:hint="default"/>
                <w:color w:val="auto"/>
                <w:lang w:eastAsia="zh-CN"/>
              </w:rPr>
              <w:t>A</w:t>
            </w:r>
            <w:r>
              <w:rPr>
                <w:rFonts w:hint="eastAsia"/>
                <w:color w:val="auto"/>
                <w:lang w:eastAsia="zh-CN"/>
              </w:rPr>
              <w:t>）</w:t>
            </w:r>
          </w:p>
          <w:tbl>
            <w:tblPr>
              <w:tblStyle w:val="14"/>
              <w:tblW w:w="4997"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3169"/>
              <w:gridCol w:w="999"/>
              <w:gridCol w:w="1016"/>
              <w:gridCol w:w="2226"/>
              <w:gridCol w:w="839"/>
              <w:gridCol w:w="5"/>
            </w:tblGrid>
            <w:tr w14:paraId="75325E6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19" w:type="pct"/>
                  <w:vMerge w:val="restart"/>
                  <w:tcBorders>
                    <w:tl2br w:val="nil"/>
                    <w:tr2bl w:val="nil"/>
                  </w:tcBorders>
                  <w:noWrap w:val="0"/>
                  <w:vAlign w:val="center"/>
                </w:tcPr>
                <w:p w14:paraId="68557132">
                  <w:pPr>
                    <w:pStyle w:val="28"/>
                    <w:bidi w:val="0"/>
                    <w:rPr>
                      <w:color w:val="auto"/>
                      <w:lang w:eastAsia="zh-CN"/>
                    </w:rPr>
                  </w:pPr>
                  <w:r>
                    <w:rPr>
                      <w:rFonts w:hint="eastAsia"/>
                      <w:color w:val="auto"/>
                      <w:lang w:eastAsia="zh-CN"/>
                    </w:rPr>
                    <w:t>监测点</w:t>
                  </w:r>
                </w:p>
              </w:tc>
              <w:tc>
                <w:tcPr>
                  <w:tcW w:w="1220" w:type="pct"/>
                  <w:gridSpan w:val="2"/>
                  <w:tcBorders>
                    <w:tl2br w:val="nil"/>
                    <w:tr2bl w:val="nil"/>
                  </w:tcBorders>
                  <w:noWrap w:val="0"/>
                  <w:vAlign w:val="center"/>
                </w:tcPr>
                <w:p w14:paraId="41ECD581">
                  <w:pPr>
                    <w:pStyle w:val="28"/>
                    <w:bidi w:val="0"/>
                    <w:rPr>
                      <w:color w:val="auto"/>
                      <w:lang w:eastAsia="zh-CN"/>
                    </w:rPr>
                  </w:pPr>
                  <w:r>
                    <w:rPr>
                      <w:rFonts w:hint="eastAsia"/>
                      <w:color w:val="auto"/>
                      <w:lang w:eastAsia="zh-CN"/>
                    </w:rPr>
                    <w:t>监测值</w:t>
                  </w:r>
                </w:p>
              </w:tc>
              <w:tc>
                <w:tcPr>
                  <w:tcW w:w="1348" w:type="pct"/>
                  <w:vMerge w:val="restart"/>
                  <w:tcBorders>
                    <w:tl2br w:val="nil"/>
                    <w:tr2bl w:val="nil"/>
                  </w:tcBorders>
                  <w:noWrap w:val="0"/>
                  <w:vAlign w:val="center"/>
                </w:tcPr>
                <w:p w14:paraId="3C26081D">
                  <w:pPr>
                    <w:pStyle w:val="28"/>
                    <w:bidi w:val="0"/>
                    <w:rPr>
                      <w:rFonts w:hint="default"/>
                      <w:color w:val="auto"/>
                      <w:lang w:val="en-US" w:eastAsia="zh-CN"/>
                    </w:rPr>
                  </w:pPr>
                  <w:r>
                    <w:rPr>
                      <w:rFonts w:hint="eastAsia"/>
                      <w:color w:val="auto"/>
                      <w:lang w:eastAsia="zh-CN"/>
                    </w:rPr>
                    <w:t>环境功能</w:t>
                  </w:r>
                  <w:r>
                    <w:rPr>
                      <w:rFonts w:hint="eastAsia"/>
                      <w:color w:val="auto"/>
                      <w:lang w:val="en-US" w:eastAsia="zh-CN"/>
                    </w:rPr>
                    <w:t>及标准</w:t>
                  </w:r>
                </w:p>
              </w:tc>
              <w:tc>
                <w:tcPr>
                  <w:tcW w:w="511" w:type="pct"/>
                  <w:gridSpan w:val="2"/>
                  <w:vMerge w:val="restart"/>
                  <w:tcBorders>
                    <w:tl2br w:val="nil"/>
                    <w:tr2bl w:val="nil"/>
                  </w:tcBorders>
                  <w:noWrap w:val="0"/>
                  <w:vAlign w:val="center"/>
                </w:tcPr>
                <w:p w14:paraId="50694061">
                  <w:pPr>
                    <w:pStyle w:val="28"/>
                    <w:bidi w:val="0"/>
                    <w:rPr>
                      <w:color w:val="auto"/>
                      <w:lang w:eastAsia="zh-CN"/>
                    </w:rPr>
                  </w:pPr>
                  <w:r>
                    <w:rPr>
                      <w:rFonts w:hint="eastAsia"/>
                      <w:color w:val="auto"/>
                      <w:lang w:eastAsia="zh-CN"/>
                    </w:rPr>
                    <w:t>达标状况</w:t>
                  </w:r>
                </w:p>
              </w:tc>
            </w:tr>
            <w:tr w14:paraId="61C530C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19" w:type="pct"/>
                  <w:vMerge w:val="continue"/>
                  <w:tcBorders>
                    <w:tl2br w:val="nil"/>
                    <w:tr2bl w:val="nil"/>
                  </w:tcBorders>
                  <w:noWrap w:val="0"/>
                  <w:vAlign w:val="center"/>
                </w:tcPr>
                <w:p w14:paraId="5A25EE4E">
                  <w:pPr>
                    <w:pStyle w:val="28"/>
                    <w:bidi w:val="0"/>
                    <w:rPr>
                      <w:color w:val="auto"/>
                      <w:lang w:eastAsia="zh-CN"/>
                    </w:rPr>
                  </w:pPr>
                </w:p>
              </w:tc>
              <w:tc>
                <w:tcPr>
                  <w:tcW w:w="605" w:type="pct"/>
                  <w:tcBorders>
                    <w:tl2br w:val="nil"/>
                    <w:tr2bl w:val="nil"/>
                  </w:tcBorders>
                  <w:noWrap w:val="0"/>
                  <w:vAlign w:val="center"/>
                </w:tcPr>
                <w:p w14:paraId="03E8491A">
                  <w:pPr>
                    <w:pStyle w:val="28"/>
                    <w:bidi w:val="0"/>
                    <w:rPr>
                      <w:color w:val="auto"/>
                      <w:lang w:eastAsia="zh-CN"/>
                    </w:rPr>
                  </w:pPr>
                  <w:r>
                    <w:rPr>
                      <w:rFonts w:hint="eastAsia"/>
                      <w:color w:val="auto"/>
                      <w:lang w:eastAsia="zh-CN"/>
                    </w:rPr>
                    <w:t>昼间</w:t>
                  </w:r>
                </w:p>
              </w:tc>
              <w:tc>
                <w:tcPr>
                  <w:tcW w:w="615" w:type="pct"/>
                  <w:tcBorders>
                    <w:tl2br w:val="nil"/>
                    <w:tr2bl w:val="nil"/>
                  </w:tcBorders>
                  <w:noWrap w:val="0"/>
                  <w:vAlign w:val="center"/>
                </w:tcPr>
                <w:p w14:paraId="2D786A5E">
                  <w:pPr>
                    <w:pStyle w:val="28"/>
                    <w:bidi w:val="0"/>
                    <w:rPr>
                      <w:color w:val="auto"/>
                      <w:lang w:eastAsia="zh-CN"/>
                    </w:rPr>
                  </w:pPr>
                  <w:r>
                    <w:rPr>
                      <w:rFonts w:hint="eastAsia"/>
                      <w:color w:val="auto"/>
                      <w:lang w:eastAsia="zh-CN"/>
                    </w:rPr>
                    <w:t>夜间</w:t>
                  </w:r>
                </w:p>
              </w:tc>
              <w:tc>
                <w:tcPr>
                  <w:tcW w:w="1348" w:type="pct"/>
                  <w:vMerge w:val="continue"/>
                  <w:tcBorders>
                    <w:bottom w:val="single" w:color="auto" w:sz="4" w:space="0"/>
                    <w:tl2br w:val="nil"/>
                    <w:tr2bl w:val="nil"/>
                  </w:tcBorders>
                  <w:noWrap w:val="0"/>
                  <w:vAlign w:val="center"/>
                </w:tcPr>
                <w:p w14:paraId="103A25FB">
                  <w:pPr>
                    <w:pStyle w:val="28"/>
                    <w:bidi w:val="0"/>
                    <w:rPr>
                      <w:color w:val="auto"/>
                      <w:lang w:eastAsia="zh-CN"/>
                    </w:rPr>
                  </w:pPr>
                </w:p>
              </w:tc>
              <w:tc>
                <w:tcPr>
                  <w:tcW w:w="511" w:type="pct"/>
                  <w:gridSpan w:val="2"/>
                  <w:vMerge w:val="continue"/>
                  <w:tcBorders>
                    <w:tl2br w:val="nil"/>
                    <w:tr2bl w:val="nil"/>
                  </w:tcBorders>
                  <w:noWrap w:val="0"/>
                  <w:vAlign w:val="center"/>
                </w:tcPr>
                <w:p w14:paraId="32CC6EBF">
                  <w:pPr>
                    <w:pStyle w:val="28"/>
                    <w:bidi w:val="0"/>
                    <w:rPr>
                      <w:color w:val="auto"/>
                      <w:lang w:eastAsia="zh-CN"/>
                    </w:rPr>
                  </w:pPr>
                </w:p>
              </w:tc>
            </w:tr>
            <w:tr w14:paraId="40A8F2B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90" w:hRule="atLeast"/>
                <w:jc w:val="center"/>
              </w:trPr>
              <w:tc>
                <w:tcPr>
                  <w:tcW w:w="1919" w:type="pct"/>
                  <w:tcBorders>
                    <w:tl2br w:val="nil"/>
                    <w:tr2bl w:val="nil"/>
                  </w:tcBorders>
                  <w:noWrap w:val="0"/>
                  <w:vAlign w:val="center"/>
                </w:tcPr>
                <w:p w14:paraId="135858E4">
                  <w:pPr>
                    <w:pStyle w:val="28"/>
                    <w:bidi w:val="0"/>
                    <w:rPr>
                      <w:rFonts w:hint="default" w:eastAsia="宋体"/>
                      <w:color w:val="auto"/>
                      <w:lang w:val="en-US" w:eastAsia="zh-CN"/>
                    </w:rPr>
                  </w:pPr>
                  <w:r>
                    <w:rPr>
                      <w:rFonts w:hint="eastAsia"/>
                      <w:color w:val="auto"/>
                      <w:lang w:val="en-US" w:eastAsia="zh-CN"/>
                    </w:rPr>
                    <w:t>金梦花园3号楼</w:t>
                  </w:r>
                </w:p>
              </w:tc>
              <w:tc>
                <w:tcPr>
                  <w:tcW w:w="605" w:type="pct"/>
                  <w:tcBorders>
                    <w:tl2br w:val="nil"/>
                    <w:tr2bl w:val="nil"/>
                  </w:tcBorders>
                  <w:noWrap w:val="0"/>
                  <w:vAlign w:val="center"/>
                </w:tcPr>
                <w:p w14:paraId="5310C79F">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54</w:t>
                  </w:r>
                </w:p>
              </w:tc>
              <w:tc>
                <w:tcPr>
                  <w:tcW w:w="615" w:type="pct"/>
                  <w:tcBorders>
                    <w:tl2br w:val="nil"/>
                    <w:tr2bl w:val="nil"/>
                  </w:tcBorders>
                  <w:noWrap w:val="0"/>
                  <w:vAlign w:val="center"/>
                </w:tcPr>
                <w:p w14:paraId="59802B1B">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46</w:t>
                  </w:r>
                </w:p>
              </w:tc>
              <w:tc>
                <w:tcPr>
                  <w:tcW w:w="1348" w:type="pct"/>
                  <w:vMerge w:val="restart"/>
                  <w:tcBorders>
                    <w:top w:val="single" w:color="auto" w:sz="4" w:space="0"/>
                    <w:tl2br w:val="nil"/>
                    <w:tr2bl w:val="nil"/>
                  </w:tcBorders>
                  <w:noWrap w:val="0"/>
                  <w:vAlign w:val="center"/>
                </w:tcPr>
                <w:p w14:paraId="32306C17">
                  <w:pPr>
                    <w:pStyle w:val="28"/>
                    <w:bidi w:val="0"/>
                    <w:rPr>
                      <w:color w:val="auto"/>
                    </w:rPr>
                  </w:pPr>
                  <w:r>
                    <w:rPr>
                      <w:color w:val="auto"/>
                    </w:rPr>
                    <w:t>《声环境质量标准》</w:t>
                  </w:r>
                  <w:r>
                    <w:rPr>
                      <w:rFonts w:hint="eastAsia"/>
                      <w:color w:val="auto"/>
                      <w:lang w:eastAsia="zh-CN"/>
                    </w:rPr>
                    <w:t>（GB 3096</w:t>
                  </w:r>
                  <w:r>
                    <w:rPr>
                      <w:color w:val="auto"/>
                    </w:rPr>
                    <w:t>-2008</w:t>
                  </w:r>
                  <w:r>
                    <w:rPr>
                      <w:rFonts w:hint="eastAsia"/>
                      <w:color w:val="auto"/>
                      <w:lang w:eastAsia="zh-CN"/>
                    </w:rPr>
                    <w:t>）</w:t>
                  </w:r>
                  <w:r>
                    <w:rPr>
                      <w:rFonts w:hint="eastAsia"/>
                      <w:color w:val="auto"/>
                      <w:lang w:val="en-US" w:eastAsia="zh-CN"/>
                    </w:rPr>
                    <w:t>2</w:t>
                  </w:r>
                  <w:r>
                    <w:rPr>
                      <w:color w:val="auto"/>
                    </w:rPr>
                    <w:t>类</w:t>
                  </w:r>
                  <w:r>
                    <w:rPr>
                      <w:rFonts w:hint="eastAsia"/>
                      <w:color w:val="auto"/>
                      <w:lang w:val="en-US" w:eastAsia="zh-CN"/>
                    </w:rPr>
                    <w:t>标准限值</w:t>
                  </w:r>
                  <w:r>
                    <w:rPr>
                      <w:rFonts w:hint="eastAsia"/>
                      <w:color w:val="auto"/>
                      <w:lang w:eastAsia="zh-CN"/>
                    </w:rPr>
                    <w:t>：</w:t>
                  </w:r>
                  <w:r>
                    <w:rPr>
                      <w:rFonts w:hint="eastAsia"/>
                      <w:color w:val="auto"/>
                      <w:lang w:val="en-US" w:eastAsia="zh-CN"/>
                    </w:rPr>
                    <w:t>昼间60，夜间50</w:t>
                  </w:r>
                </w:p>
              </w:tc>
              <w:tc>
                <w:tcPr>
                  <w:tcW w:w="508" w:type="pct"/>
                  <w:vMerge w:val="restart"/>
                  <w:tcBorders>
                    <w:tl2br w:val="nil"/>
                    <w:tr2bl w:val="nil"/>
                  </w:tcBorders>
                  <w:noWrap w:val="0"/>
                  <w:vAlign w:val="center"/>
                </w:tcPr>
                <w:p w14:paraId="4B252FC5">
                  <w:pPr>
                    <w:pStyle w:val="28"/>
                    <w:bidi w:val="0"/>
                    <w:rPr>
                      <w:rFonts w:hint="default"/>
                      <w:color w:val="auto"/>
                      <w:lang w:val="en-US" w:eastAsia="zh-CN"/>
                    </w:rPr>
                  </w:pPr>
                  <w:r>
                    <w:rPr>
                      <w:rFonts w:hint="eastAsia"/>
                      <w:color w:val="auto"/>
                      <w:lang w:val="en-US" w:eastAsia="zh-CN"/>
                    </w:rPr>
                    <w:t>达标</w:t>
                  </w:r>
                </w:p>
              </w:tc>
            </w:tr>
            <w:tr w14:paraId="21C6201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90" w:hRule="atLeast"/>
                <w:jc w:val="center"/>
              </w:trPr>
              <w:tc>
                <w:tcPr>
                  <w:tcW w:w="1919" w:type="pct"/>
                  <w:tcBorders>
                    <w:tl2br w:val="nil"/>
                    <w:tr2bl w:val="nil"/>
                  </w:tcBorders>
                  <w:noWrap w:val="0"/>
                  <w:vAlign w:val="center"/>
                </w:tcPr>
                <w:p w14:paraId="71DD63BA">
                  <w:pPr>
                    <w:pStyle w:val="28"/>
                    <w:bidi w:val="0"/>
                    <w:rPr>
                      <w:rFonts w:hint="eastAsia"/>
                      <w:color w:val="auto"/>
                    </w:rPr>
                  </w:pPr>
                  <w:r>
                    <w:rPr>
                      <w:rFonts w:hint="eastAsia"/>
                      <w:color w:val="auto"/>
                      <w:lang w:val="en-US" w:eastAsia="zh-CN"/>
                    </w:rPr>
                    <w:t>宠物医院</w:t>
                  </w:r>
                  <w:r>
                    <w:rPr>
                      <w:rFonts w:hint="eastAsia" w:eastAsia="宋体"/>
                      <w:color w:val="auto"/>
                      <w:lang w:val="en-US" w:eastAsia="zh-CN"/>
                    </w:rPr>
                    <w:t>厂界噪声东</w:t>
                  </w:r>
                </w:p>
              </w:tc>
              <w:tc>
                <w:tcPr>
                  <w:tcW w:w="605" w:type="pct"/>
                  <w:tcBorders>
                    <w:tl2br w:val="nil"/>
                    <w:tr2bl w:val="nil"/>
                  </w:tcBorders>
                  <w:noWrap w:val="0"/>
                  <w:vAlign w:val="center"/>
                </w:tcPr>
                <w:p w14:paraId="1B8206AC">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52</w:t>
                  </w:r>
                </w:p>
              </w:tc>
              <w:tc>
                <w:tcPr>
                  <w:tcW w:w="615" w:type="pct"/>
                  <w:tcBorders>
                    <w:tl2br w:val="nil"/>
                    <w:tr2bl w:val="nil"/>
                  </w:tcBorders>
                  <w:noWrap w:val="0"/>
                  <w:vAlign w:val="center"/>
                </w:tcPr>
                <w:p w14:paraId="56754D84">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45</w:t>
                  </w:r>
                </w:p>
              </w:tc>
              <w:tc>
                <w:tcPr>
                  <w:tcW w:w="1348" w:type="pct"/>
                  <w:vMerge w:val="continue"/>
                  <w:tcBorders>
                    <w:tl2br w:val="nil"/>
                    <w:tr2bl w:val="nil"/>
                  </w:tcBorders>
                  <w:noWrap w:val="0"/>
                  <w:vAlign w:val="center"/>
                </w:tcPr>
                <w:p w14:paraId="2F33709F">
                  <w:pPr>
                    <w:pStyle w:val="28"/>
                    <w:bidi w:val="0"/>
                    <w:rPr>
                      <w:rFonts w:hint="default"/>
                      <w:color w:val="auto"/>
                      <w:lang w:val="en-US"/>
                    </w:rPr>
                  </w:pPr>
                </w:p>
              </w:tc>
              <w:tc>
                <w:tcPr>
                  <w:tcW w:w="508" w:type="pct"/>
                  <w:vMerge w:val="continue"/>
                  <w:tcBorders>
                    <w:tl2br w:val="nil"/>
                    <w:tr2bl w:val="nil"/>
                  </w:tcBorders>
                  <w:noWrap w:val="0"/>
                  <w:vAlign w:val="center"/>
                </w:tcPr>
                <w:p w14:paraId="64C1B0B1">
                  <w:pPr>
                    <w:pStyle w:val="28"/>
                    <w:bidi w:val="0"/>
                    <w:rPr>
                      <w:rFonts w:hint="eastAsia"/>
                      <w:color w:val="auto"/>
                      <w:lang w:eastAsia="zh-CN"/>
                    </w:rPr>
                  </w:pPr>
                </w:p>
              </w:tc>
            </w:tr>
            <w:tr w14:paraId="1765FC1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340" w:hRule="atLeast"/>
                <w:jc w:val="center"/>
              </w:trPr>
              <w:tc>
                <w:tcPr>
                  <w:tcW w:w="1919" w:type="pct"/>
                  <w:tcBorders>
                    <w:tl2br w:val="nil"/>
                    <w:tr2bl w:val="nil"/>
                  </w:tcBorders>
                  <w:noWrap w:val="0"/>
                  <w:vAlign w:val="center"/>
                </w:tcPr>
                <w:p w14:paraId="6CC0853B">
                  <w:pPr>
                    <w:pStyle w:val="28"/>
                    <w:bidi w:val="0"/>
                    <w:rPr>
                      <w:rFonts w:hint="eastAsia"/>
                      <w:color w:val="auto"/>
                    </w:rPr>
                  </w:pPr>
                  <w:r>
                    <w:rPr>
                      <w:rFonts w:hint="eastAsia"/>
                      <w:color w:val="auto"/>
                      <w:lang w:val="en-US" w:eastAsia="zh-CN"/>
                    </w:rPr>
                    <w:t>宠物医院</w:t>
                  </w:r>
                  <w:r>
                    <w:rPr>
                      <w:rFonts w:hint="eastAsia" w:eastAsia="宋体"/>
                      <w:color w:val="auto"/>
                      <w:lang w:val="en-US" w:eastAsia="zh-CN"/>
                    </w:rPr>
                    <w:t>厂界噪声</w:t>
                  </w:r>
                  <w:r>
                    <w:rPr>
                      <w:rFonts w:hint="eastAsia"/>
                      <w:color w:val="auto"/>
                      <w:lang w:val="en-US" w:eastAsia="zh-CN"/>
                    </w:rPr>
                    <w:t>南</w:t>
                  </w:r>
                </w:p>
              </w:tc>
              <w:tc>
                <w:tcPr>
                  <w:tcW w:w="605" w:type="pct"/>
                  <w:tcBorders>
                    <w:tl2br w:val="nil"/>
                    <w:tr2bl w:val="nil"/>
                  </w:tcBorders>
                  <w:noWrap w:val="0"/>
                  <w:vAlign w:val="center"/>
                </w:tcPr>
                <w:p w14:paraId="4ADD597C">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51</w:t>
                  </w:r>
                </w:p>
              </w:tc>
              <w:tc>
                <w:tcPr>
                  <w:tcW w:w="615" w:type="pct"/>
                  <w:tcBorders>
                    <w:tl2br w:val="nil"/>
                    <w:tr2bl w:val="nil"/>
                  </w:tcBorders>
                  <w:noWrap w:val="0"/>
                  <w:vAlign w:val="center"/>
                </w:tcPr>
                <w:p w14:paraId="51F56BE1">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44</w:t>
                  </w:r>
                </w:p>
              </w:tc>
              <w:tc>
                <w:tcPr>
                  <w:tcW w:w="1348" w:type="pct"/>
                  <w:vMerge w:val="continue"/>
                  <w:tcBorders>
                    <w:tl2br w:val="nil"/>
                    <w:tr2bl w:val="nil"/>
                  </w:tcBorders>
                  <w:noWrap w:val="0"/>
                  <w:vAlign w:val="center"/>
                </w:tcPr>
                <w:p w14:paraId="03077175">
                  <w:pPr>
                    <w:pStyle w:val="28"/>
                    <w:bidi w:val="0"/>
                    <w:rPr>
                      <w:color w:val="auto"/>
                    </w:rPr>
                  </w:pPr>
                </w:p>
              </w:tc>
              <w:tc>
                <w:tcPr>
                  <w:tcW w:w="508" w:type="pct"/>
                  <w:vMerge w:val="continue"/>
                  <w:tcBorders>
                    <w:tl2br w:val="nil"/>
                    <w:tr2bl w:val="nil"/>
                  </w:tcBorders>
                  <w:noWrap w:val="0"/>
                  <w:vAlign w:val="center"/>
                </w:tcPr>
                <w:p w14:paraId="75275288">
                  <w:pPr>
                    <w:pStyle w:val="28"/>
                    <w:bidi w:val="0"/>
                    <w:rPr>
                      <w:rFonts w:hint="eastAsia"/>
                      <w:color w:val="auto"/>
                      <w:lang w:eastAsia="zh-CN"/>
                    </w:rPr>
                  </w:pPr>
                </w:p>
              </w:tc>
            </w:tr>
            <w:tr w14:paraId="322CD7D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90" w:hRule="atLeast"/>
                <w:jc w:val="center"/>
              </w:trPr>
              <w:tc>
                <w:tcPr>
                  <w:tcW w:w="1919" w:type="pct"/>
                  <w:tcBorders>
                    <w:tl2br w:val="nil"/>
                    <w:tr2bl w:val="nil"/>
                  </w:tcBorders>
                  <w:noWrap w:val="0"/>
                  <w:vAlign w:val="center"/>
                </w:tcPr>
                <w:p w14:paraId="11FDD5AC">
                  <w:pPr>
                    <w:pStyle w:val="28"/>
                    <w:bidi w:val="0"/>
                    <w:rPr>
                      <w:rFonts w:hint="eastAsia"/>
                      <w:color w:val="auto"/>
                    </w:rPr>
                  </w:pPr>
                  <w:r>
                    <w:rPr>
                      <w:rFonts w:hint="eastAsia"/>
                      <w:color w:val="auto"/>
                      <w:lang w:val="en-US" w:eastAsia="zh-CN"/>
                    </w:rPr>
                    <w:t>宠物医院</w:t>
                  </w:r>
                  <w:r>
                    <w:rPr>
                      <w:rFonts w:hint="eastAsia" w:eastAsia="宋体"/>
                      <w:color w:val="auto"/>
                      <w:lang w:val="en-US" w:eastAsia="zh-CN"/>
                    </w:rPr>
                    <w:t>厂界噪声</w:t>
                  </w:r>
                  <w:r>
                    <w:rPr>
                      <w:rFonts w:hint="eastAsia"/>
                      <w:color w:val="auto"/>
                      <w:lang w:val="en-US" w:eastAsia="zh-CN"/>
                    </w:rPr>
                    <w:t>北</w:t>
                  </w:r>
                </w:p>
              </w:tc>
              <w:tc>
                <w:tcPr>
                  <w:tcW w:w="605" w:type="pct"/>
                  <w:tcBorders>
                    <w:tl2br w:val="nil"/>
                    <w:tr2bl w:val="nil"/>
                  </w:tcBorders>
                  <w:noWrap w:val="0"/>
                  <w:vAlign w:val="center"/>
                </w:tcPr>
                <w:p w14:paraId="3BE4E9DC">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52</w:t>
                  </w:r>
                </w:p>
              </w:tc>
              <w:tc>
                <w:tcPr>
                  <w:tcW w:w="615" w:type="pct"/>
                  <w:tcBorders>
                    <w:tl2br w:val="nil"/>
                    <w:tr2bl w:val="nil"/>
                  </w:tcBorders>
                  <w:noWrap w:val="0"/>
                  <w:vAlign w:val="center"/>
                </w:tcPr>
                <w:p w14:paraId="55ABCC11">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48</w:t>
                  </w:r>
                </w:p>
              </w:tc>
              <w:tc>
                <w:tcPr>
                  <w:tcW w:w="1348" w:type="pct"/>
                  <w:vMerge w:val="continue"/>
                  <w:tcBorders>
                    <w:tl2br w:val="nil"/>
                    <w:tr2bl w:val="nil"/>
                  </w:tcBorders>
                  <w:noWrap w:val="0"/>
                  <w:vAlign w:val="center"/>
                </w:tcPr>
                <w:p w14:paraId="57E15272">
                  <w:pPr>
                    <w:pStyle w:val="28"/>
                    <w:bidi w:val="0"/>
                    <w:rPr>
                      <w:color w:val="auto"/>
                    </w:rPr>
                  </w:pPr>
                </w:p>
              </w:tc>
              <w:tc>
                <w:tcPr>
                  <w:tcW w:w="508" w:type="pct"/>
                  <w:vMerge w:val="continue"/>
                  <w:tcBorders>
                    <w:tl2br w:val="nil"/>
                    <w:tr2bl w:val="nil"/>
                  </w:tcBorders>
                  <w:noWrap w:val="0"/>
                  <w:vAlign w:val="center"/>
                </w:tcPr>
                <w:p w14:paraId="50E86DC8">
                  <w:pPr>
                    <w:pStyle w:val="28"/>
                    <w:bidi w:val="0"/>
                    <w:rPr>
                      <w:rFonts w:hint="eastAsia"/>
                      <w:color w:val="auto"/>
                      <w:lang w:eastAsia="zh-CN"/>
                    </w:rPr>
                  </w:pPr>
                </w:p>
              </w:tc>
            </w:tr>
            <w:tr w14:paraId="622A0D2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340" w:hRule="atLeast"/>
                <w:jc w:val="center"/>
              </w:trPr>
              <w:tc>
                <w:tcPr>
                  <w:tcW w:w="1919" w:type="pct"/>
                  <w:tcBorders>
                    <w:tl2br w:val="nil"/>
                    <w:tr2bl w:val="nil"/>
                  </w:tcBorders>
                  <w:noWrap w:val="0"/>
                  <w:vAlign w:val="center"/>
                </w:tcPr>
                <w:p w14:paraId="1B9D993F">
                  <w:pPr>
                    <w:pStyle w:val="28"/>
                    <w:bidi w:val="0"/>
                    <w:rPr>
                      <w:rFonts w:hint="eastAsia"/>
                      <w:color w:val="auto"/>
                    </w:rPr>
                  </w:pPr>
                  <w:r>
                    <w:rPr>
                      <w:rFonts w:hint="eastAsia"/>
                      <w:color w:val="auto"/>
                      <w:lang w:val="en-US" w:eastAsia="zh-CN"/>
                    </w:rPr>
                    <w:t>宠物医院</w:t>
                  </w:r>
                  <w:r>
                    <w:rPr>
                      <w:rFonts w:hint="eastAsia" w:eastAsia="宋体"/>
                      <w:color w:val="auto"/>
                      <w:lang w:val="en-US" w:eastAsia="zh-CN"/>
                    </w:rPr>
                    <w:t>厂界噪声</w:t>
                  </w:r>
                  <w:r>
                    <w:rPr>
                      <w:rFonts w:hint="eastAsia"/>
                      <w:color w:val="auto"/>
                      <w:lang w:val="en-US" w:eastAsia="zh-CN"/>
                    </w:rPr>
                    <w:t>西</w:t>
                  </w:r>
                </w:p>
              </w:tc>
              <w:tc>
                <w:tcPr>
                  <w:tcW w:w="605" w:type="pct"/>
                  <w:tcBorders>
                    <w:tl2br w:val="nil"/>
                    <w:tr2bl w:val="nil"/>
                  </w:tcBorders>
                  <w:noWrap w:val="0"/>
                  <w:vAlign w:val="center"/>
                </w:tcPr>
                <w:p w14:paraId="0C24FE0B">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51</w:t>
                  </w:r>
                </w:p>
              </w:tc>
              <w:tc>
                <w:tcPr>
                  <w:tcW w:w="615" w:type="pct"/>
                  <w:tcBorders>
                    <w:tl2br w:val="nil"/>
                    <w:tr2bl w:val="nil"/>
                  </w:tcBorders>
                  <w:noWrap w:val="0"/>
                  <w:vAlign w:val="center"/>
                </w:tcPr>
                <w:p w14:paraId="7A370983">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44</w:t>
                  </w:r>
                </w:p>
              </w:tc>
              <w:tc>
                <w:tcPr>
                  <w:tcW w:w="1348" w:type="pct"/>
                  <w:vMerge w:val="continue"/>
                  <w:tcBorders>
                    <w:tl2br w:val="nil"/>
                    <w:tr2bl w:val="nil"/>
                  </w:tcBorders>
                  <w:noWrap w:val="0"/>
                  <w:vAlign w:val="center"/>
                </w:tcPr>
                <w:p w14:paraId="0BFB3C8C">
                  <w:pPr>
                    <w:pStyle w:val="28"/>
                    <w:bidi w:val="0"/>
                    <w:rPr>
                      <w:color w:val="auto"/>
                    </w:rPr>
                  </w:pPr>
                </w:p>
              </w:tc>
              <w:tc>
                <w:tcPr>
                  <w:tcW w:w="508" w:type="pct"/>
                  <w:vMerge w:val="continue"/>
                  <w:tcBorders>
                    <w:tl2br w:val="nil"/>
                    <w:tr2bl w:val="nil"/>
                  </w:tcBorders>
                  <w:noWrap w:val="0"/>
                  <w:vAlign w:val="center"/>
                </w:tcPr>
                <w:p w14:paraId="7E9F6DC6">
                  <w:pPr>
                    <w:pStyle w:val="28"/>
                    <w:bidi w:val="0"/>
                    <w:rPr>
                      <w:rFonts w:hint="eastAsia"/>
                      <w:color w:val="auto"/>
                      <w:lang w:eastAsia="zh-CN"/>
                    </w:rPr>
                  </w:pPr>
                </w:p>
              </w:tc>
            </w:tr>
          </w:tbl>
          <w:p w14:paraId="357C3224">
            <w:pPr>
              <w:pStyle w:val="29"/>
              <w:bidi w:val="0"/>
              <w:rPr>
                <w:rFonts w:hint="eastAsia"/>
                <w:color w:val="auto"/>
                <w:lang w:eastAsia="zh-CN"/>
              </w:rPr>
            </w:pPr>
            <w:r>
              <w:rPr>
                <w:rFonts w:hint="eastAsia"/>
                <w:color w:val="auto"/>
                <w:lang w:val="zh-CN" w:eastAsia="zh-CN"/>
              </w:rPr>
              <w:t>现状监测结果表明，</w:t>
            </w:r>
            <w:r>
              <w:rPr>
                <w:rFonts w:hint="eastAsia"/>
                <w:color w:val="auto"/>
                <w:lang w:val="en-US" w:eastAsia="zh-CN"/>
              </w:rPr>
              <w:t>项目噪</w:t>
            </w:r>
            <w:r>
              <w:rPr>
                <w:rFonts w:hint="eastAsia"/>
                <w:color w:val="auto"/>
                <w:lang w:val="zh-CN" w:eastAsia="zh-CN"/>
              </w:rPr>
              <w:t>声</w:t>
            </w:r>
            <w:r>
              <w:rPr>
                <w:rFonts w:hint="eastAsia"/>
                <w:color w:val="auto"/>
                <w:lang w:val="en-US" w:eastAsia="zh-CN"/>
              </w:rPr>
              <w:t>敏感点及厂界四周的</w:t>
            </w:r>
            <w:r>
              <w:rPr>
                <w:rFonts w:hint="eastAsia"/>
                <w:color w:val="auto"/>
                <w:lang w:val="zh-CN" w:eastAsia="zh-CN"/>
              </w:rPr>
              <w:t>环境质量现状满足《声环境质量标准》（</w:t>
            </w:r>
            <w:r>
              <w:rPr>
                <w:color w:val="auto"/>
                <w:lang w:val="zh-CN" w:eastAsia="zh-CN"/>
              </w:rPr>
              <w:t>GB3096-2008</w:t>
            </w:r>
            <w:r>
              <w:rPr>
                <w:rFonts w:hint="eastAsia"/>
                <w:color w:val="auto"/>
                <w:lang w:val="zh-CN" w:eastAsia="zh-CN"/>
              </w:rPr>
              <w:t>）中</w:t>
            </w:r>
            <w:r>
              <w:rPr>
                <w:rFonts w:hint="eastAsia"/>
                <w:color w:val="auto"/>
                <w:lang w:val="en-US" w:eastAsia="zh-CN"/>
              </w:rPr>
              <w:t>2</w:t>
            </w:r>
            <w:r>
              <w:rPr>
                <w:rFonts w:hint="eastAsia"/>
                <w:color w:val="auto"/>
                <w:lang w:val="zh-CN" w:eastAsia="zh-CN"/>
              </w:rPr>
              <w:t>类标准</w:t>
            </w:r>
            <w:r>
              <w:rPr>
                <w:rFonts w:hint="eastAsia"/>
                <w:color w:val="auto"/>
                <w:lang w:val="en-US" w:eastAsia="zh-CN"/>
              </w:rPr>
              <w:t>限值</w:t>
            </w:r>
            <w:r>
              <w:rPr>
                <w:rFonts w:hint="eastAsia"/>
                <w:color w:val="auto"/>
                <w:lang w:eastAsia="zh-CN"/>
              </w:rPr>
              <w:t>。</w:t>
            </w:r>
          </w:p>
          <w:p w14:paraId="09ED7ABF">
            <w:pPr>
              <w:pStyle w:val="3"/>
              <w:bidi w:val="0"/>
              <w:rPr>
                <w:color w:val="auto"/>
                <w:lang w:eastAsia="zh-CN"/>
              </w:rPr>
            </w:pPr>
            <w:r>
              <w:rPr>
                <w:rFonts w:hint="eastAsia"/>
                <w:color w:val="auto"/>
                <w:lang w:val="en-US" w:eastAsia="zh-CN"/>
              </w:rPr>
              <w:t>3.5</w:t>
            </w:r>
            <w:r>
              <w:rPr>
                <w:rFonts w:hint="eastAsia"/>
                <w:color w:val="auto"/>
                <w:lang w:eastAsia="zh-CN"/>
              </w:rPr>
              <w:t>、</w:t>
            </w:r>
            <w:r>
              <w:rPr>
                <w:rFonts w:hint="eastAsia"/>
                <w:color w:val="auto"/>
                <w:lang w:val="en-US" w:eastAsia="zh-CN"/>
              </w:rPr>
              <w:t>电磁辐射</w:t>
            </w:r>
            <w:r>
              <w:rPr>
                <w:rFonts w:hint="eastAsia"/>
                <w:color w:val="auto"/>
                <w:lang w:eastAsia="zh-CN"/>
              </w:rPr>
              <w:t>现状</w:t>
            </w:r>
          </w:p>
          <w:p w14:paraId="75F8B6D4">
            <w:pPr>
              <w:pStyle w:val="29"/>
              <w:bidi w:val="0"/>
              <w:rPr>
                <w:rFonts w:hint="default"/>
                <w:color w:val="auto"/>
                <w:lang w:eastAsia="zh-CN"/>
              </w:rPr>
            </w:pPr>
            <w:r>
              <w:rPr>
                <w:rFonts w:hint="default"/>
                <w:color w:val="auto"/>
                <w:lang w:eastAsia="zh-CN"/>
              </w:rPr>
              <w:t>本项目所设</w:t>
            </w:r>
            <w:r>
              <w:rPr>
                <w:rFonts w:hint="eastAsia"/>
                <w:color w:val="auto"/>
                <w:lang w:val="en-US" w:eastAsia="zh-CN"/>
              </w:rPr>
              <w:t>DR</w:t>
            </w:r>
            <w:r>
              <w:rPr>
                <w:rFonts w:hint="default"/>
                <w:color w:val="auto"/>
                <w:lang w:eastAsia="zh-CN"/>
              </w:rPr>
              <w:t>室X光机应按相关环保要求另行申报，办理相关手续，不在本次评价范围内。故本次评价不开展电磁辐射环境现状调查。</w:t>
            </w:r>
          </w:p>
        </w:tc>
      </w:tr>
      <w:tr w14:paraId="5AD15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25" w:type="dxa"/>
            <w:tcBorders>
              <w:left w:val="single" w:color="000000" w:sz="6" w:space="0"/>
            </w:tcBorders>
            <w:vAlign w:val="center"/>
          </w:tcPr>
          <w:p w14:paraId="1B44B722">
            <w:pPr>
              <w:bidi w:val="0"/>
              <w:jc w:val="both"/>
              <w:rPr>
                <w:rFonts w:hint="default"/>
                <w:color w:val="auto"/>
              </w:rPr>
            </w:pPr>
            <w:r>
              <w:rPr>
                <w:rFonts w:hint="default"/>
                <w:color w:val="auto"/>
              </w:rPr>
              <w:t>环境保护目标</w:t>
            </w:r>
          </w:p>
        </w:tc>
        <w:tc>
          <w:tcPr>
            <w:tcW w:w="8269" w:type="dxa"/>
            <w:tcBorders>
              <w:right w:val="single" w:color="000000" w:sz="6" w:space="0"/>
            </w:tcBorders>
            <w:vAlign w:val="center"/>
          </w:tcPr>
          <w:p w14:paraId="3CED9C4A">
            <w:pPr>
              <w:pStyle w:val="3"/>
              <w:bidi w:val="0"/>
              <w:rPr>
                <w:rFonts w:hint="default"/>
                <w:color w:val="auto"/>
              </w:rPr>
            </w:pPr>
            <w:r>
              <w:rPr>
                <w:rFonts w:hint="eastAsia"/>
                <w:color w:val="auto"/>
                <w:lang w:val="en-US" w:eastAsia="zh-CN"/>
              </w:rPr>
              <w:t>3.6</w:t>
            </w:r>
            <w:r>
              <w:rPr>
                <w:rFonts w:hint="eastAsia"/>
                <w:color w:val="auto"/>
                <w:lang w:eastAsia="zh-CN"/>
              </w:rPr>
              <w:t>、</w:t>
            </w:r>
            <w:r>
              <w:rPr>
                <w:rFonts w:hint="eastAsia"/>
                <w:color w:val="auto"/>
                <w:lang w:val="en-US" w:eastAsia="zh-CN"/>
              </w:rPr>
              <w:t>环境保护目标</w:t>
            </w:r>
          </w:p>
          <w:p w14:paraId="49DA8B00">
            <w:pPr>
              <w:pStyle w:val="29"/>
              <w:bidi w:val="0"/>
              <w:rPr>
                <w:rFonts w:hint="default"/>
                <w:color w:val="auto"/>
              </w:rPr>
            </w:pPr>
            <w:r>
              <w:rPr>
                <w:rFonts w:hint="default"/>
                <w:color w:val="auto"/>
              </w:rPr>
              <w:t>根据《建设项目环境影响报告表编制技术指南（污染影响类）（2021年试行）》和本项目特点，主要环境保护目标如下：</w:t>
            </w:r>
          </w:p>
          <w:p w14:paraId="7407122D">
            <w:pPr>
              <w:pStyle w:val="29"/>
              <w:bidi w:val="0"/>
              <w:rPr>
                <w:rFonts w:hint="default"/>
                <w:color w:val="auto"/>
              </w:rPr>
            </w:pPr>
            <w:r>
              <w:rPr>
                <w:rFonts w:hint="default"/>
                <w:color w:val="auto"/>
              </w:rPr>
              <w:t>（1）大气环境</w:t>
            </w:r>
          </w:p>
          <w:p w14:paraId="3E04E6FC">
            <w:pPr>
              <w:pStyle w:val="29"/>
              <w:bidi w:val="0"/>
              <w:rPr>
                <w:rFonts w:hint="default"/>
                <w:color w:val="auto"/>
              </w:rPr>
            </w:pPr>
            <w:r>
              <w:rPr>
                <w:rFonts w:hint="default"/>
                <w:color w:val="auto"/>
              </w:rPr>
              <w:t>根据现场调查，项目</w:t>
            </w:r>
            <w:r>
              <w:rPr>
                <w:rFonts w:hint="default"/>
                <w:color w:val="auto"/>
                <w:lang w:val="en-US" w:eastAsia="zh-CN"/>
              </w:rPr>
              <w:t>周边</w:t>
            </w:r>
            <w:r>
              <w:rPr>
                <w:rFonts w:hint="default"/>
                <w:color w:val="auto"/>
              </w:rPr>
              <w:t>500</w:t>
            </w:r>
            <w:r>
              <w:rPr>
                <w:rFonts w:hint="eastAsia"/>
                <w:color w:val="auto"/>
                <w:lang w:val="en-US" w:eastAsia="zh-CN"/>
              </w:rPr>
              <w:t>米</w:t>
            </w:r>
            <w:r>
              <w:rPr>
                <w:rFonts w:hint="default"/>
                <w:color w:val="auto"/>
              </w:rPr>
              <w:t>范围内</w:t>
            </w:r>
            <w:r>
              <w:rPr>
                <w:rFonts w:hint="default"/>
                <w:color w:val="auto"/>
                <w:lang w:val="en-US" w:eastAsia="zh-CN"/>
              </w:rPr>
              <w:t>主要为商铺</w:t>
            </w:r>
            <w:r>
              <w:rPr>
                <w:rFonts w:hint="eastAsia"/>
                <w:color w:val="auto"/>
                <w:lang w:val="en-US" w:eastAsia="zh-CN"/>
              </w:rPr>
              <w:t>、</w:t>
            </w:r>
            <w:r>
              <w:rPr>
                <w:rFonts w:hint="default"/>
                <w:color w:val="auto"/>
              </w:rPr>
              <w:t>居住区</w:t>
            </w:r>
            <w:r>
              <w:rPr>
                <w:rFonts w:hint="default"/>
                <w:color w:val="auto"/>
                <w:lang w:val="en-US" w:eastAsia="zh-CN"/>
              </w:rPr>
              <w:t>和</w:t>
            </w:r>
            <w:r>
              <w:rPr>
                <w:rFonts w:hint="eastAsia"/>
                <w:color w:val="auto"/>
                <w:lang w:val="en-US" w:eastAsia="zh-CN"/>
              </w:rPr>
              <w:t>学校</w:t>
            </w:r>
            <w:r>
              <w:rPr>
                <w:rFonts w:hint="default"/>
                <w:color w:val="auto"/>
                <w:lang w:eastAsia="zh-CN"/>
              </w:rPr>
              <w:t>。</w:t>
            </w:r>
            <w:r>
              <w:rPr>
                <w:rFonts w:hint="default"/>
                <w:color w:val="auto"/>
              </w:rPr>
              <w:t>本项目主要环境空气环境保护目标与级别详见下表。</w:t>
            </w:r>
          </w:p>
          <w:p w14:paraId="64468B7A">
            <w:pPr>
              <w:pStyle w:val="22"/>
              <w:bidi w:val="0"/>
              <w:rPr>
                <w:rFonts w:hint="default" w:ascii="Times New Roman" w:hAnsi="Times New Roman" w:eastAsia="宋体" w:cs="Times New Roman"/>
                <w:b/>
                <w:bCs/>
                <w:color w:val="auto"/>
                <w:szCs w:val="21"/>
                <w:highlight w:val="none"/>
                <w:lang w:val="en-US" w:eastAsia="zh-CN"/>
              </w:rPr>
            </w:pPr>
            <w:r>
              <w:rPr>
                <w:rFonts w:hint="default"/>
                <w:color w:val="auto"/>
                <w:lang w:val="en-US" w:eastAsia="zh-CN"/>
              </w:rPr>
              <w:t>表3-</w:t>
            </w:r>
            <w:r>
              <w:rPr>
                <w:rFonts w:hint="eastAsia"/>
                <w:color w:val="auto"/>
                <w:lang w:val="en-US" w:eastAsia="zh-CN"/>
              </w:rPr>
              <w:t>3</w:t>
            </w:r>
            <w:r>
              <w:rPr>
                <w:rFonts w:hint="default"/>
                <w:color w:val="auto"/>
                <w:lang w:val="en-US" w:eastAsia="zh-CN"/>
              </w:rPr>
              <w:t xml:space="preserve">  </w:t>
            </w:r>
            <w:r>
              <w:rPr>
                <w:rFonts w:hint="eastAsia"/>
                <w:color w:val="auto"/>
                <w:lang w:val="en-US" w:eastAsia="zh-CN"/>
              </w:rPr>
              <w:t xml:space="preserve">  </w:t>
            </w:r>
            <w:r>
              <w:rPr>
                <w:rFonts w:hint="default"/>
                <w:color w:val="auto"/>
                <w:lang w:val="en-US" w:eastAsia="zh-CN"/>
              </w:rPr>
              <w:t>本项目大气环境保护目标及保护级别一览表</w:t>
            </w:r>
          </w:p>
          <w:tbl>
            <w:tblPr>
              <w:tblStyle w:val="1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102"/>
              <w:gridCol w:w="1194"/>
              <w:gridCol w:w="1046"/>
              <w:gridCol w:w="1139"/>
              <w:gridCol w:w="2072"/>
            </w:tblGrid>
            <w:tr w14:paraId="18839F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tcBorders>
                    <w:tl2br w:val="nil"/>
                    <w:tr2bl w:val="nil"/>
                  </w:tcBorders>
                  <w:noWrap w:val="0"/>
                  <w:vAlign w:val="center"/>
                </w:tcPr>
                <w:p w14:paraId="79145A90">
                  <w:pPr>
                    <w:pStyle w:val="28"/>
                    <w:bidi w:val="0"/>
                    <w:rPr>
                      <w:rFonts w:hint="default"/>
                      <w:b/>
                      <w:bCs w:val="0"/>
                      <w:color w:val="auto"/>
                    </w:rPr>
                  </w:pPr>
                  <w:r>
                    <w:rPr>
                      <w:rFonts w:hint="default"/>
                      <w:b/>
                      <w:bCs w:val="0"/>
                      <w:color w:val="auto"/>
                    </w:rPr>
                    <w:t>环境要素</w:t>
                  </w:r>
                </w:p>
              </w:tc>
              <w:tc>
                <w:tcPr>
                  <w:tcW w:w="1273" w:type="pct"/>
                  <w:tcBorders>
                    <w:tl2br w:val="nil"/>
                    <w:tr2bl w:val="nil"/>
                  </w:tcBorders>
                  <w:noWrap w:val="0"/>
                  <w:vAlign w:val="center"/>
                </w:tcPr>
                <w:p w14:paraId="4C578F87">
                  <w:pPr>
                    <w:pStyle w:val="28"/>
                    <w:bidi w:val="0"/>
                    <w:rPr>
                      <w:rFonts w:hint="default"/>
                      <w:b/>
                      <w:bCs w:val="0"/>
                      <w:color w:val="auto"/>
                    </w:rPr>
                  </w:pPr>
                  <w:r>
                    <w:rPr>
                      <w:rFonts w:hint="default"/>
                      <w:b/>
                      <w:bCs w:val="0"/>
                      <w:color w:val="auto"/>
                    </w:rPr>
                    <w:t>保护目标</w:t>
                  </w:r>
                </w:p>
              </w:tc>
              <w:tc>
                <w:tcPr>
                  <w:tcW w:w="723" w:type="pct"/>
                  <w:tcBorders>
                    <w:tl2br w:val="nil"/>
                    <w:tr2bl w:val="nil"/>
                  </w:tcBorders>
                  <w:noWrap w:val="0"/>
                  <w:vAlign w:val="center"/>
                </w:tcPr>
                <w:p w14:paraId="3E2E36AB">
                  <w:pPr>
                    <w:pStyle w:val="28"/>
                    <w:bidi w:val="0"/>
                    <w:rPr>
                      <w:rFonts w:hint="default"/>
                      <w:b/>
                      <w:bCs w:val="0"/>
                      <w:color w:val="auto"/>
                    </w:rPr>
                  </w:pPr>
                  <w:r>
                    <w:rPr>
                      <w:rFonts w:hint="default"/>
                      <w:b/>
                      <w:bCs w:val="0"/>
                      <w:color w:val="auto"/>
                    </w:rPr>
                    <w:t>保护对象</w:t>
                  </w:r>
                </w:p>
              </w:tc>
              <w:tc>
                <w:tcPr>
                  <w:tcW w:w="633" w:type="pct"/>
                  <w:tcBorders>
                    <w:tl2br w:val="nil"/>
                    <w:tr2bl w:val="nil"/>
                  </w:tcBorders>
                  <w:noWrap w:val="0"/>
                  <w:vAlign w:val="center"/>
                </w:tcPr>
                <w:p w14:paraId="1EB8462E">
                  <w:pPr>
                    <w:pStyle w:val="28"/>
                    <w:bidi w:val="0"/>
                    <w:rPr>
                      <w:rFonts w:hint="default"/>
                      <w:b/>
                      <w:bCs w:val="0"/>
                      <w:color w:val="auto"/>
                    </w:rPr>
                  </w:pPr>
                  <w:r>
                    <w:rPr>
                      <w:rFonts w:hint="default"/>
                      <w:b/>
                      <w:bCs w:val="0"/>
                      <w:color w:val="auto"/>
                    </w:rPr>
                    <w:t>相对厂址位置</w:t>
                  </w:r>
                </w:p>
              </w:tc>
              <w:tc>
                <w:tcPr>
                  <w:tcW w:w="689" w:type="pct"/>
                  <w:tcBorders>
                    <w:tl2br w:val="nil"/>
                    <w:tr2bl w:val="nil"/>
                  </w:tcBorders>
                  <w:noWrap w:val="0"/>
                  <w:vAlign w:val="center"/>
                </w:tcPr>
                <w:p w14:paraId="0963920C">
                  <w:pPr>
                    <w:pStyle w:val="28"/>
                    <w:bidi w:val="0"/>
                    <w:rPr>
                      <w:rFonts w:hint="eastAsia"/>
                      <w:b/>
                      <w:bCs w:val="0"/>
                      <w:color w:val="auto"/>
                      <w:lang w:eastAsia="zh-CN"/>
                    </w:rPr>
                  </w:pPr>
                  <w:r>
                    <w:rPr>
                      <w:rFonts w:hint="default"/>
                      <w:b/>
                      <w:bCs w:val="0"/>
                      <w:color w:val="auto"/>
                    </w:rPr>
                    <w:t>相对厂址距离/</w:t>
                  </w:r>
                  <w:r>
                    <w:rPr>
                      <w:rFonts w:hint="eastAsia"/>
                      <w:b/>
                      <w:bCs w:val="0"/>
                      <w:color w:val="auto"/>
                      <w:lang w:val="en-US" w:eastAsia="zh-CN"/>
                    </w:rPr>
                    <w:t>米</w:t>
                  </w:r>
                </w:p>
              </w:tc>
              <w:tc>
                <w:tcPr>
                  <w:tcW w:w="1254" w:type="pct"/>
                  <w:tcBorders>
                    <w:tl2br w:val="nil"/>
                    <w:tr2bl w:val="nil"/>
                  </w:tcBorders>
                  <w:noWrap w:val="0"/>
                  <w:vAlign w:val="center"/>
                </w:tcPr>
                <w:p w14:paraId="46738282">
                  <w:pPr>
                    <w:pStyle w:val="28"/>
                    <w:bidi w:val="0"/>
                    <w:rPr>
                      <w:rFonts w:hint="default"/>
                      <w:b/>
                      <w:bCs w:val="0"/>
                      <w:color w:val="auto"/>
                    </w:rPr>
                  </w:pPr>
                  <w:r>
                    <w:rPr>
                      <w:rFonts w:hint="default"/>
                      <w:b/>
                      <w:bCs w:val="0"/>
                      <w:color w:val="auto"/>
                    </w:rPr>
                    <w:t>保护级别</w:t>
                  </w:r>
                </w:p>
              </w:tc>
            </w:tr>
            <w:tr w14:paraId="4B921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restart"/>
                  <w:tcBorders>
                    <w:tl2br w:val="nil"/>
                    <w:tr2bl w:val="nil"/>
                  </w:tcBorders>
                  <w:noWrap w:val="0"/>
                  <w:vAlign w:val="center"/>
                </w:tcPr>
                <w:p w14:paraId="21A56CAD">
                  <w:pPr>
                    <w:pStyle w:val="28"/>
                    <w:bidi w:val="0"/>
                    <w:rPr>
                      <w:rFonts w:hint="default"/>
                      <w:color w:val="auto"/>
                    </w:rPr>
                  </w:pPr>
                  <w:r>
                    <w:rPr>
                      <w:rFonts w:hint="default"/>
                      <w:color w:val="auto"/>
                    </w:rPr>
                    <w:t>大气环境</w:t>
                  </w:r>
                </w:p>
              </w:tc>
              <w:tc>
                <w:tcPr>
                  <w:tcW w:w="1273" w:type="pct"/>
                  <w:tcBorders>
                    <w:tl2br w:val="nil"/>
                    <w:tr2bl w:val="nil"/>
                  </w:tcBorders>
                  <w:noWrap w:val="0"/>
                  <w:vAlign w:val="center"/>
                </w:tcPr>
                <w:p w14:paraId="5AA1686C">
                  <w:pPr>
                    <w:pStyle w:val="28"/>
                    <w:bidi w:val="0"/>
                    <w:rPr>
                      <w:rFonts w:hint="default"/>
                      <w:color w:val="auto"/>
                      <w:lang w:val="en-US" w:eastAsia="zh-CN"/>
                    </w:rPr>
                  </w:pPr>
                  <w:r>
                    <w:rPr>
                      <w:rFonts w:hint="eastAsia"/>
                      <w:color w:val="auto"/>
                      <w:lang w:val="en-US" w:eastAsia="zh-CN"/>
                    </w:rPr>
                    <w:t>博斯坦村</w:t>
                  </w:r>
                </w:p>
              </w:tc>
              <w:tc>
                <w:tcPr>
                  <w:tcW w:w="723" w:type="pct"/>
                  <w:tcBorders>
                    <w:tl2br w:val="nil"/>
                    <w:tr2bl w:val="nil"/>
                  </w:tcBorders>
                  <w:noWrap w:val="0"/>
                  <w:vAlign w:val="center"/>
                </w:tcPr>
                <w:p w14:paraId="39FA3783">
                  <w:pPr>
                    <w:pStyle w:val="28"/>
                    <w:bidi w:val="0"/>
                    <w:rPr>
                      <w:rFonts w:hint="default"/>
                      <w:color w:val="auto"/>
                      <w:lang w:eastAsia="zh-CN"/>
                    </w:rPr>
                  </w:pPr>
                  <w:r>
                    <w:rPr>
                      <w:rFonts w:hint="default"/>
                      <w:color w:val="auto"/>
                      <w:lang w:val="en-US" w:eastAsia="zh-CN"/>
                    </w:rPr>
                    <w:t>居民区</w:t>
                  </w:r>
                </w:p>
              </w:tc>
              <w:tc>
                <w:tcPr>
                  <w:tcW w:w="633" w:type="pct"/>
                  <w:tcBorders>
                    <w:tl2br w:val="nil"/>
                    <w:tr2bl w:val="nil"/>
                  </w:tcBorders>
                  <w:noWrap w:val="0"/>
                  <w:vAlign w:val="center"/>
                </w:tcPr>
                <w:p w14:paraId="795998F1">
                  <w:pPr>
                    <w:pStyle w:val="28"/>
                    <w:bidi w:val="0"/>
                    <w:rPr>
                      <w:rFonts w:hint="default"/>
                      <w:color w:val="auto"/>
                      <w:lang w:val="en-US" w:eastAsia="zh-CN"/>
                    </w:rPr>
                  </w:pPr>
                  <w:r>
                    <w:rPr>
                      <w:rFonts w:hint="eastAsia"/>
                      <w:color w:val="auto"/>
                      <w:lang w:val="en-US" w:eastAsia="zh-CN"/>
                    </w:rPr>
                    <w:t>西、西南</w:t>
                  </w:r>
                </w:p>
              </w:tc>
              <w:tc>
                <w:tcPr>
                  <w:tcW w:w="689" w:type="pct"/>
                  <w:tcBorders>
                    <w:tl2br w:val="nil"/>
                    <w:tr2bl w:val="nil"/>
                  </w:tcBorders>
                  <w:noWrap w:val="0"/>
                  <w:vAlign w:val="center"/>
                </w:tcPr>
                <w:p w14:paraId="57606EE1">
                  <w:pPr>
                    <w:pStyle w:val="28"/>
                    <w:bidi w:val="0"/>
                    <w:rPr>
                      <w:rFonts w:hint="default"/>
                      <w:color w:val="auto"/>
                      <w:lang w:val="en-US" w:eastAsia="zh-CN"/>
                    </w:rPr>
                  </w:pPr>
                  <w:r>
                    <w:rPr>
                      <w:rFonts w:hint="eastAsia"/>
                      <w:color w:val="auto"/>
                      <w:lang w:val="en-US" w:eastAsia="zh-CN"/>
                    </w:rPr>
                    <w:t>350-500</w:t>
                  </w:r>
                </w:p>
              </w:tc>
              <w:tc>
                <w:tcPr>
                  <w:tcW w:w="1254" w:type="pct"/>
                  <w:vMerge w:val="restart"/>
                  <w:tcBorders>
                    <w:tl2br w:val="nil"/>
                    <w:tr2bl w:val="nil"/>
                  </w:tcBorders>
                  <w:noWrap w:val="0"/>
                  <w:vAlign w:val="center"/>
                </w:tcPr>
                <w:p w14:paraId="3ADBAB7F">
                  <w:pPr>
                    <w:pStyle w:val="28"/>
                    <w:bidi w:val="0"/>
                    <w:rPr>
                      <w:rFonts w:hint="default"/>
                      <w:color w:val="auto"/>
                    </w:rPr>
                  </w:pPr>
                  <w:r>
                    <w:rPr>
                      <w:rFonts w:hint="default"/>
                      <w:color w:val="auto"/>
                      <w:lang w:val="en-US" w:eastAsia="zh-CN"/>
                    </w:rPr>
                    <w:t>《环境空气质量标准》（GB3095-2026）中的过渡阶段</w:t>
                  </w:r>
                  <w:r>
                    <w:rPr>
                      <w:rFonts w:hint="eastAsia"/>
                      <w:color w:val="auto"/>
                      <w:lang w:val="en-US" w:eastAsia="zh-CN"/>
                    </w:rPr>
                    <w:t>－</w:t>
                  </w:r>
                  <w:r>
                    <w:rPr>
                      <w:rFonts w:hint="default"/>
                      <w:color w:val="auto"/>
                      <w:lang w:val="en-US" w:eastAsia="zh-CN"/>
                    </w:rPr>
                    <w:t>二级标准</w:t>
                  </w:r>
                </w:p>
              </w:tc>
            </w:tr>
            <w:tr w14:paraId="1E4027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25" w:type="pct"/>
                  <w:vMerge w:val="continue"/>
                  <w:tcBorders>
                    <w:tl2br w:val="nil"/>
                    <w:tr2bl w:val="nil"/>
                  </w:tcBorders>
                  <w:noWrap w:val="0"/>
                  <w:vAlign w:val="center"/>
                </w:tcPr>
                <w:p w14:paraId="1C84C1E4">
                  <w:pPr>
                    <w:pStyle w:val="28"/>
                    <w:bidi w:val="0"/>
                    <w:rPr>
                      <w:rFonts w:hint="default"/>
                      <w:color w:val="auto"/>
                    </w:rPr>
                  </w:pPr>
                </w:p>
              </w:tc>
              <w:tc>
                <w:tcPr>
                  <w:tcW w:w="1273" w:type="pct"/>
                  <w:tcBorders>
                    <w:tl2br w:val="nil"/>
                    <w:tr2bl w:val="nil"/>
                  </w:tcBorders>
                  <w:noWrap w:val="0"/>
                  <w:vAlign w:val="center"/>
                </w:tcPr>
                <w:p w14:paraId="017961D7">
                  <w:pPr>
                    <w:pStyle w:val="28"/>
                    <w:bidi w:val="0"/>
                    <w:rPr>
                      <w:rFonts w:hint="default"/>
                      <w:color w:val="auto"/>
                      <w:lang w:val="en-US" w:eastAsia="zh-CN"/>
                    </w:rPr>
                  </w:pPr>
                  <w:r>
                    <w:rPr>
                      <w:rFonts w:hint="eastAsia"/>
                      <w:color w:val="auto"/>
                      <w:lang w:val="en-US" w:eastAsia="zh-CN"/>
                    </w:rPr>
                    <w:t>金鹏小区</w:t>
                  </w:r>
                </w:p>
              </w:tc>
              <w:tc>
                <w:tcPr>
                  <w:tcW w:w="723" w:type="pct"/>
                  <w:tcBorders>
                    <w:tl2br w:val="nil"/>
                    <w:tr2bl w:val="nil"/>
                  </w:tcBorders>
                  <w:noWrap w:val="0"/>
                  <w:vAlign w:val="center"/>
                </w:tcPr>
                <w:p w14:paraId="2EC682C3">
                  <w:pPr>
                    <w:pStyle w:val="28"/>
                    <w:bidi w:val="0"/>
                    <w:rPr>
                      <w:rFonts w:hint="default"/>
                      <w:color w:val="auto"/>
                      <w:lang w:val="en-US" w:eastAsia="zh-CN"/>
                    </w:rPr>
                  </w:pPr>
                  <w:r>
                    <w:rPr>
                      <w:rFonts w:hint="default"/>
                      <w:color w:val="auto"/>
                      <w:lang w:val="en-US" w:eastAsia="zh-CN"/>
                    </w:rPr>
                    <w:t>居民</w:t>
                  </w:r>
                </w:p>
              </w:tc>
              <w:tc>
                <w:tcPr>
                  <w:tcW w:w="633" w:type="pct"/>
                  <w:tcBorders>
                    <w:tl2br w:val="nil"/>
                    <w:tr2bl w:val="nil"/>
                  </w:tcBorders>
                  <w:noWrap w:val="0"/>
                  <w:vAlign w:val="center"/>
                </w:tcPr>
                <w:p w14:paraId="0A6593BC">
                  <w:pPr>
                    <w:pStyle w:val="28"/>
                    <w:bidi w:val="0"/>
                    <w:rPr>
                      <w:rFonts w:hint="default"/>
                      <w:color w:val="auto"/>
                      <w:lang w:val="en-US" w:eastAsia="zh-CN"/>
                    </w:rPr>
                  </w:pPr>
                  <w:r>
                    <w:rPr>
                      <w:rFonts w:hint="eastAsia"/>
                      <w:color w:val="auto"/>
                      <w:lang w:val="en-US" w:eastAsia="zh-CN"/>
                    </w:rPr>
                    <w:t>西、西南</w:t>
                  </w:r>
                </w:p>
              </w:tc>
              <w:tc>
                <w:tcPr>
                  <w:tcW w:w="689" w:type="pct"/>
                  <w:tcBorders>
                    <w:tl2br w:val="nil"/>
                    <w:tr2bl w:val="nil"/>
                  </w:tcBorders>
                  <w:noWrap w:val="0"/>
                  <w:vAlign w:val="center"/>
                </w:tcPr>
                <w:p w14:paraId="5B72C82C">
                  <w:pPr>
                    <w:pStyle w:val="28"/>
                    <w:bidi w:val="0"/>
                    <w:rPr>
                      <w:rFonts w:hint="default"/>
                      <w:color w:val="auto"/>
                      <w:lang w:val="en-US" w:eastAsia="zh-CN"/>
                    </w:rPr>
                  </w:pPr>
                  <w:r>
                    <w:rPr>
                      <w:rFonts w:hint="eastAsia"/>
                      <w:color w:val="auto"/>
                      <w:lang w:val="en-US" w:eastAsia="zh-CN"/>
                    </w:rPr>
                    <w:t>170-500</w:t>
                  </w:r>
                </w:p>
              </w:tc>
              <w:tc>
                <w:tcPr>
                  <w:tcW w:w="1254" w:type="pct"/>
                  <w:vMerge w:val="continue"/>
                  <w:tcBorders>
                    <w:tl2br w:val="nil"/>
                    <w:tr2bl w:val="nil"/>
                  </w:tcBorders>
                  <w:noWrap w:val="0"/>
                  <w:vAlign w:val="center"/>
                </w:tcPr>
                <w:p w14:paraId="07F79ECC">
                  <w:pPr>
                    <w:pStyle w:val="28"/>
                    <w:bidi w:val="0"/>
                    <w:rPr>
                      <w:rFonts w:hint="default"/>
                      <w:color w:val="auto"/>
                    </w:rPr>
                  </w:pPr>
                </w:p>
              </w:tc>
            </w:tr>
            <w:tr w14:paraId="463DD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10FF16DC">
                  <w:pPr>
                    <w:pStyle w:val="28"/>
                    <w:bidi w:val="0"/>
                    <w:rPr>
                      <w:rFonts w:hint="default"/>
                      <w:color w:val="auto"/>
                    </w:rPr>
                  </w:pPr>
                </w:p>
              </w:tc>
              <w:tc>
                <w:tcPr>
                  <w:tcW w:w="1273" w:type="pct"/>
                  <w:tcBorders>
                    <w:tl2br w:val="nil"/>
                    <w:tr2bl w:val="nil"/>
                  </w:tcBorders>
                  <w:noWrap w:val="0"/>
                  <w:vAlign w:val="center"/>
                </w:tcPr>
                <w:p w14:paraId="366F1B72">
                  <w:pPr>
                    <w:pStyle w:val="28"/>
                    <w:bidi w:val="0"/>
                    <w:rPr>
                      <w:rFonts w:hint="default"/>
                      <w:color w:val="auto"/>
                      <w:lang w:val="en-US" w:eastAsia="zh-CN"/>
                    </w:rPr>
                  </w:pPr>
                  <w:r>
                    <w:rPr>
                      <w:rFonts w:hint="eastAsia"/>
                      <w:color w:val="auto"/>
                      <w:lang w:val="en-US" w:eastAsia="zh-CN"/>
                    </w:rPr>
                    <w:t>金梦花园</w:t>
                  </w:r>
                </w:p>
              </w:tc>
              <w:tc>
                <w:tcPr>
                  <w:tcW w:w="723" w:type="pct"/>
                  <w:tcBorders>
                    <w:tl2br w:val="nil"/>
                    <w:tr2bl w:val="nil"/>
                  </w:tcBorders>
                  <w:noWrap w:val="0"/>
                  <w:vAlign w:val="center"/>
                </w:tcPr>
                <w:p w14:paraId="5365C46A">
                  <w:pPr>
                    <w:pStyle w:val="28"/>
                    <w:bidi w:val="0"/>
                    <w:rPr>
                      <w:rFonts w:hint="default"/>
                      <w:color w:val="auto"/>
                      <w:lang w:val="en-US" w:eastAsia="zh-CN"/>
                    </w:rPr>
                  </w:pPr>
                  <w:r>
                    <w:rPr>
                      <w:rFonts w:hint="default"/>
                      <w:color w:val="auto"/>
                      <w:lang w:val="en-US" w:eastAsia="zh-CN"/>
                    </w:rPr>
                    <w:t>居民</w:t>
                  </w:r>
                </w:p>
              </w:tc>
              <w:tc>
                <w:tcPr>
                  <w:tcW w:w="633" w:type="pct"/>
                  <w:tcBorders>
                    <w:tl2br w:val="nil"/>
                    <w:tr2bl w:val="nil"/>
                  </w:tcBorders>
                  <w:noWrap w:val="0"/>
                  <w:vAlign w:val="center"/>
                </w:tcPr>
                <w:p w14:paraId="10C74361">
                  <w:pPr>
                    <w:pStyle w:val="28"/>
                    <w:bidi w:val="0"/>
                    <w:rPr>
                      <w:rFonts w:hint="default"/>
                      <w:color w:val="auto"/>
                      <w:lang w:val="en-US" w:eastAsia="zh-CN"/>
                    </w:rPr>
                  </w:pPr>
                  <w:r>
                    <w:rPr>
                      <w:rFonts w:hint="eastAsia"/>
                      <w:color w:val="auto"/>
                      <w:lang w:val="en-US" w:eastAsia="zh-CN"/>
                    </w:rPr>
                    <w:t>东、东南</w:t>
                  </w:r>
                </w:p>
              </w:tc>
              <w:tc>
                <w:tcPr>
                  <w:tcW w:w="689" w:type="pct"/>
                  <w:tcBorders>
                    <w:tl2br w:val="nil"/>
                    <w:tr2bl w:val="nil"/>
                  </w:tcBorders>
                  <w:noWrap w:val="0"/>
                  <w:vAlign w:val="center"/>
                </w:tcPr>
                <w:p w14:paraId="13277B30">
                  <w:pPr>
                    <w:pStyle w:val="28"/>
                    <w:bidi w:val="0"/>
                    <w:rPr>
                      <w:rFonts w:hint="default"/>
                      <w:color w:val="auto"/>
                      <w:lang w:val="en-US" w:eastAsia="zh-CN"/>
                    </w:rPr>
                  </w:pPr>
                  <w:r>
                    <w:rPr>
                      <w:rFonts w:hint="eastAsia"/>
                      <w:color w:val="auto"/>
                      <w:lang w:val="en-US" w:eastAsia="zh-CN"/>
                    </w:rPr>
                    <w:t>30-350</w:t>
                  </w:r>
                </w:p>
              </w:tc>
              <w:tc>
                <w:tcPr>
                  <w:tcW w:w="1254" w:type="pct"/>
                  <w:vMerge w:val="continue"/>
                  <w:tcBorders>
                    <w:tl2br w:val="nil"/>
                    <w:tr2bl w:val="nil"/>
                  </w:tcBorders>
                  <w:noWrap w:val="0"/>
                  <w:vAlign w:val="center"/>
                </w:tcPr>
                <w:p w14:paraId="1BFBD274">
                  <w:pPr>
                    <w:pStyle w:val="28"/>
                    <w:bidi w:val="0"/>
                    <w:rPr>
                      <w:rFonts w:hint="default"/>
                      <w:color w:val="auto"/>
                    </w:rPr>
                  </w:pPr>
                </w:p>
              </w:tc>
            </w:tr>
            <w:tr w14:paraId="2B6108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03E8A046">
                  <w:pPr>
                    <w:pStyle w:val="28"/>
                    <w:bidi w:val="0"/>
                    <w:rPr>
                      <w:rFonts w:hint="default"/>
                      <w:color w:val="auto"/>
                    </w:rPr>
                  </w:pPr>
                </w:p>
              </w:tc>
              <w:tc>
                <w:tcPr>
                  <w:tcW w:w="1273" w:type="pct"/>
                  <w:tcBorders>
                    <w:tl2br w:val="nil"/>
                    <w:tr2bl w:val="nil"/>
                  </w:tcBorders>
                  <w:noWrap w:val="0"/>
                  <w:vAlign w:val="center"/>
                </w:tcPr>
                <w:p w14:paraId="0DA941B2">
                  <w:pPr>
                    <w:pStyle w:val="28"/>
                    <w:bidi w:val="0"/>
                    <w:rPr>
                      <w:rFonts w:hint="default"/>
                      <w:color w:val="auto"/>
                      <w:lang w:val="en-US" w:eastAsia="zh-CN"/>
                    </w:rPr>
                  </w:pPr>
                  <w:r>
                    <w:rPr>
                      <w:rFonts w:hint="eastAsia"/>
                      <w:color w:val="auto"/>
                      <w:lang w:val="en-US" w:eastAsia="zh-CN"/>
                    </w:rPr>
                    <w:t>纺织佳苑</w:t>
                  </w:r>
                </w:p>
              </w:tc>
              <w:tc>
                <w:tcPr>
                  <w:tcW w:w="723" w:type="pct"/>
                  <w:tcBorders>
                    <w:tl2br w:val="nil"/>
                    <w:tr2bl w:val="nil"/>
                  </w:tcBorders>
                  <w:noWrap w:val="0"/>
                  <w:vAlign w:val="center"/>
                </w:tcPr>
                <w:p w14:paraId="2B6E7915">
                  <w:pPr>
                    <w:pStyle w:val="28"/>
                    <w:bidi w:val="0"/>
                    <w:rPr>
                      <w:rFonts w:hint="default"/>
                      <w:color w:val="auto"/>
                      <w:lang w:val="en-US" w:eastAsia="zh-CN"/>
                    </w:rPr>
                  </w:pPr>
                  <w:r>
                    <w:rPr>
                      <w:rFonts w:hint="default"/>
                      <w:color w:val="auto"/>
                      <w:lang w:val="en-US" w:eastAsia="zh-CN"/>
                    </w:rPr>
                    <w:t>居民</w:t>
                  </w:r>
                </w:p>
              </w:tc>
              <w:tc>
                <w:tcPr>
                  <w:tcW w:w="633" w:type="pct"/>
                  <w:tcBorders>
                    <w:tl2br w:val="nil"/>
                    <w:tr2bl w:val="nil"/>
                  </w:tcBorders>
                  <w:noWrap w:val="0"/>
                  <w:vAlign w:val="center"/>
                </w:tcPr>
                <w:p w14:paraId="200816CE">
                  <w:pPr>
                    <w:pStyle w:val="28"/>
                    <w:bidi w:val="0"/>
                    <w:rPr>
                      <w:rFonts w:hint="default"/>
                      <w:color w:val="auto"/>
                      <w:lang w:val="en-US" w:eastAsia="zh-CN"/>
                    </w:rPr>
                  </w:pPr>
                  <w:r>
                    <w:rPr>
                      <w:rFonts w:hint="eastAsia"/>
                      <w:color w:val="auto"/>
                      <w:lang w:val="en-US" w:eastAsia="zh-CN"/>
                    </w:rPr>
                    <w:t>西南</w:t>
                  </w:r>
                </w:p>
              </w:tc>
              <w:tc>
                <w:tcPr>
                  <w:tcW w:w="689" w:type="pct"/>
                  <w:tcBorders>
                    <w:tl2br w:val="nil"/>
                    <w:tr2bl w:val="nil"/>
                  </w:tcBorders>
                  <w:noWrap w:val="0"/>
                  <w:vAlign w:val="center"/>
                </w:tcPr>
                <w:p w14:paraId="3CB40FFE">
                  <w:pPr>
                    <w:pStyle w:val="28"/>
                    <w:bidi w:val="0"/>
                    <w:rPr>
                      <w:rFonts w:hint="default"/>
                      <w:color w:val="auto"/>
                      <w:lang w:val="en-US" w:eastAsia="zh-CN"/>
                    </w:rPr>
                  </w:pPr>
                  <w:r>
                    <w:rPr>
                      <w:rFonts w:hint="eastAsia"/>
                      <w:color w:val="auto"/>
                      <w:lang w:val="en-US" w:eastAsia="zh-CN"/>
                    </w:rPr>
                    <w:t>300-440</w:t>
                  </w:r>
                </w:p>
              </w:tc>
              <w:tc>
                <w:tcPr>
                  <w:tcW w:w="1254" w:type="pct"/>
                  <w:vMerge w:val="continue"/>
                  <w:tcBorders>
                    <w:tl2br w:val="nil"/>
                    <w:tr2bl w:val="nil"/>
                  </w:tcBorders>
                  <w:noWrap w:val="0"/>
                  <w:vAlign w:val="center"/>
                </w:tcPr>
                <w:p w14:paraId="7F5AB70F">
                  <w:pPr>
                    <w:pStyle w:val="28"/>
                    <w:bidi w:val="0"/>
                    <w:rPr>
                      <w:rFonts w:hint="default"/>
                      <w:color w:val="auto"/>
                    </w:rPr>
                  </w:pPr>
                </w:p>
              </w:tc>
            </w:tr>
            <w:tr w14:paraId="68DD7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65700392">
                  <w:pPr>
                    <w:pStyle w:val="28"/>
                    <w:bidi w:val="0"/>
                    <w:rPr>
                      <w:rFonts w:hint="default"/>
                      <w:color w:val="auto"/>
                    </w:rPr>
                  </w:pPr>
                </w:p>
              </w:tc>
              <w:tc>
                <w:tcPr>
                  <w:tcW w:w="1273" w:type="pct"/>
                  <w:tcBorders>
                    <w:tl2br w:val="nil"/>
                    <w:tr2bl w:val="nil"/>
                  </w:tcBorders>
                  <w:noWrap w:val="0"/>
                  <w:vAlign w:val="center"/>
                </w:tcPr>
                <w:p w14:paraId="63C4BE47">
                  <w:pPr>
                    <w:pStyle w:val="28"/>
                    <w:bidi w:val="0"/>
                    <w:rPr>
                      <w:rFonts w:hint="default"/>
                      <w:color w:val="auto"/>
                      <w:lang w:val="en-US" w:eastAsia="zh-CN"/>
                    </w:rPr>
                  </w:pPr>
                  <w:r>
                    <w:rPr>
                      <w:rFonts w:hint="eastAsia"/>
                      <w:color w:val="auto"/>
                      <w:lang w:val="en-US" w:eastAsia="zh-CN"/>
                    </w:rPr>
                    <w:t>芳香花园</w:t>
                  </w:r>
                </w:p>
              </w:tc>
              <w:tc>
                <w:tcPr>
                  <w:tcW w:w="723" w:type="pct"/>
                  <w:tcBorders>
                    <w:tl2br w:val="nil"/>
                    <w:tr2bl w:val="nil"/>
                  </w:tcBorders>
                  <w:noWrap w:val="0"/>
                  <w:vAlign w:val="center"/>
                </w:tcPr>
                <w:p w14:paraId="6BD37B7D">
                  <w:pPr>
                    <w:pStyle w:val="28"/>
                    <w:bidi w:val="0"/>
                    <w:rPr>
                      <w:rFonts w:hint="default"/>
                      <w:color w:val="auto"/>
                      <w:lang w:val="en-US" w:eastAsia="zh-CN"/>
                    </w:rPr>
                  </w:pPr>
                  <w:r>
                    <w:rPr>
                      <w:rFonts w:hint="default"/>
                      <w:color w:val="auto"/>
                      <w:lang w:val="en-US" w:eastAsia="zh-CN"/>
                    </w:rPr>
                    <w:t>居民</w:t>
                  </w:r>
                </w:p>
              </w:tc>
              <w:tc>
                <w:tcPr>
                  <w:tcW w:w="633" w:type="pct"/>
                  <w:tcBorders>
                    <w:tl2br w:val="nil"/>
                    <w:tr2bl w:val="nil"/>
                  </w:tcBorders>
                  <w:noWrap w:val="0"/>
                  <w:vAlign w:val="center"/>
                </w:tcPr>
                <w:p w14:paraId="63ED1B40">
                  <w:pPr>
                    <w:pStyle w:val="28"/>
                    <w:bidi w:val="0"/>
                    <w:rPr>
                      <w:rFonts w:hint="default"/>
                      <w:color w:val="auto"/>
                      <w:lang w:val="en-US" w:eastAsia="zh-CN"/>
                    </w:rPr>
                  </w:pPr>
                  <w:r>
                    <w:rPr>
                      <w:rFonts w:hint="eastAsia"/>
                      <w:color w:val="auto"/>
                      <w:lang w:val="en-US" w:eastAsia="zh-CN"/>
                    </w:rPr>
                    <w:t>东南</w:t>
                  </w:r>
                </w:p>
              </w:tc>
              <w:tc>
                <w:tcPr>
                  <w:tcW w:w="689" w:type="pct"/>
                  <w:tcBorders>
                    <w:tl2br w:val="nil"/>
                    <w:tr2bl w:val="nil"/>
                  </w:tcBorders>
                  <w:noWrap w:val="0"/>
                  <w:vAlign w:val="center"/>
                </w:tcPr>
                <w:p w14:paraId="333FBB9B">
                  <w:pPr>
                    <w:pStyle w:val="28"/>
                    <w:bidi w:val="0"/>
                    <w:rPr>
                      <w:rFonts w:hint="default"/>
                      <w:color w:val="auto"/>
                      <w:lang w:val="en-US" w:eastAsia="zh-CN"/>
                    </w:rPr>
                  </w:pPr>
                  <w:r>
                    <w:rPr>
                      <w:rFonts w:hint="eastAsia"/>
                      <w:color w:val="auto"/>
                      <w:lang w:val="en-US" w:eastAsia="zh-CN"/>
                    </w:rPr>
                    <w:t>420-500</w:t>
                  </w:r>
                </w:p>
              </w:tc>
              <w:tc>
                <w:tcPr>
                  <w:tcW w:w="1254" w:type="pct"/>
                  <w:vMerge w:val="continue"/>
                  <w:tcBorders>
                    <w:tl2br w:val="nil"/>
                    <w:tr2bl w:val="nil"/>
                  </w:tcBorders>
                  <w:noWrap w:val="0"/>
                  <w:vAlign w:val="center"/>
                </w:tcPr>
                <w:p w14:paraId="34A0981A">
                  <w:pPr>
                    <w:pStyle w:val="28"/>
                    <w:bidi w:val="0"/>
                    <w:rPr>
                      <w:rFonts w:hint="default"/>
                      <w:color w:val="auto"/>
                    </w:rPr>
                  </w:pPr>
                </w:p>
              </w:tc>
            </w:tr>
            <w:tr w14:paraId="42492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12BD9057">
                  <w:pPr>
                    <w:pStyle w:val="28"/>
                    <w:bidi w:val="0"/>
                    <w:rPr>
                      <w:rFonts w:hint="default"/>
                      <w:color w:val="auto"/>
                    </w:rPr>
                  </w:pPr>
                </w:p>
              </w:tc>
              <w:tc>
                <w:tcPr>
                  <w:tcW w:w="1273" w:type="pct"/>
                  <w:tcBorders>
                    <w:tl2br w:val="nil"/>
                    <w:tr2bl w:val="nil"/>
                  </w:tcBorders>
                  <w:noWrap w:val="0"/>
                  <w:vAlign w:val="center"/>
                </w:tcPr>
                <w:p w14:paraId="15239E3F">
                  <w:pPr>
                    <w:pStyle w:val="28"/>
                    <w:bidi w:val="0"/>
                    <w:rPr>
                      <w:rFonts w:hint="default"/>
                      <w:color w:val="auto"/>
                      <w:lang w:val="en-US" w:eastAsia="zh-CN"/>
                    </w:rPr>
                  </w:pPr>
                  <w:r>
                    <w:rPr>
                      <w:rFonts w:hint="eastAsia"/>
                      <w:color w:val="auto"/>
                      <w:lang w:val="en-US" w:eastAsia="zh-CN"/>
                    </w:rPr>
                    <w:t>北棉家院小区</w:t>
                  </w:r>
                </w:p>
              </w:tc>
              <w:tc>
                <w:tcPr>
                  <w:tcW w:w="723" w:type="pct"/>
                  <w:tcBorders>
                    <w:tl2br w:val="nil"/>
                    <w:tr2bl w:val="nil"/>
                  </w:tcBorders>
                  <w:noWrap w:val="0"/>
                  <w:vAlign w:val="center"/>
                </w:tcPr>
                <w:p w14:paraId="22F3616B">
                  <w:pPr>
                    <w:pStyle w:val="28"/>
                    <w:bidi w:val="0"/>
                    <w:rPr>
                      <w:rFonts w:hint="default"/>
                      <w:color w:val="auto"/>
                      <w:lang w:val="en-US" w:eastAsia="zh-CN"/>
                    </w:rPr>
                  </w:pPr>
                  <w:r>
                    <w:rPr>
                      <w:rFonts w:hint="default"/>
                      <w:color w:val="auto"/>
                      <w:lang w:val="en-US" w:eastAsia="zh-CN"/>
                    </w:rPr>
                    <w:t>居民</w:t>
                  </w:r>
                </w:p>
              </w:tc>
              <w:tc>
                <w:tcPr>
                  <w:tcW w:w="633" w:type="pct"/>
                  <w:tcBorders>
                    <w:tl2br w:val="nil"/>
                    <w:tr2bl w:val="nil"/>
                  </w:tcBorders>
                  <w:noWrap w:val="0"/>
                  <w:vAlign w:val="center"/>
                </w:tcPr>
                <w:p w14:paraId="2F3E7ECF">
                  <w:pPr>
                    <w:pStyle w:val="28"/>
                    <w:bidi w:val="0"/>
                    <w:rPr>
                      <w:rFonts w:hint="default"/>
                      <w:color w:val="auto"/>
                      <w:lang w:val="en-US" w:eastAsia="zh-CN"/>
                    </w:rPr>
                  </w:pPr>
                  <w:r>
                    <w:rPr>
                      <w:rFonts w:hint="eastAsia"/>
                      <w:color w:val="auto"/>
                      <w:lang w:val="en-US" w:eastAsia="zh-CN"/>
                    </w:rPr>
                    <w:t>东</w:t>
                  </w:r>
                </w:p>
              </w:tc>
              <w:tc>
                <w:tcPr>
                  <w:tcW w:w="689" w:type="pct"/>
                  <w:tcBorders>
                    <w:tl2br w:val="nil"/>
                    <w:tr2bl w:val="nil"/>
                  </w:tcBorders>
                  <w:noWrap w:val="0"/>
                  <w:vAlign w:val="center"/>
                </w:tcPr>
                <w:p w14:paraId="152BE755">
                  <w:pPr>
                    <w:pStyle w:val="28"/>
                    <w:bidi w:val="0"/>
                    <w:rPr>
                      <w:rFonts w:hint="default"/>
                      <w:color w:val="auto"/>
                      <w:lang w:val="en-US" w:eastAsia="zh-CN"/>
                    </w:rPr>
                  </w:pPr>
                  <w:r>
                    <w:rPr>
                      <w:rFonts w:hint="eastAsia"/>
                      <w:color w:val="auto"/>
                      <w:lang w:val="en-US" w:eastAsia="zh-CN"/>
                    </w:rPr>
                    <w:t>370-500</w:t>
                  </w:r>
                </w:p>
              </w:tc>
              <w:tc>
                <w:tcPr>
                  <w:tcW w:w="1254" w:type="pct"/>
                  <w:vMerge w:val="continue"/>
                  <w:tcBorders>
                    <w:tl2br w:val="nil"/>
                    <w:tr2bl w:val="nil"/>
                  </w:tcBorders>
                  <w:noWrap w:val="0"/>
                  <w:vAlign w:val="center"/>
                </w:tcPr>
                <w:p w14:paraId="6001FA7F">
                  <w:pPr>
                    <w:pStyle w:val="28"/>
                    <w:bidi w:val="0"/>
                    <w:rPr>
                      <w:rFonts w:hint="default"/>
                      <w:color w:val="auto"/>
                    </w:rPr>
                  </w:pPr>
                </w:p>
              </w:tc>
            </w:tr>
            <w:tr w14:paraId="34E38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7BA356FC">
                  <w:pPr>
                    <w:pStyle w:val="28"/>
                    <w:bidi w:val="0"/>
                    <w:rPr>
                      <w:rFonts w:hint="default"/>
                      <w:color w:val="auto"/>
                    </w:rPr>
                  </w:pPr>
                </w:p>
              </w:tc>
              <w:tc>
                <w:tcPr>
                  <w:tcW w:w="1273" w:type="pct"/>
                  <w:tcBorders>
                    <w:tl2br w:val="nil"/>
                    <w:tr2bl w:val="nil"/>
                  </w:tcBorders>
                  <w:noWrap w:val="0"/>
                  <w:vAlign w:val="center"/>
                </w:tcPr>
                <w:p w14:paraId="0272FBCC">
                  <w:pPr>
                    <w:pStyle w:val="28"/>
                    <w:bidi w:val="0"/>
                    <w:rPr>
                      <w:rFonts w:hint="default"/>
                      <w:color w:val="auto"/>
                      <w:lang w:val="en-US" w:eastAsia="zh-CN"/>
                    </w:rPr>
                  </w:pPr>
                  <w:r>
                    <w:rPr>
                      <w:rFonts w:hint="eastAsia"/>
                      <w:color w:val="auto"/>
                      <w:lang w:val="en-US" w:eastAsia="zh-CN"/>
                    </w:rPr>
                    <w:t>梨花小区</w:t>
                  </w:r>
                </w:p>
              </w:tc>
              <w:tc>
                <w:tcPr>
                  <w:tcW w:w="723" w:type="pct"/>
                  <w:tcBorders>
                    <w:tl2br w:val="nil"/>
                    <w:tr2bl w:val="nil"/>
                  </w:tcBorders>
                  <w:noWrap w:val="0"/>
                  <w:vAlign w:val="center"/>
                </w:tcPr>
                <w:p w14:paraId="030C9A1E">
                  <w:pPr>
                    <w:kinsoku w:val="0"/>
                    <w:autoSpaceDE w:val="0"/>
                    <w:autoSpaceDN w:val="0"/>
                    <w:bidi w:val="0"/>
                    <w:adjustRightInd/>
                    <w:snapToGrid/>
                    <w:spacing w:line="240" w:lineRule="auto"/>
                    <w:jc w:val="center"/>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default" w:ascii="Times New Roman" w:hAnsi="Times New Roman" w:eastAsia="宋体" w:cs="Times New Roman"/>
                      <w:bCs/>
                      <w:snapToGrid w:val="0"/>
                      <w:color w:val="auto"/>
                      <w:spacing w:val="8"/>
                      <w:kern w:val="0"/>
                      <w:sz w:val="21"/>
                      <w:szCs w:val="72"/>
                      <w:lang w:val="en-US" w:eastAsia="zh-CN"/>
                    </w:rPr>
                    <w:t>居民</w:t>
                  </w:r>
                </w:p>
              </w:tc>
              <w:tc>
                <w:tcPr>
                  <w:tcW w:w="633" w:type="pct"/>
                  <w:tcBorders>
                    <w:tl2br w:val="nil"/>
                    <w:tr2bl w:val="nil"/>
                  </w:tcBorders>
                  <w:noWrap w:val="0"/>
                  <w:vAlign w:val="center"/>
                </w:tcPr>
                <w:p w14:paraId="6D1F30F8">
                  <w:pPr>
                    <w:pStyle w:val="28"/>
                    <w:bidi w:val="0"/>
                    <w:rPr>
                      <w:rFonts w:hint="default"/>
                      <w:color w:val="auto"/>
                      <w:lang w:val="en-US" w:eastAsia="zh-CN"/>
                    </w:rPr>
                  </w:pPr>
                  <w:r>
                    <w:rPr>
                      <w:rFonts w:hint="eastAsia"/>
                      <w:color w:val="auto"/>
                      <w:lang w:val="en-US" w:eastAsia="zh-CN"/>
                    </w:rPr>
                    <w:t>东北</w:t>
                  </w:r>
                </w:p>
              </w:tc>
              <w:tc>
                <w:tcPr>
                  <w:tcW w:w="689" w:type="pct"/>
                  <w:tcBorders>
                    <w:tl2br w:val="nil"/>
                    <w:tr2bl w:val="nil"/>
                  </w:tcBorders>
                  <w:noWrap w:val="0"/>
                  <w:vAlign w:val="center"/>
                </w:tcPr>
                <w:p w14:paraId="5DF48D3C">
                  <w:pPr>
                    <w:pStyle w:val="28"/>
                    <w:bidi w:val="0"/>
                    <w:rPr>
                      <w:rFonts w:hint="default"/>
                      <w:color w:val="auto"/>
                      <w:lang w:val="en-US" w:eastAsia="zh-CN"/>
                    </w:rPr>
                  </w:pPr>
                  <w:r>
                    <w:rPr>
                      <w:rFonts w:hint="eastAsia"/>
                      <w:color w:val="auto"/>
                      <w:lang w:val="en-US" w:eastAsia="zh-CN"/>
                    </w:rPr>
                    <w:t>390-500</w:t>
                  </w:r>
                </w:p>
              </w:tc>
              <w:tc>
                <w:tcPr>
                  <w:tcW w:w="1254" w:type="pct"/>
                  <w:vMerge w:val="continue"/>
                  <w:tcBorders>
                    <w:tl2br w:val="nil"/>
                    <w:tr2bl w:val="nil"/>
                  </w:tcBorders>
                  <w:noWrap w:val="0"/>
                  <w:vAlign w:val="center"/>
                </w:tcPr>
                <w:p w14:paraId="092DFECD">
                  <w:pPr>
                    <w:pStyle w:val="28"/>
                    <w:bidi w:val="0"/>
                    <w:rPr>
                      <w:rFonts w:hint="default"/>
                      <w:color w:val="auto"/>
                    </w:rPr>
                  </w:pPr>
                </w:p>
              </w:tc>
            </w:tr>
            <w:tr w14:paraId="1652A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5C9D21DD">
                  <w:pPr>
                    <w:pStyle w:val="28"/>
                    <w:bidi w:val="0"/>
                    <w:rPr>
                      <w:rFonts w:hint="default"/>
                      <w:color w:val="auto"/>
                    </w:rPr>
                  </w:pPr>
                </w:p>
              </w:tc>
              <w:tc>
                <w:tcPr>
                  <w:tcW w:w="1273" w:type="pct"/>
                  <w:tcBorders>
                    <w:tl2br w:val="nil"/>
                    <w:tr2bl w:val="nil"/>
                  </w:tcBorders>
                  <w:noWrap w:val="0"/>
                  <w:vAlign w:val="center"/>
                </w:tcPr>
                <w:p w14:paraId="7E1E605D">
                  <w:pPr>
                    <w:pStyle w:val="28"/>
                    <w:bidi w:val="0"/>
                    <w:rPr>
                      <w:rFonts w:hint="default"/>
                      <w:color w:val="auto"/>
                      <w:lang w:val="en-US" w:eastAsia="zh-CN"/>
                    </w:rPr>
                  </w:pPr>
                  <w:r>
                    <w:rPr>
                      <w:rFonts w:hint="eastAsia"/>
                      <w:color w:val="auto"/>
                      <w:lang w:val="en-US" w:eastAsia="zh-CN"/>
                    </w:rPr>
                    <w:t>金鹭水景花园</w:t>
                  </w:r>
                </w:p>
              </w:tc>
              <w:tc>
                <w:tcPr>
                  <w:tcW w:w="723" w:type="pct"/>
                  <w:tcBorders>
                    <w:tl2br w:val="nil"/>
                    <w:tr2bl w:val="nil"/>
                  </w:tcBorders>
                  <w:noWrap w:val="0"/>
                  <w:vAlign w:val="center"/>
                </w:tcPr>
                <w:p w14:paraId="6C34E5E2">
                  <w:pPr>
                    <w:pStyle w:val="28"/>
                    <w:bidi w:val="0"/>
                    <w:rPr>
                      <w:rFonts w:hint="eastAsia"/>
                      <w:color w:val="auto"/>
                      <w:lang w:val="en-US" w:eastAsia="zh-CN"/>
                    </w:rPr>
                  </w:pPr>
                  <w:r>
                    <w:rPr>
                      <w:rFonts w:hint="default" w:ascii="Times New Roman" w:hAnsi="Times New Roman" w:eastAsia="宋体" w:cs="Times New Roman"/>
                      <w:bCs/>
                      <w:snapToGrid w:val="0"/>
                      <w:color w:val="auto"/>
                      <w:spacing w:val="8"/>
                      <w:kern w:val="0"/>
                      <w:sz w:val="21"/>
                      <w:szCs w:val="72"/>
                      <w:lang w:val="en-US" w:eastAsia="zh-CN"/>
                    </w:rPr>
                    <w:t>居民</w:t>
                  </w:r>
                </w:p>
              </w:tc>
              <w:tc>
                <w:tcPr>
                  <w:tcW w:w="633" w:type="pct"/>
                  <w:tcBorders>
                    <w:tl2br w:val="nil"/>
                    <w:tr2bl w:val="nil"/>
                  </w:tcBorders>
                  <w:noWrap w:val="0"/>
                  <w:vAlign w:val="center"/>
                </w:tcPr>
                <w:p w14:paraId="051ADE4C">
                  <w:pPr>
                    <w:pStyle w:val="28"/>
                    <w:bidi w:val="0"/>
                    <w:rPr>
                      <w:rFonts w:hint="default"/>
                      <w:color w:val="auto"/>
                      <w:lang w:val="en-US" w:eastAsia="zh-CN"/>
                    </w:rPr>
                  </w:pPr>
                  <w:r>
                    <w:rPr>
                      <w:rFonts w:hint="eastAsia"/>
                      <w:color w:val="auto"/>
                      <w:lang w:val="en-US" w:eastAsia="zh-CN"/>
                    </w:rPr>
                    <w:t>东北、北</w:t>
                  </w:r>
                </w:p>
              </w:tc>
              <w:tc>
                <w:tcPr>
                  <w:tcW w:w="689" w:type="pct"/>
                  <w:tcBorders>
                    <w:tl2br w:val="nil"/>
                    <w:tr2bl w:val="nil"/>
                  </w:tcBorders>
                  <w:noWrap w:val="0"/>
                  <w:vAlign w:val="center"/>
                </w:tcPr>
                <w:p w14:paraId="2481CF0F">
                  <w:pPr>
                    <w:pStyle w:val="28"/>
                    <w:bidi w:val="0"/>
                    <w:rPr>
                      <w:rFonts w:hint="default"/>
                      <w:color w:val="auto"/>
                      <w:lang w:val="en-US" w:eastAsia="zh-CN"/>
                    </w:rPr>
                  </w:pPr>
                  <w:r>
                    <w:rPr>
                      <w:rFonts w:hint="eastAsia"/>
                      <w:color w:val="auto"/>
                      <w:lang w:val="en-US" w:eastAsia="zh-CN"/>
                    </w:rPr>
                    <w:t>130-450</w:t>
                  </w:r>
                </w:p>
              </w:tc>
              <w:tc>
                <w:tcPr>
                  <w:tcW w:w="1254" w:type="pct"/>
                  <w:vMerge w:val="continue"/>
                  <w:tcBorders>
                    <w:tl2br w:val="nil"/>
                    <w:tr2bl w:val="nil"/>
                  </w:tcBorders>
                  <w:noWrap w:val="0"/>
                  <w:vAlign w:val="center"/>
                </w:tcPr>
                <w:p w14:paraId="7C4F96AE">
                  <w:pPr>
                    <w:pStyle w:val="28"/>
                    <w:bidi w:val="0"/>
                    <w:rPr>
                      <w:rFonts w:hint="default"/>
                      <w:color w:val="auto"/>
                    </w:rPr>
                  </w:pPr>
                </w:p>
              </w:tc>
            </w:tr>
            <w:tr w14:paraId="2C4AD7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237C2701">
                  <w:pPr>
                    <w:pStyle w:val="28"/>
                    <w:bidi w:val="0"/>
                    <w:rPr>
                      <w:rFonts w:hint="default"/>
                      <w:color w:val="auto"/>
                    </w:rPr>
                  </w:pPr>
                </w:p>
              </w:tc>
              <w:tc>
                <w:tcPr>
                  <w:tcW w:w="1273" w:type="pct"/>
                  <w:tcBorders>
                    <w:tl2br w:val="nil"/>
                    <w:tr2bl w:val="nil"/>
                  </w:tcBorders>
                  <w:noWrap w:val="0"/>
                  <w:vAlign w:val="center"/>
                </w:tcPr>
                <w:p w14:paraId="2EE7BE8E">
                  <w:pPr>
                    <w:pStyle w:val="28"/>
                    <w:bidi w:val="0"/>
                    <w:rPr>
                      <w:rFonts w:hint="eastAsia"/>
                      <w:color w:val="auto"/>
                      <w:lang w:val="en-US" w:eastAsia="zh-CN"/>
                    </w:rPr>
                  </w:pPr>
                  <w:r>
                    <w:rPr>
                      <w:rFonts w:hint="eastAsia"/>
                      <w:color w:val="auto"/>
                      <w:lang w:val="en-US" w:eastAsia="zh-CN"/>
                    </w:rPr>
                    <w:t>金鹭花园</w:t>
                  </w:r>
                </w:p>
              </w:tc>
              <w:tc>
                <w:tcPr>
                  <w:tcW w:w="723" w:type="pct"/>
                  <w:tcBorders>
                    <w:tl2br w:val="nil"/>
                    <w:tr2bl w:val="nil"/>
                  </w:tcBorders>
                  <w:shd w:val="clear" w:color="auto" w:fill="auto"/>
                  <w:noWrap w:val="0"/>
                  <w:vAlign w:val="center"/>
                </w:tcPr>
                <w:p w14:paraId="109D9DDD">
                  <w:pPr>
                    <w:pStyle w:val="28"/>
                    <w:bidi w:val="0"/>
                    <w:rPr>
                      <w:rFonts w:hint="default" w:ascii="Times New Roman" w:hAnsi="Times New Roman" w:eastAsia="宋体" w:cs="Times New Roman"/>
                      <w:bCs/>
                      <w:snapToGrid w:val="0"/>
                      <w:color w:val="auto"/>
                      <w:spacing w:val="8"/>
                      <w:kern w:val="0"/>
                      <w:sz w:val="21"/>
                      <w:szCs w:val="72"/>
                      <w:lang w:val="en-US" w:eastAsia="zh-CN"/>
                    </w:rPr>
                  </w:pPr>
                  <w:r>
                    <w:rPr>
                      <w:rFonts w:hint="default" w:ascii="Times New Roman" w:hAnsi="Times New Roman" w:eastAsia="宋体" w:cs="Times New Roman"/>
                      <w:bCs/>
                      <w:snapToGrid w:val="0"/>
                      <w:color w:val="auto"/>
                      <w:spacing w:val="8"/>
                      <w:kern w:val="0"/>
                      <w:sz w:val="21"/>
                      <w:szCs w:val="72"/>
                      <w:lang w:val="en-US" w:eastAsia="zh-CN"/>
                    </w:rPr>
                    <w:t>居民</w:t>
                  </w:r>
                </w:p>
              </w:tc>
              <w:tc>
                <w:tcPr>
                  <w:tcW w:w="633" w:type="pct"/>
                  <w:tcBorders>
                    <w:tl2br w:val="nil"/>
                    <w:tr2bl w:val="nil"/>
                  </w:tcBorders>
                  <w:shd w:val="clear" w:color="auto" w:fill="auto"/>
                  <w:noWrap w:val="0"/>
                  <w:vAlign w:val="center"/>
                </w:tcPr>
                <w:p w14:paraId="3E394300">
                  <w:pPr>
                    <w:pStyle w:val="28"/>
                    <w:bidi w:val="0"/>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东北、北</w:t>
                  </w:r>
                </w:p>
              </w:tc>
              <w:tc>
                <w:tcPr>
                  <w:tcW w:w="689" w:type="pct"/>
                  <w:tcBorders>
                    <w:tl2br w:val="nil"/>
                    <w:tr2bl w:val="nil"/>
                  </w:tcBorders>
                  <w:noWrap w:val="0"/>
                  <w:vAlign w:val="center"/>
                </w:tcPr>
                <w:p w14:paraId="75DD0613">
                  <w:pPr>
                    <w:pStyle w:val="28"/>
                    <w:bidi w:val="0"/>
                    <w:rPr>
                      <w:rFonts w:hint="default"/>
                      <w:color w:val="auto"/>
                      <w:lang w:val="en-US" w:eastAsia="zh-CN"/>
                    </w:rPr>
                  </w:pPr>
                  <w:r>
                    <w:rPr>
                      <w:rFonts w:hint="eastAsia"/>
                      <w:color w:val="auto"/>
                      <w:lang w:val="en-US" w:eastAsia="zh-CN"/>
                    </w:rPr>
                    <w:t>400-500</w:t>
                  </w:r>
                </w:p>
              </w:tc>
              <w:tc>
                <w:tcPr>
                  <w:tcW w:w="1254" w:type="pct"/>
                  <w:vMerge w:val="continue"/>
                  <w:tcBorders>
                    <w:tl2br w:val="nil"/>
                    <w:tr2bl w:val="nil"/>
                  </w:tcBorders>
                  <w:noWrap w:val="0"/>
                  <w:vAlign w:val="center"/>
                </w:tcPr>
                <w:p w14:paraId="4048CA9D">
                  <w:pPr>
                    <w:pStyle w:val="28"/>
                    <w:bidi w:val="0"/>
                    <w:rPr>
                      <w:rFonts w:hint="default"/>
                      <w:color w:val="auto"/>
                    </w:rPr>
                  </w:pPr>
                </w:p>
              </w:tc>
            </w:tr>
            <w:tr w14:paraId="5F92F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3C051E20">
                  <w:pPr>
                    <w:pStyle w:val="28"/>
                    <w:bidi w:val="0"/>
                    <w:rPr>
                      <w:rFonts w:hint="default"/>
                      <w:color w:val="auto"/>
                    </w:rPr>
                  </w:pPr>
                </w:p>
              </w:tc>
              <w:tc>
                <w:tcPr>
                  <w:tcW w:w="1273" w:type="pct"/>
                  <w:tcBorders>
                    <w:tl2br w:val="nil"/>
                    <w:tr2bl w:val="nil"/>
                  </w:tcBorders>
                  <w:noWrap w:val="0"/>
                  <w:vAlign w:val="center"/>
                </w:tcPr>
                <w:p w14:paraId="2ED9628B">
                  <w:pPr>
                    <w:pStyle w:val="28"/>
                    <w:bidi w:val="0"/>
                    <w:rPr>
                      <w:rFonts w:hint="default"/>
                      <w:color w:val="auto"/>
                      <w:lang w:val="en-US" w:eastAsia="zh-CN"/>
                    </w:rPr>
                  </w:pPr>
                  <w:r>
                    <w:rPr>
                      <w:rFonts w:hint="eastAsia"/>
                      <w:color w:val="auto"/>
                      <w:lang w:val="en-US" w:eastAsia="zh-CN"/>
                    </w:rPr>
                    <w:t>平安医院</w:t>
                  </w:r>
                </w:p>
              </w:tc>
              <w:tc>
                <w:tcPr>
                  <w:tcW w:w="723" w:type="pct"/>
                  <w:tcBorders>
                    <w:tl2br w:val="nil"/>
                    <w:tr2bl w:val="nil"/>
                  </w:tcBorders>
                  <w:noWrap w:val="0"/>
                  <w:vAlign w:val="center"/>
                </w:tcPr>
                <w:p w14:paraId="0EC5E893">
                  <w:pPr>
                    <w:pStyle w:val="28"/>
                    <w:bidi w:val="0"/>
                    <w:rPr>
                      <w:rFonts w:hint="eastAsia"/>
                      <w:color w:val="auto"/>
                      <w:lang w:val="en-US" w:eastAsia="zh-CN"/>
                    </w:rPr>
                  </w:pPr>
                  <w:r>
                    <w:rPr>
                      <w:rFonts w:hint="eastAsia" w:cs="Times New Roman"/>
                      <w:bCs/>
                      <w:snapToGrid w:val="0"/>
                      <w:color w:val="auto"/>
                      <w:spacing w:val="8"/>
                      <w:kern w:val="0"/>
                      <w:sz w:val="21"/>
                      <w:szCs w:val="72"/>
                      <w:lang w:val="en-US" w:eastAsia="zh-CN"/>
                    </w:rPr>
                    <w:t>病患</w:t>
                  </w:r>
                </w:p>
              </w:tc>
              <w:tc>
                <w:tcPr>
                  <w:tcW w:w="633" w:type="pct"/>
                  <w:tcBorders>
                    <w:tl2br w:val="nil"/>
                    <w:tr2bl w:val="nil"/>
                  </w:tcBorders>
                  <w:noWrap w:val="0"/>
                  <w:vAlign w:val="center"/>
                </w:tcPr>
                <w:p w14:paraId="182B889D">
                  <w:pPr>
                    <w:pStyle w:val="28"/>
                    <w:bidi w:val="0"/>
                    <w:rPr>
                      <w:rFonts w:hint="eastAsia"/>
                      <w:color w:val="auto"/>
                      <w:lang w:val="en-US" w:eastAsia="zh-CN"/>
                    </w:rPr>
                  </w:pPr>
                  <w:r>
                    <w:rPr>
                      <w:rFonts w:hint="eastAsia"/>
                      <w:color w:val="auto"/>
                      <w:lang w:val="en-US" w:eastAsia="zh-CN"/>
                    </w:rPr>
                    <w:t>东</w:t>
                  </w:r>
                </w:p>
              </w:tc>
              <w:tc>
                <w:tcPr>
                  <w:tcW w:w="689" w:type="pct"/>
                  <w:tcBorders>
                    <w:tl2br w:val="nil"/>
                    <w:tr2bl w:val="nil"/>
                  </w:tcBorders>
                  <w:noWrap w:val="0"/>
                  <w:vAlign w:val="center"/>
                </w:tcPr>
                <w:p w14:paraId="6829F5F8">
                  <w:pPr>
                    <w:pStyle w:val="28"/>
                    <w:bidi w:val="0"/>
                    <w:rPr>
                      <w:rFonts w:hint="default"/>
                      <w:color w:val="auto"/>
                      <w:lang w:val="en-US" w:eastAsia="zh-CN"/>
                    </w:rPr>
                  </w:pPr>
                  <w:r>
                    <w:rPr>
                      <w:rFonts w:hint="eastAsia"/>
                      <w:color w:val="auto"/>
                      <w:lang w:val="en-US" w:eastAsia="zh-CN"/>
                    </w:rPr>
                    <w:t>275-295</w:t>
                  </w:r>
                </w:p>
              </w:tc>
              <w:tc>
                <w:tcPr>
                  <w:tcW w:w="1254" w:type="pct"/>
                  <w:vMerge w:val="continue"/>
                  <w:tcBorders>
                    <w:tl2br w:val="nil"/>
                    <w:tr2bl w:val="nil"/>
                  </w:tcBorders>
                  <w:noWrap w:val="0"/>
                  <w:vAlign w:val="center"/>
                </w:tcPr>
                <w:p w14:paraId="06A15F4C">
                  <w:pPr>
                    <w:pStyle w:val="28"/>
                    <w:bidi w:val="0"/>
                    <w:rPr>
                      <w:rFonts w:hint="default"/>
                      <w:color w:val="auto"/>
                    </w:rPr>
                  </w:pPr>
                </w:p>
              </w:tc>
            </w:tr>
          </w:tbl>
          <w:p w14:paraId="58DAD6A8">
            <w:pPr>
              <w:pStyle w:val="29"/>
              <w:bidi w:val="0"/>
              <w:rPr>
                <w:rFonts w:hint="default"/>
                <w:color w:val="auto"/>
              </w:rPr>
            </w:pPr>
            <w:r>
              <w:rPr>
                <w:rFonts w:hint="default"/>
                <w:color w:val="auto"/>
              </w:rPr>
              <w:t>（2）声环境</w:t>
            </w:r>
          </w:p>
          <w:p w14:paraId="7E67CD57">
            <w:pPr>
              <w:pStyle w:val="29"/>
              <w:bidi w:val="0"/>
              <w:rPr>
                <w:rFonts w:hint="default"/>
                <w:color w:val="auto"/>
              </w:rPr>
            </w:pPr>
            <w:r>
              <w:rPr>
                <w:rFonts w:hint="default"/>
                <w:color w:val="auto"/>
              </w:rPr>
              <w:t>本项目厂界外50</w:t>
            </w:r>
            <w:r>
              <w:rPr>
                <w:rFonts w:hint="eastAsia"/>
                <w:color w:val="auto"/>
                <w:lang w:val="en-US" w:eastAsia="zh-CN"/>
              </w:rPr>
              <w:t>米</w:t>
            </w:r>
            <w:r>
              <w:rPr>
                <w:rFonts w:hint="default"/>
                <w:color w:val="auto"/>
              </w:rPr>
              <w:t>范围内声环境保护目标</w:t>
            </w:r>
            <w:r>
              <w:rPr>
                <w:rFonts w:hint="default"/>
                <w:color w:val="auto"/>
                <w:lang w:val="en-US" w:eastAsia="zh-CN"/>
              </w:rPr>
              <w:t>主要为</w:t>
            </w:r>
            <w:r>
              <w:rPr>
                <w:rFonts w:hint="eastAsia"/>
                <w:color w:val="auto"/>
                <w:lang w:val="en-US" w:eastAsia="zh-CN"/>
              </w:rPr>
              <w:t>项目区同栋住宅及项目区东侧住宅</w:t>
            </w:r>
            <w:r>
              <w:rPr>
                <w:rFonts w:hint="default"/>
                <w:color w:val="auto"/>
              </w:rPr>
              <w:t>。</w:t>
            </w:r>
          </w:p>
          <w:p w14:paraId="4AF97C5C">
            <w:pPr>
              <w:spacing w:line="240" w:lineRule="auto"/>
              <w:ind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表3-</w:t>
            </w:r>
            <w:r>
              <w:rPr>
                <w:rFonts w:hint="eastAsia" w:ascii="Times New Roman" w:hAnsi="Times New Roman" w:eastAsia="宋体"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val="en-US" w:eastAsia="zh-CN"/>
              </w:rPr>
              <w:t xml:space="preserve">  </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本项目</w:t>
            </w:r>
            <w:r>
              <w:rPr>
                <w:rFonts w:hint="eastAsia" w:ascii="Times New Roman" w:hAnsi="Times New Roman" w:eastAsia="宋体" w:cs="Times New Roman"/>
                <w:b/>
                <w:bCs/>
                <w:color w:val="auto"/>
                <w:sz w:val="21"/>
                <w:szCs w:val="21"/>
                <w:highlight w:val="none"/>
                <w:lang w:val="en-US" w:eastAsia="zh-CN"/>
              </w:rPr>
              <w:t>声</w:t>
            </w:r>
            <w:r>
              <w:rPr>
                <w:rFonts w:hint="default" w:ascii="Times New Roman" w:hAnsi="Times New Roman" w:eastAsia="宋体" w:cs="Times New Roman"/>
                <w:b/>
                <w:bCs/>
                <w:color w:val="auto"/>
                <w:sz w:val="21"/>
                <w:szCs w:val="21"/>
                <w:highlight w:val="none"/>
                <w:lang w:val="en-US" w:eastAsia="zh-CN"/>
              </w:rPr>
              <w:t>环境保护目标一览表</w:t>
            </w:r>
          </w:p>
          <w:tbl>
            <w:tblPr>
              <w:tblStyle w:val="14"/>
              <w:tblW w:w="494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480"/>
              <w:gridCol w:w="525"/>
              <w:gridCol w:w="465"/>
              <w:gridCol w:w="975"/>
              <w:gridCol w:w="720"/>
              <w:gridCol w:w="915"/>
              <w:gridCol w:w="1560"/>
              <w:gridCol w:w="1271"/>
            </w:tblGrid>
            <w:tr w14:paraId="341435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843" w:hRule="atLeast"/>
                <w:jc w:val="center"/>
              </w:trPr>
              <w:tc>
                <w:tcPr>
                  <w:tcW w:w="769" w:type="pct"/>
                  <w:tcBorders>
                    <w:tl2br w:val="nil"/>
                    <w:tr2bl w:val="nil"/>
                  </w:tcBorders>
                  <w:noWrap w:val="0"/>
                  <w:vAlign w:val="center"/>
                </w:tcPr>
                <w:p w14:paraId="36FCCD36">
                  <w:pPr>
                    <w:pStyle w:val="28"/>
                    <w:bidi w:val="0"/>
                    <w:rPr>
                      <w:rFonts w:hint="default" w:ascii="Times New Roman" w:hAnsi="Times New Roman" w:cs="Times New Roman"/>
                      <w:b/>
                      <w:bCs w:val="0"/>
                      <w:color w:val="auto"/>
                    </w:rPr>
                  </w:pPr>
                  <w:r>
                    <w:rPr>
                      <w:rFonts w:hint="default" w:ascii="Times New Roman" w:hAnsi="Times New Roman" w:cs="Times New Roman"/>
                      <w:b/>
                      <w:bCs w:val="0"/>
                      <w:color w:val="auto"/>
                    </w:rPr>
                    <w:t>保护目标</w:t>
                  </w:r>
                </w:p>
              </w:tc>
              <w:tc>
                <w:tcPr>
                  <w:tcW w:w="899" w:type="pct"/>
                  <w:gridSpan w:val="3"/>
                  <w:tcBorders>
                    <w:tl2br w:val="nil"/>
                    <w:tr2bl w:val="nil"/>
                  </w:tcBorders>
                  <w:noWrap w:val="0"/>
                  <w:vAlign w:val="center"/>
                </w:tcPr>
                <w:p w14:paraId="520220E2">
                  <w:pPr>
                    <w:pStyle w:val="28"/>
                    <w:bidi w:val="0"/>
                    <w:rPr>
                      <w:rFonts w:hint="default" w:ascii="Times New Roman" w:hAnsi="Times New Roman" w:eastAsia="宋体" w:cs="Times New Roman"/>
                      <w:b/>
                      <w:bCs w:val="0"/>
                      <w:color w:val="auto"/>
                      <w:lang w:val="en-US" w:eastAsia="zh-CN"/>
                    </w:rPr>
                  </w:pPr>
                  <w:r>
                    <w:rPr>
                      <w:rFonts w:hint="eastAsia" w:cs="Times New Roman"/>
                      <w:b/>
                      <w:bCs w:val="0"/>
                      <w:color w:val="auto"/>
                      <w:lang w:val="en-US" w:eastAsia="zh-CN"/>
                    </w:rPr>
                    <w:t>空间相对位置/m</w:t>
                  </w:r>
                </w:p>
              </w:tc>
              <w:tc>
                <w:tcPr>
                  <w:tcW w:w="596" w:type="pct"/>
                  <w:tcBorders>
                    <w:tl2br w:val="nil"/>
                    <w:tr2bl w:val="nil"/>
                  </w:tcBorders>
                  <w:noWrap w:val="0"/>
                  <w:vAlign w:val="center"/>
                </w:tcPr>
                <w:p w14:paraId="1EB3E423">
                  <w:pPr>
                    <w:pStyle w:val="28"/>
                    <w:bidi w:val="0"/>
                    <w:rPr>
                      <w:rFonts w:hint="default" w:ascii="Times New Roman" w:hAnsi="Times New Roman" w:cs="Times New Roman"/>
                      <w:b/>
                      <w:bCs w:val="0"/>
                      <w:color w:val="auto"/>
                    </w:rPr>
                  </w:pPr>
                  <w:r>
                    <w:rPr>
                      <w:rFonts w:hint="default" w:ascii="Times New Roman" w:hAnsi="Times New Roman" w:cs="Times New Roman"/>
                      <w:b/>
                      <w:bCs w:val="0"/>
                      <w:color w:val="auto"/>
                    </w:rPr>
                    <w:t>保护</w:t>
                  </w:r>
                </w:p>
                <w:p w14:paraId="238F8A2A">
                  <w:pPr>
                    <w:pStyle w:val="28"/>
                    <w:bidi w:val="0"/>
                    <w:rPr>
                      <w:rFonts w:hint="default" w:ascii="Times New Roman" w:hAnsi="Times New Roman" w:cs="Times New Roman"/>
                      <w:b/>
                      <w:bCs w:val="0"/>
                      <w:color w:val="auto"/>
                    </w:rPr>
                  </w:pPr>
                  <w:r>
                    <w:rPr>
                      <w:rFonts w:hint="default" w:ascii="Times New Roman" w:hAnsi="Times New Roman" w:cs="Times New Roman"/>
                      <w:b/>
                      <w:bCs w:val="0"/>
                      <w:color w:val="auto"/>
                    </w:rPr>
                    <w:t>对象</w:t>
                  </w:r>
                </w:p>
              </w:tc>
              <w:tc>
                <w:tcPr>
                  <w:tcW w:w="440" w:type="pct"/>
                  <w:tcBorders>
                    <w:tl2br w:val="nil"/>
                    <w:tr2bl w:val="nil"/>
                  </w:tcBorders>
                  <w:noWrap w:val="0"/>
                  <w:vAlign w:val="center"/>
                </w:tcPr>
                <w:p w14:paraId="19BE1CB1">
                  <w:pPr>
                    <w:pStyle w:val="28"/>
                    <w:bidi w:val="0"/>
                    <w:rPr>
                      <w:rFonts w:hint="default" w:ascii="Times New Roman" w:hAnsi="Times New Roman" w:cs="Times New Roman"/>
                      <w:b/>
                      <w:bCs w:val="0"/>
                      <w:color w:val="auto"/>
                    </w:rPr>
                  </w:pPr>
                  <w:r>
                    <w:rPr>
                      <w:rFonts w:hint="default" w:ascii="Times New Roman" w:hAnsi="Times New Roman" w:cs="Times New Roman"/>
                      <w:b/>
                      <w:bCs w:val="0"/>
                      <w:color w:val="auto"/>
                    </w:rPr>
                    <w:t>相对厂址位置</w:t>
                  </w:r>
                </w:p>
              </w:tc>
              <w:tc>
                <w:tcPr>
                  <w:tcW w:w="560" w:type="pct"/>
                  <w:tcBorders>
                    <w:tl2br w:val="nil"/>
                    <w:tr2bl w:val="nil"/>
                  </w:tcBorders>
                  <w:noWrap w:val="0"/>
                  <w:vAlign w:val="center"/>
                </w:tcPr>
                <w:p w14:paraId="59EBE4AD">
                  <w:pPr>
                    <w:pStyle w:val="28"/>
                    <w:bidi w:val="0"/>
                    <w:rPr>
                      <w:rFonts w:hint="default" w:ascii="Times New Roman" w:hAnsi="Times New Roman" w:cs="Times New Roman"/>
                      <w:b/>
                      <w:bCs w:val="0"/>
                      <w:color w:val="auto"/>
                      <w:lang w:eastAsia="zh-CN"/>
                    </w:rPr>
                  </w:pPr>
                  <w:r>
                    <w:rPr>
                      <w:rFonts w:hint="default" w:ascii="Times New Roman" w:hAnsi="Times New Roman" w:cs="Times New Roman"/>
                      <w:b/>
                      <w:bCs w:val="0"/>
                      <w:color w:val="auto"/>
                    </w:rPr>
                    <w:t>相对厂址距离/</w:t>
                  </w:r>
                  <w:r>
                    <w:rPr>
                      <w:rFonts w:hint="default" w:ascii="Times New Roman" w:hAnsi="Times New Roman" w:cs="Times New Roman"/>
                      <w:b/>
                      <w:bCs w:val="0"/>
                      <w:color w:val="auto"/>
                      <w:lang w:val="en-US" w:eastAsia="zh-CN"/>
                    </w:rPr>
                    <w:t>米</w:t>
                  </w:r>
                </w:p>
              </w:tc>
              <w:tc>
                <w:tcPr>
                  <w:tcW w:w="954" w:type="pct"/>
                  <w:tcBorders>
                    <w:tl2br w:val="nil"/>
                    <w:tr2bl w:val="nil"/>
                  </w:tcBorders>
                  <w:noWrap w:val="0"/>
                  <w:vAlign w:val="center"/>
                </w:tcPr>
                <w:p w14:paraId="33721F0C">
                  <w:pPr>
                    <w:pStyle w:val="28"/>
                    <w:bidi w:val="0"/>
                    <w:rPr>
                      <w:rFonts w:hint="default" w:ascii="Times New Roman" w:hAnsi="Times New Roman" w:cs="Times New Roman"/>
                      <w:b/>
                      <w:bCs w:val="0"/>
                      <w:color w:val="auto"/>
                    </w:rPr>
                  </w:pPr>
                  <w:r>
                    <w:rPr>
                      <w:rFonts w:hint="default" w:ascii="Times New Roman" w:hAnsi="Times New Roman" w:cs="Times New Roman"/>
                      <w:b/>
                      <w:bCs w:val="0"/>
                      <w:color w:val="auto"/>
                    </w:rPr>
                    <w:t>保护级别</w:t>
                  </w:r>
                </w:p>
              </w:tc>
              <w:tc>
                <w:tcPr>
                  <w:tcW w:w="778" w:type="pct"/>
                  <w:tcBorders>
                    <w:tl2br w:val="nil"/>
                    <w:tr2bl w:val="nil"/>
                  </w:tcBorders>
                  <w:noWrap w:val="0"/>
                  <w:vAlign w:val="center"/>
                </w:tcPr>
                <w:p w14:paraId="380AF25C">
                  <w:pPr>
                    <w:pStyle w:val="28"/>
                    <w:bidi w:val="0"/>
                    <w:rPr>
                      <w:rFonts w:hint="default" w:ascii="Times New Roman" w:hAnsi="Times New Roman" w:cs="Times New Roman"/>
                      <w:b/>
                      <w:bCs w:val="0"/>
                      <w:color w:val="auto"/>
                    </w:rPr>
                  </w:pPr>
                  <w:r>
                    <w:rPr>
                      <w:rFonts w:hint="default" w:ascii="Times New Roman" w:hAnsi="Times New Roman" w:cs="Times New Roman"/>
                      <w:b/>
                      <w:bCs w:val="0"/>
                      <w:color w:val="auto"/>
                      <w:lang w:val="en-US" w:eastAsia="zh-CN"/>
                    </w:rPr>
                    <w:t>情况说明</w:t>
                  </w:r>
                </w:p>
              </w:tc>
            </w:tr>
            <w:tr w14:paraId="143643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9" w:type="pct"/>
                  <w:tcBorders>
                    <w:tl2br w:val="nil"/>
                    <w:tr2bl w:val="nil"/>
                  </w:tcBorders>
                  <w:noWrap w:val="0"/>
                  <w:vAlign w:val="center"/>
                </w:tcPr>
                <w:p w14:paraId="1E7297DF">
                  <w:pPr>
                    <w:kinsoku w:val="0"/>
                    <w:autoSpaceDE w:val="0"/>
                    <w:autoSpaceDN w:val="0"/>
                    <w:bidi w:val="0"/>
                    <w:adjustRightInd/>
                    <w:snapToGrid/>
                    <w:spacing w:line="240" w:lineRule="auto"/>
                    <w:jc w:val="center"/>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金梦花园3号楼</w:t>
                  </w:r>
                </w:p>
              </w:tc>
              <w:tc>
                <w:tcPr>
                  <w:tcW w:w="293" w:type="pct"/>
                  <w:tcBorders>
                    <w:tl2br w:val="nil"/>
                    <w:tr2bl w:val="nil"/>
                  </w:tcBorders>
                  <w:noWrap w:val="0"/>
                  <w:vAlign w:val="center"/>
                </w:tcPr>
                <w:p w14:paraId="4281AF56">
                  <w:pPr>
                    <w:pStyle w:val="28"/>
                    <w:bidi w:val="0"/>
                    <w:rPr>
                      <w:rFonts w:hint="default" w:cs="Times New Roman"/>
                      <w:color w:val="auto"/>
                      <w:lang w:val="en-US" w:eastAsia="zh-CN"/>
                    </w:rPr>
                  </w:pPr>
                  <w:r>
                    <w:rPr>
                      <w:rFonts w:hint="eastAsia" w:cs="Times New Roman"/>
                      <w:color w:val="auto"/>
                      <w:lang w:val="en-US" w:eastAsia="zh-CN"/>
                    </w:rPr>
                    <w:t>15</w:t>
                  </w:r>
                </w:p>
              </w:tc>
              <w:tc>
                <w:tcPr>
                  <w:tcW w:w="321" w:type="pct"/>
                  <w:tcBorders>
                    <w:tl2br w:val="nil"/>
                    <w:tr2bl w:val="nil"/>
                  </w:tcBorders>
                  <w:noWrap w:val="0"/>
                  <w:vAlign w:val="center"/>
                </w:tcPr>
                <w:p w14:paraId="2E668664">
                  <w:pPr>
                    <w:pStyle w:val="28"/>
                    <w:bidi w:val="0"/>
                    <w:rPr>
                      <w:rFonts w:hint="default" w:cs="Times New Roman"/>
                      <w:color w:val="auto"/>
                      <w:lang w:val="en-US" w:eastAsia="zh-CN"/>
                    </w:rPr>
                  </w:pPr>
                  <w:r>
                    <w:rPr>
                      <w:rFonts w:hint="eastAsia" w:cs="Times New Roman"/>
                      <w:color w:val="auto"/>
                      <w:lang w:val="en-US" w:eastAsia="zh-CN"/>
                    </w:rPr>
                    <w:t>-28</w:t>
                  </w:r>
                </w:p>
              </w:tc>
              <w:tc>
                <w:tcPr>
                  <w:tcW w:w="284" w:type="pct"/>
                  <w:tcBorders>
                    <w:tl2br w:val="nil"/>
                    <w:tr2bl w:val="nil"/>
                  </w:tcBorders>
                  <w:noWrap w:val="0"/>
                  <w:vAlign w:val="center"/>
                </w:tcPr>
                <w:p w14:paraId="1D09CC77">
                  <w:pPr>
                    <w:pStyle w:val="28"/>
                    <w:bidi w:val="0"/>
                    <w:rPr>
                      <w:rFonts w:hint="default" w:cs="Times New Roman"/>
                      <w:color w:val="auto"/>
                      <w:lang w:val="en-US" w:eastAsia="zh-CN"/>
                    </w:rPr>
                  </w:pPr>
                  <w:r>
                    <w:rPr>
                      <w:rFonts w:hint="eastAsia" w:cs="Times New Roman"/>
                      <w:color w:val="auto"/>
                      <w:lang w:val="en-US" w:eastAsia="zh-CN"/>
                    </w:rPr>
                    <w:t>1</w:t>
                  </w:r>
                </w:p>
              </w:tc>
              <w:tc>
                <w:tcPr>
                  <w:tcW w:w="596" w:type="pct"/>
                  <w:tcBorders>
                    <w:tl2br w:val="nil"/>
                    <w:tr2bl w:val="nil"/>
                  </w:tcBorders>
                  <w:noWrap w:val="0"/>
                  <w:vAlign w:val="center"/>
                </w:tcPr>
                <w:p w14:paraId="0DAD5C38">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居民</w:t>
                  </w:r>
                </w:p>
              </w:tc>
              <w:tc>
                <w:tcPr>
                  <w:tcW w:w="440" w:type="pct"/>
                  <w:tcBorders>
                    <w:tl2br w:val="nil"/>
                    <w:tr2bl w:val="nil"/>
                  </w:tcBorders>
                  <w:noWrap w:val="0"/>
                  <w:vAlign w:val="center"/>
                </w:tcPr>
                <w:p w14:paraId="4197D359">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东</w:t>
                  </w:r>
                </w:p>
              </w:tc>
              <w:tc>
                <w:tcPr>
                  <w:tcW w:w="560" w:type="pct"/>
                  <w:tcBorders>
                    <w:tl2br w:val="nil"/>
                    <w:tr2bl w:val="nil"/>
                  </w:tcBorders>
                  <w:noWrap w:val="0"/>
                  <w:vAlign w:val="center"/>
                </w:tcPr>
                <w:p w14:paraId="0A654B01">
                  <w:pPr>
                    <w:pStyle w:val="28"/>
                    <w:bidi w:val="0"/>
                    <w:rPr>
                      <w:rFonts w:hint="default" w:cs="Times New Roman"/>
                      <w:color w:val="auto"/>
                      <w:lang w:val="en-US" w:eastAsia="zh-CN"/>
                    </w:rPr>
                  </w:pPr>
                  <w:r>
                    <w:rPr>
                      <w:rFonts w:hint="eastAsia" w:cs="Times New Roman"/>
                      <w:color w:val="auto"/>
                      <w:lang w:val="en-US" w:eastAsia="zh-CN"/>
                    </w:rPr>
                    <w:t>30</w:t>
                  </w:r>
                </w:p>
              </w:tc>
              <w:tc>
                <w:tcPr>
                  <w:tcW w:w="954" w:type="pct"/>
                  <w:tcBorders>
                    <w:tl2br w:val="nil"/>
                    <w:tr2bl w:val="nil"/>
                  </w:tcBorders>
                  <w:noWrap w:val="0"/>
                  <w:vAlign w:val="center"/>
                </w:tcPr>
                <w:p w14:paraId="0B139E82">
                  <w:pPr>
                    <w:pStyle w:val="28"/>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《声环境质量标准》（GB3096-2008）中2类标准限值</w:t>
                  </w:r>
                </w:p>
              </w:tc>
              <w:tc>
                <w:tcPr>
                  <w:tcW w:w="778" w:type="pct"/>
                  <w:tcBorders>
                    <w:tl2br w:val="nil"/>
                    <w:tr2bl w:val="nil"/>
                  </w:tcBorders>
                  <w:noWrap w:val="0"/>
                  <w:vAlign w:val="center"/>
                </w:tcPr>
                <w:p w14:paraId="2CE7E19E">
                  <w:pPr>
                    <w:pStyle w:val="28"/>
                    <w:bidi w:val="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居民楼均为</w:t>
                  </w:r>
                  <w:r>
                    <w:rPr>
                      <w:rFonts w:hint="eastAsia" w:cs="Times New Roman"/>
                      <w:color w:val="auto"/>
                      <w:lang w:val="en-US" w:eastAsia="zh-CN"/>
                    </w:rPr>
                    <w:t>6</w:t>
                  </w:r>
                  <w:r>
                    <w:rPr>
                      <w:rFonts w:hint="eastAsia" w:ascii="Times New Roman" w:hAnsi="Times New Roman" w:cs="Times New Roman"/>
                      <w:color w:val="auto"/>
                      <w:lang w:val="en-US" w:eastAsia="zh-CN"/>
                    </w:rPr>
                    <w:t>层，南北朝向</w:t>
                  </w:r>
                </w:p>
              </w:tc>
            </w:tr>
          </w:tbl>
          <w:p w14:paraId="4E594D6F">
            <w:pPr>
              <w:pStyle w:val="29"/>
              <w:bidi w:val="0"/>
              <w:rPr>
                <w:rFonts w:hint="default" w:eastAsia="宋体"/>
                <w:color w:val="auto"/>
                <w:lang w:val="en-US"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lang w:val="en-US" w:eastAsia="zh-CN"/>
              </w:rPr>
              <w:t>地表水环境</w:t>
            </w:r>
          </w:p>
          <w:p w14:paraId="305E0CA3">
            <w:pPr>
              <w:pStyle w:val="29"/>
              <w:bidi w:val="0"/>
              <w:rPr>
                <w:color w:val="auto"/>
              </w:rPr>
            </w:pPr>
            <w:r>
              <w:rPr>
                <w:color w:val="auto"/>
              </w:rPr>
              <w:t>本项目为动物医院项目，租赁现有</w:t>
            </w:r>
            <w:r>
              <w:rPr>
                <w:rFonts w:hint="eastAsia"/>
                <w:color w:val="auto"/>
                <w:lang w:val="en-US" w:eastAsia="zh-CN"/>
              </w:rPr>
              <w:t>闲置</w:t>
            </w:r>
            <w:r>
              <w:rPr>
                <w:color w:val="auto"/>
              </w:rPr>
              <w:t>商铺</w:t>
            </w:r>
            <w:r>
              <w:rPr>
                <w:rFonts w:hint="eastAsia"/>
                <w:color w:val="auto"/>
                <w:lang w:val="en-US" w:eastAsia="zh-CN"/>
              </w:rPr>
              <w:t>一层</w:t>
            </w:r>
            <w:r>
              <w:rPr>
                <w:color w:val="auto"/>
              </w:rPr>
              <w:t>，地面已做硬化处理，</w:t>
            </w:r>
            <w:r>
              <w:rPr>
                <w:color w:val="auto"/>
                <w:lang w:val="en-US" w:eastAsia="en-US"/>
              </w:rPr>
              <w:t>本项目医疗废水</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清洗消毒废水</w:t>
            </w:r>
            <w:r>
              <w:rPr>
                <w:color w:val="auto"/>
                <w:lang w:val="en-US" w:eastAsia="en-US"/>
              </w:rPr>
              <w:t>经</w:t>
            </w:r>
            <w:r>
              <w:rPr>
                <w:rFonts w:hint="eastAsia"/>
                <w:color w:val="auto"/>
                <w:lang w:val="en-US" w:eastAsia="zh-CN"/>
              </w:rPr>
              <w:t>预</w:t>
            </w:r>
            <w:r>
              <w:rPr>
                <w:color w:val="auto"/>
                <w:lang w:val="en-US" w:eastAsia="en-US"/>
              </w:rPr>
              <w:t>处理后与</w:t>
            </w:r>
            <w:r>
              <w:rPr>
                <w:rFonts w:hint="eastAsia"/>
                <w:color w:val="auto"/>
                <w:lang w:val="en-US" w:eastAsia="zh-CN"/>
              </w:rPr>
              <w:t>生活污水经</w:t>
            </w:r>
            <w:r>
              <w:rPr>
                <w:color w:val="auto"/>
                <w:lang w:val="en-US" w:eastAsia="en-US"/>
              </w:rPr>
              <w:t>市政污水</w:t>
            </w:r>
            <w:r>
              <w:rPr>
                <w:rFonts w:hint="eastAsia"/>
                <w:color w:val="auto"/>
                <w:lang w:val="en-US" w:eastAsia="zh-CN"/>
              </w:rPr>
              <w:t>管</w:t>
            </w:r>
            <w:r>
              <w:rPr>
                <w:color w:val="auto"/>
                <w:lang w:val="en-US" w:eastAsia="en-US"/>
              </w:rPr>
              <w:t>网</w:t>
            </w:r>
            <w:r>
              <w:rPr>
                <w:rFonts w:hint="eastAsia"/>
                <w:color w:val="auto"/>
                <w:lang w:val="en-US" w:eastAsia="zh-CN"/>
              </w:rPr>
              <w:t>排入库尔勒市老城区污水处理厂</w:t>
            </w:r>
            <w:r>
              <w:rPr>
                <w:color w:val="auto"/>
              </w:rPr>
              <w:t>，</w:t>
            </w:r>
            <w:r>
              <w:rPr>
                <w:color w:val="auto"/>
                <w:sz w:val="24"/>
                <w:szCs w:val="24"/>
              </w:rPr>
              <w:t>属于间接排放，无地表水受纳水体，无地表水环境保护目标</w:t>
            </w:r>
            <w:r>
              <w:rPr>
                <w:rFonts w:hint="eastAsia"/>
                <w:color w:val="auto"/>
                <w:sz w:val="24"/>
                <w:szCs w:val="24"/>
                <w:lang w:eastAsia="zh-CN"/>
              </w:rPr>
              <w:t>。</w:t>
            </w:r>
          </w:p>
          <w:p w14:paraId="091CC60D">
            <w:pPr>
              <w:pStyle w:val="29"/>
              <w:bidi w:val="0"/>
              <w:rPr>
                <w:rFonts w:hint="default"/>
                <w:color w:val="auto"/>
              </w:rPr>
            </w:pPr>
            <w:r>
              <w:rPr>
                <w:rFonts w:hint="default"/>
                <w:color w:val="auto"/>
              </w:rPr>
              <w:t>（</w:t>
            </w:r>
            <w:r>
              <w:rPr>
                <w:rFonts w:hint="eastAsia"/>
                <w:color w:val="auto"/>
                <w:lang w:val="en-US" w:eastAsia="zh-CN"/>
              </w:rPr>
              <w:t>4</w:t>
            </w:r>
            <w:r>
              <w:rPr>
                <w:rFonts w:hint="default"/>
                <w:color w:val="auto"/>
              </w:rPr>
              <w:t>）地下水环境</w:t>
            </w:r>
          </w:p>
          <w:p w14:paraId="20C0737E">
            <w:pPr>
              <w:keepNext w:val="0"/>
              <w:keepLines w:val="0"/>
              <w:widowControl/>
              <w:suppressLineNumbers w:val="0"/>
              <w:spacing w:line="360" w:lineRule="auto"/>
              <w:ind w:firstLine="480" w:firstLineChars="200"/>
              <w:jc w:val="left"/>
              <w:rPr>
                <w:rFonts w:hint="eastAsia" w:ascii="Times New Roman" w:hAnsi="Times New Roman" w:eastAsia="宋体" w:cs="Times New Roman"/>
                <w:b w:val="0"/>
                <w:bCs w:val="0"/>
                <w:snapToGrid w:val="0"/>
                <w:color w:val="auto"/>
                <w:kern w:val="3"/>
                <w:sz w:val="24"/>
                <w:szCs w:val="24"/>
                <w:lang w:val="en-US" w:eastAsia="zh-CN" w:bidi="ar-SA"/>
              </w:rPr>
            </w:pPr>
            <w:r>
              <w:rPr>
                <w:rFonts w:hint="eastAsia" w:ascii="Times New Roman" w:hAnsi="Times New Roman" w:eastAsia="宋体" w:cs="Times New Roman"/>
                <w:b w:val="0"/>
                <w:bCs w:val="0"/>
                <w:snapToGrid w:val="0"/>
                <w:color w:val="auto"/>
                <w:kern w:val="3"/>
                <w:sz w:val="24"/>
                <w:szCs w:val="24"/>
                <w:lang w:val="en-US" w:eastAsia="zh-CN" w:bidi="ar-SA"/>
              </w:rPr>
              <w:t>厂界外</w:t>
            </w:r>
            <w:r>
              <w:rPr>
                <w:rFonts w:hint="default" w:ascii="Times New Roman" w:hAnsi="Times New Roman" w:eastAsia="宋体" w:cs="Times New Roman"/>
                <w:b w:val="0"/>
                <w:bCs w:val="0"/>
                <w:snapToGrid w:val="0"/>
                <w:color w:val="auto"/>
                <w:kern w:val="3"/>
                <w:sz w:val="24"/>
                <w:szCs w:val="24"/>
                <w:lang w:val="en-US" w:eastAsia="zh-CN" w:bidi="ar-SA"/>
              </w:rPr>
              <w:t>500</w:t>
            </w:r>
            <w:r>
              <w:rPr>
                <w:color w:val="auto"/>
              </w:rPr>
              <w:t>m</w:t>
            </w:r>
            <w:r>
              <w:rPr>
                <w:rFonts w:hint="eastAsia" w:ascii="Times New Roman" w:hAnsi="Times New Roman" w:eastAsia="宋体" w:cs="Times New Roman"/>
                <w:b w:val="0"/>
                <w:bCs w:val="0"/>
                <w:snapToGrid w:val="0"/>
                <w:color w:val="auto"/>
                <w:kern w:val="3"/>
                <w:sz w:val="24"/>
                <w:szCs w:val="24"/>
                <w:lang w:val="en-US" w:eastAsia="zh-CN" w:bidi="ar-SA"/>
              </w:rPr>
              <w:t>范围内无地下水集中式饮用水水源和热水、矿泉水、温泉等特殊地下水资源。</w:t>
            </w:r>
          </w:p>
          <w:p w14:paraId="248A812B">
            <w:pPr>
              <w:pStyle w:val="29"/>
              <w:bidi w:val="0"/>
              <w:rPr>
                <w:rFonts w:hint="default"/>
                <w:color w:val="auto"/>
              </w:rPr>
            </w:pPr>
            <w:r>
              <w:rPr>
                <w:rFonts w:hint="default"/>
                <w:color w:val="auto"/>
              </w:rPr>
              <w:t>（</w:t>
            </w:r>
            <w:r>
              <w:rPr>
                <w:rFonts w:hint="eastAsia"/>
                <w:color w:val="auto"/>
                <w:lang w:val="en-US" w:eastAsia="zh-CN"/>
              </w:rPr>
              <w:t>5</w:t>
            </w:r>
            <w:r>
              <w:rPr>
                <w:rFonts w:hint="default"/>
                <w:color w:val="auto"/>
              </w:rPr>
              <w:t>）生态环境</w:t>
            </w:r>
          </w:p>
          <w:p w14:paraId="179461A0">
            <w:pPr>
              <w:pStyle w:val="29"/>
              <w:bidi w:val="0"/>
              <w:rPr>
                <w:rFonts w:hint="default"/>
                <w:color w:val="auto"/>
              </w:rPr>
            </w:pPr>
            <w:r>
              <w:rPr>
                <w:color w:val="auto"/>
              </w:rPr>
              <w:t>本项目位于</w:t>
            </w:r>
            <w:r>
              <w:rPr>
                <w:rFonts w:hint="eastAsia"/>
                <w:color w:val="auto"/>
                <w:lang w:val="en-US" w:eastAsia="zh-CN"/>
              </w:rPr>
              <w:t>城市</w:t>
            </w:r>
            <w:r>
              <w:rPr>
                <w:color w:val="auto"/>
              </w:rPr>
              <w:t>建成区，租赁现有闲置商铺，无新增用地，周围无生态环境保护目标，无需开展生态现状调查。</w:t>
            </w:r>
          </w:p>
        </w:tc>
      </w:tr>
      <w:tr w14:paraId="672F8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8" w:hRule="atLeast"/>
        </w:trPr>
        <w:tc>
          <w:tcPr>
            <w:tcW w:w="725" w:type="dxa"/>
            <w:tcBorders>
              <w:left w:val="single" w:color="000000" w:sz="6" w:space="0"/>
            </w:tcBorders>
            <w:vAlign w:val="center"/>
          </w:tcPr>
          <w:p w14:paraId="0316D19C">
            <w:pPr>
              <w:bidi w:val="0"/>
              <w:jc w:val="both"/>
              <w:rPr>
                <w:rFonts w:hint="default"/>
                <w:color w:val="auto"/>
              </w:rPr>
            </w:pPr>
            <w:r>
              <w:rPr>
                <w:rFonts w:hint="default"/>
                <w:color w:val="auto"/>
              </w:rPr>
              <w:t>污染物排放控制标准</w:t>
            </w:r>
          </w:p>
        </w:tc>
        <w:tc>
          <w:tcPr>
            <w:tcW w:w="8269" w:type="dxa"/>
            <w:tcBorders>
              <w:right w:val="single" w:color="000000" w:sz="6" w:space="0"/>
            </w:tcBorders>
            <w:vAlign w:val="center"/>
          </w:tcPr>
          <w:p w14:paraId="6C729B59">
            <w:pPr>
              <w:pStyle w:val="3"/>
              <w:bidi w:val="0"/>
              <w:rPr>
                <w:color w:val="auto"/>
                <w:lang w:eastAsia="zh-CN"/>
              </w:rPr>
            </w:pPr>
            <w:r>
              <w:rPr>
                <w:rFonts w:hint="eastAsia"/>
                <w:color w:val="auto"/>
                <w:lang w:val="en-US" w:eastAsia="zh-CN"/>
              </w:rPr>
              <w:t>3.7、</w:t>
            </w:r>
            <w:r>
              <w:rPr>
                <w:rFonts w:hint="eastAsia"/>
                <w:color w:val="auto"/>
                <w:lang w:eastAsia="zh-CN"/>
              </w:rPr>
              <w:t>废气排放标准</w:t>
            </w:r>
          </w:p>
          <w:p w14:paraId="76473073">
            <w:pPr>
              <w:pStyle w:val="29"/>
              <w:bidi w:val="0"/>
              <w:rPr>
                <w:color w:val="auto"/>
                <w:lang w:eastAsia="zh-CN"/>
              </w:rPr>
            </w:pPr>
            <w:r>
              <w:rPr>
                <w:color w:val="auto"/>
              </w:rPr>
              <w:t>运营过程中废气主要</w:t>
            </w:r>
            <w:r>
              <w:rPr>
                <w:rFonts w:hint="default" w:ascii="Times New Roman" w:hAnsi="Times New Roman" w:eastAsia="宋体" w:cs="Times New Roman"/>
                <w:bCs/>
                <w:snapToGrid w:val="0"/>
                <w:color w:val="auto"/>
                <w:spacing w:val="8"/>
                <w:kern w:val="0"/>
                <w:sz w:val="24"/>
                <w:szCs w:val="72"/>
                <w:lang w:val="en-US" w:eastAsia="zh-CN"/>
              </w:rPr>
              <w:t>为宠物本身散发</w:t>
            </w:r>
            <w:r>
              <w:rPr>
                <w:rFonts w:hint="eastAsia" w:ascii="Times New Roman" w:hAnsi="Times New Roman" w:eastAsia="宋体" w:cs="Times New Roman"/>
                <w:bCs/>
                <w:snapToGrid w:val="0"/>
                <w:color w:val="auto"/>
                <w:spacing w:val="8"/>
                <w:kern w:val="0"/>
                <w:sz w:val="24"/>
                <w:szCs w:val="72"/>
                <w:lang w:val="en-US" w:eastAsia="zh-CN"/>
              </w:rPr>
              <w:t>、</w:t>
            </w:r>
            <w:r>
              <w:rPr>
                <w:rFonts w:hint="default" w:ascii="Times New Roman" w:hAnsi="Times New Roman" w:cs="Times New Roman"/>
                <w:color w:val="auto"/>
                <w:highlight w:val="none"/>
              </w:rPr>
              <w:t>污水设施周边</w:t>
            </w:r>
            <w:r>
              <w:rPr>
                <w:rFonts w:hint="eastAsia" w:cs="Times New Roman"/>
                <w:color w:val="auto"/>
                <w:highlight w:val="none"/>
                <w:lang w:eastAsia="zh-CN"/>
              </w:rPr>
              <w:t>、</w:t>
            </w:r>
            <w:r>
              <w:rPr>
                <w:rFonts w:hint="eastAsia" w:ascii="Times New Roman" w:hAnsi="Times New Roman" w:eastAsia="宋体" w:cs="Times New Roman"/>
                <w:bCs/>
                <w:snapToGrid w:val="0"/>
                <w:color w:val="auto"/>
                <w:spacing w:val="8"/>
                <w:kern w:val="0"/>
                <w:sz w:val="24"/>
                <w:szCs w:val="72"/>
                <w:lang w:val="en-US" w:eastAsia="zh-CN"/>
              </w:rPr>
              <w:t>医疗废物贮存间</w:t>
            </w:r>
            <w:r>
              <w:rPr>
                <w:rFonts w:hint="default" w:ascii="Times New Roman" w:hAnsi="Times New Roman" w:eastAsia="宋体" w:cs="Times New Roman"/>
                <w:bCs/>
                <w:snapToGrid w:val="0"/>
                <w:color w:val="auto"/>
                <w:spacing w:val="8"/>
                <w:kern w:val="0"/>
                <w:sz w:val="24"/>
                <w:szCs w:val="72"/>
                <w:lang w:val="en-US" w:eastAsia="zh-CN"/>
              </w:rPr>
              <w:t>产生的少量异味，以臭气浓度表征，</w:t>
            </w:r>
            <w:r>
              <w:rPr>
                <w:color w:val="auto"/>
              </w:rPr>
              <w:t>废气排放执行《恶臭污染物排放标准》（GB14554-93）中表</w:t>
            </w:r>
            <w:r>
              <w:rPr>
                <w:rFonts w:hint="default"/>
                <w:color w:val="auto"/>
              </w:rPr>
              <w:t>1</w:t>
            </w:r>
            <w:r>
              <w:rPr>
                <w:color w:val="auto"/>
              </w:rPr>
              <w:t>中相关标准限值，见表</w:t>
            </w:r>
            <w:r>
              <w:rPr>
                <w:rFonts w:hint="default"/>
                <w:color w:val="auto"/>
              </w:rPr>
              <w:t>3-</w:t>
            </w:r>
            <w:r>
              <w:rPr>
                <w:rFonts w:hint="eastAsia"/>
                <w:color w:val="auto"/>
                <w:lang w:val="en-US" w:eastAsia="zh-CN"/>
              </w:rPr>
              <w:t>5</w:t>
            </w:r>
            <w:r>
              <w:rPr>
                <w:color w:val="auto"/>
              </w:rPr>
              <w:t>。</w:t>
            </w:r>
          </w:p>
          <w:p w14:paraId="26491C3C">
            <w:pPr>
              <w:pStyle w:val="22"/>
              <w:bidi w:val="0"/>
              <w:rPr>
                <w:rFonts w:hint="eastAsia"/>
                <w:color w:val="auto"/>
                <w:lang w:eastAsia="zh-CN"/>
              </w:rPr>
            </w:pPr>
            <w:r>
              <w:rPr>
                <w:rFonts w:hint="eastAsia"/>
                <w:color w:val="auto"/>
                <w:lang w:eastAsia="zh-CN"/>
              </w:rPr>
              <w:t>表3-</w:t>
            </w:r>
            <w:r>
              <w:rPr>
                <w:rFonts w:hint="eastAsia"/>
                <w:color w:val="auto"/>
                <w:lang w:val="en-US" w:eastAsia="zh-CN"/>
              </w:rPr>
              <w:t xml:space="preserve">5   </w:t>
            </w:r>
            <w:r>
              <w:rPr>
                <w:rFonts w:hint="eastAsia"/>
                <w:color w:val="auto"/>
                <w:lang w:eastAsia="zh-CN"/>
              </w:rPr>
              <w:t>废气污染物最高允许浓度</w:t>
            </w:r>
          </w:p>
          <w:tbl>
            <w:tblPr>
              <w:tblStyle w:val="1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521"/>
              <w:gridCol w:w="928"/>
              <w:gridCol w:w="5110"/>
            </w:tblGrid>
            <w:tr w14:paraId="232844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2" w:type="pct"/>
                  <w:tcBorders>
                    <w:tl2br w:val="nil"/>
                    <w:tr2bl w:val="nil"/>
                  </w:tcBorders>
                  <w:noWrap w:val="0"/>
                  <w:vAlign w:val="center"/>
                </w:tcPr>
                <w:p w14:paraId="58E8BEE1">
                  <w:pPr>
                    <w:pStyle w:val="28"/>
                    <w:widowControl w:val="0"/>
                    <w:bidi w:val="0"/>
                    <w:rPr>
                      <w:rFonts w:hint="default" w:ascii="Times New Roman" w:hAnsi="宋体" w:eastAsia="宋体" w:cs="Times New Roman"/>
                      <w:b/>
                      <w:bCs w:val="0"/>
                      <w:color w:val="auto"/>
                      <w:kern w:val="2"/>
                      <w:szCs w:val="21"/>
                      <w:lang w:val="en-US" w:eastAsia="zh-CN"/>
                    </w:rPr>
                  </w:pPr>
                  <w:r>
                    <w:rPr>
                      <w:rFonts w:hint="eastAsia"/>
                      <w:b/>
                      <w:bCs w:val="0"/>
                      <w:color w:val="auto"/>
                      <w:lang w:val="en-US" w:eastAsia="zh-CN"/>
                    </w:rPr>
                    <w:t>序号</w:t>
                  </w:r>
                </w:p>
              </w:tc>
              <w:tc>
                <w:tcPr>
                  <w:tcW w:w="921" w:type="pct"/>
                  <w:tcBorders>
                    <w:tl2br w:val="nil"/>
                    <w:tr2bl w:val="nil"/>
                  </w:tcBorders>
                  <w:noWrap w:val="0"/>
                  <w:vAlign w:val="center"/>
                </w:tcPr>
                <w:p w14:paraId="06B67E9A">
                  <w:pPr>
                    <w:pStyle w:val="28"/>
                    <w:widowControl w:val="0"/>
                    <w:bidi w:val="0"/>
                    <w:rPr>
                      <w:rFonts w:hint="default" w:ascii="Times New Roman" w:hAnsi="宋体" w:eastAsia="宋体" w:cs="Times New Roman"/>
                      <w:b/>
                      <w:bCs w:val="0"/>
                      <w:color w:val="auto"/>
                      <w:kern w:val="2"/>
                      <w:szCs w:val="21"/>
                      <w:lang w:val="en-US" w:eastAsia="zh-CN"/>
                    </w:rPr>
                  </w:pPr>
                  <w:r>
                    <w:rPr>
                      <w:rFonts w:hint="eastAsia"/>
                      <w:b/>
                      <w:bCs w:val="0"/>
                      <w:color w:val="auto"/>
                      <w:lang w:val="en-US" w:eastAsia="zh-CN"/>
                    </w:rPr>
                    <w:t>监测因子</w:t>
                  </w:r>
                </w:p>
              </w:tc>
              <w:tc>
                <w:tcPr>
                  <w:tcW w:w="562" w:type="pct"/>
                  <w:tcBorders>
                    <w:tl2br w:val="nil"/>
                    <w:tr2bl w:val="nil"/>
                  </w:tcBorders>
                  <w:noWrap w:val="0"/>
                  <w:vAlign w:val="center"/>
                </w:tcPr>
                <w:p w14:paraId="31C85D33">
                  <w:pPr>
                    <w:pStyle w:val="28"/>
                    <w:widowControl w:val="0"/>
                    <w:bidi w:val="0"/>
                    <w:rPr>
                      <w:rFonts w:hint="default" w:ascii="Times New Roman" w:hAnsi="宋体" w:eastAsia="宋体" w:cs="Times New Roman"/>
                      <w:b/>
                      <w:bCs w:val="0"/>
                      <w:color w:val="auto"/>
                      <w:kern w:val="2"/>
                      <w:szCs w:val="21"/>
                      <w:lang w:val="en-US" w:eastAsia="zh-CN"/>
                    </w:rPr>
                  </w:pPr>
                  <w:r>
                    <w:rPr>
                      <w:rFonts w:hint="eastAsia"/>
                      <w:b/>
                      <w:bCs w:val="0"/>
                      <w:color w:val="auto"/>
                      <w:lang w:val="en-US" w:eastAsia="zh-CN"/>
                    </w:rPr>
                    <w:t>标准值</w:t>
                  </w:r>
                </w:p>
              </w:tc>
              <w:tc>
                <w:tcPr>
                  <w:tcW w:w="3094" w:type="pct"/>
                  <w:tcBorders>
                    <w:tl2br w:val="nil"/>
                    <w:tr2bl w:val="nil"/>
                  </w:tcBorders>
                  <w:noWrap w:val="0"/>
                  <w:vAlign w:val="center"/>
                </w:tcPr>
                <w:p w14:paraId="515D9539">
                  <w:pPr>
                    <w:pStyle w:val="28"/>
                    <w:widowControl w:val="0"/>
                    <w:bidi w:val="0"/>
                    <w:rPr>
                      <w:rFonts w:hint="default" w:ascii="Times New Roman" w:hAnsi="宋体" w:eastAsia="宋体" w:cs="Times New Roman"/>
                      <w:b/>
                      <w:bCs w:val="0"/>
                      <w:color w:val="auto"/>
                      <w:kern w:val="2"/>
                      <w:szCs w:val="21"/>
                      <w:lang w:val="en-US" w:eastAsia="zh-CN"/>
                    </w:rPr>
                  </w:pPr>
                  <w:r>
                    <w:rPr>
                      <w:rFonts w:hint="eastAsia"/>
                      <w:b/>
                      <w:bCs w:val="0"/>
                      <w:color w:val="auto"/>
                      <w:lang w:val="en-US" w:eastAsia="zh-CN"/>
                    </w:rPr>
                    <w:t>标准依据</w:t>
                  </w:r>
                </w:p>
              </w:tc>
            </w:tr>
            <w:tr w14:paraId="7A16F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2" w:type="pct"/>
                  <w:tcBorders>
                    <w:tl2br w:val="nil"/>
                    <w:tr2bl w:val="nil"/>
                  </w:tcBorders>
                  <w:noWrap w:val="0"/>
                  <w:vAlign w:val="center"/>
                </w:tcPr>
                <w:p w14:paraId="12A5DDD0">
                  <w:pPr>
                    <w:pStyle w:val="28"/>
                    <w:widowControl w:val="0"/>
                    <w:bidi w:val="0"/>
                    <w:rPr>
                      <w:rFonts w:hint="default" w:ascii="Times New Roman" w:hAnsi="宋体" w:eastAsia="宋体" w:cs="Times New Roman"/>
                      <w:color w:val="auto"/>
                      <w:kern w:val="2"/>
                      <w:szCs w:val="21"/>
                      <w:lang w:val="en-US" w:eastAsia="zh-CN"/>
                    </w:rPr>
                  </w:pPr>
                  <w:r>
                    <w:rPr>
                      <w:rFonts w:hint="eastAsia"/>
                      <w:color w:val="auto"/>
                      <w:lang w:val="en-US" w:eastAsia="zh-CN"/>
                    </w:rPr>
                    <w:t>1</w:t>
                  </w:r>
                </w:p>
              </w:tc>
              <w:tc>
                <w:tcPr>
                  <w:tcW w:w="921" w:type="pct"/>
                  <w:tcBorders>
                    <w:tl2br w:val="nil"/>
                    <w:tr2bl w:val="nil"/>
                  </w:tcBorders>
                  <w:noWrap w:val="0"/>
                  <w:vAlign w:val="center"/>
                </w:tcPr>
                <w:p w14:paraId="6E3E3C07">
                  <w:pPr>
                    <w:pStyle w:val="28"/>
                    <w:widowControl w:val="0"/>
                    <w:bidi w:val="0"/>
                    <w:rPr>
                      <w:rFonts w:hint="eastAsia"/>
                      <w:color w:val="auto"/>
                      <w:lang w:val="en-US" w:eastAsia="zh-CN"/>
                    </w:rPr>
                  </w:pPr>
                  <w:r>
                    <w:rPr>
                      <w:rFonts w:hint="eastAsia"/>
                      <w:color w:val="auto"/>
                      <w:lang w:val="en-US" w:eastAsia="zh-CN"/>
                    </w:rPr>
                    <w:t>臭气浓度</w:t>
                  </w:r>
                </w:p>
                <w:p w14:paraId="147A1382">
                  <w:pPr>
                    <w:pStyle w:val="28"/>
                    <w:widowControl w:val="0"/>
                    <w:bidi w:val="0"/>
                    <w:rPr>
                      <w:rFonts w:ascii="Times New Roman" w:hAnsi="宋体" w:eastAsia="宋体" w:cs="Times New Roman"/>
                      <w:color w:val="auto"/>
                      <w:kern w:val="2"/>
                      <w:szCs w:val="21"/>
                      <w:lang w:eastAsia="zh-CN"/>
                    </w:rPr>
                  </w:pPr>
                  <w:r>
                    <w:rPr>
                      <w:rFonts w:hint="eastAsia"/>
                      <w:color w:val="auto"/>
                      <w:lang w:val="en-US" w:eastAsia="zh-CN"/>
                    </w:rPr>
                    <w:t>（无量纲）</w:t>
                  </w:r>
                </w:p>
              </w:tc>
              <w:tc>
                <w:tcPr>
                  <w:tcW w:w="562" w:type="pct"/>
                  <w:tcBorders>
                    <w:tl2br w:val="nil"/>
                    <w:tr2bl w:val="nil"/>
                  </w:tcBorders>
                  <w:noWrap w:val="0"/>
                  <w:vAlign w:val="center"/>
                </w:tcPr>
                <w:p w14:paraId="0E2C2B05">
                  <w:pPr>
                    <w:pStyle w:val="28"/>
                    <w:widowControl w:val="0"/>
                    <w:bidi w:val="0"/>
                    <w:rPr>
                      <w:rFonts w:hint="default" w:ascii="Times New Roman" w:hAnsi="宋体" w:eastAsia="宋体" w:cs="Times New Roman"/>
                      <w:color w:val="auto"/>
                      <w:kern w:val="2"/>
                      <w:szCs w:val="21"/>
                      <w:lang w:val="en-US" w:eastAsia="zh-CN"/>
                    </w:rPr>
                  </w:pPr>
                  <w:r>
                    <w:rPr>
                      <w:rFonts w:hint="eastAsia"/>
                      <w:color w:val="auto"/>
                      <w:lang w:val="en-US" w:eastAsia="zh-CN"/>
                    </w:rPr>
                    <w:t>20</w:t>
                  </w:r>
                </w:p>
              </w:tc>
              <w:tc>
                <w:tcPr>
                  <w:tcW w:w="3094" w:type="pct"/>
                  <w:tcBorders>
                    <w:tl2br w:val="nil"/>
                    <w:tr2bl w:val="nil"/>
                  </w:tcBorders>
                  <w:noWrap w:val="0"/>
                  <w:vAlign w:val="center"/>
                </w:tcPr>
                <w:p w14:paraId="0D441F80">
                  <w:pPr>
                    <w:pStyle w:val="28"/>
                    <w:widowControl w:val="0"/>
                    <w:bidi w:val="0"/>
                    <w:rPr>
                      <w:rFonts w:ascii="Times New Roman" w:hAnsi="宋体" w:eastAsia="宋体" w:cs="Times New Roman"/>
                      <w:color w:val="auto"/>
                      <w:kern w:val="2"/>
                      <w:szCs w:val="21"/>
                      <w:lang w:eastAsia="zh-CN"/>
                    </w:rPr>
                  </w:pPr>
                  <w:r>
                    <w:rPr>
                      <w:rFonts w:hint="eastAsia"/>
                      <w:color w:val="auto"/>
                      <w:lang w:val="en-US" w:eastAsia="zh-CN"/>
                    </w:rPr>
                    <w:t>《恶臭污染物排放标准》（GB14554-93）中表</w:t>
                  </w:r>
                  <w:r>
                    <w:rPr>
                      <w:rFonts w:hint="default"/>
                      <w:color w:val="auto"/>
                      <w:lang w:val="en-US" w:eastAsia="zh-CN"/>
                    </w:rPr>
                    <w:t>1</w:t>
                  </w:r>
                </w:p>
              </w:tc>
            </w:tr>
          </w:tbl>
          <w:p w14:paraId="2673DCB1">
            <w:pPr>
              <w:pStyle w:val="3"/>
              <w:bidi w:val="0"/>
              <w:rPr>
                <w:rFonts w:hint="eastAsia"/>
                <w:color w:val="auto"/>
                <w:lang w:val="en-US" w:eastAsia="zh-CN"/>
              </w:rPr>
            </w:pPr>
            <w:r>
              <w:rPr>
                <w:rFonts w:hint="eastAsia"/>
                <w:color w:val="auto"/>
                <w:lang w:val="en-US" w:eastAsia="zh-CN"/>
              </w:rPr>
              <w:t>3.8、</w:t>
            </w:r>
            <w:r>
              <w:rPr>
                <w:color w:val="auto"/>
                <w:lang w:val="en-US" w:eastAsia="zh-CN"/>
              </w:rPr>
              <w:t>废水排放标准</w:t>
            </w:r>
          </w:p>
          <w:p w14:paraId="1798C7DB">
            <w:pPr>
              <w:pStyle w:val="29"/>
              <w:bidi w:val="0"/>
              <w:rPr>
                <w:rFonts w:hint="eastAsia"/>
                <w:color w:val="auto"/>
                <w:lang w:val="en-US" w:eastAsia="zh-CN"/>
              </w:rPr>
            </w:pPr>
            <w:r>
              <w:rPr>
                <w:rFonts w:hint="eastAsia"/>
                <w:color w:val="auto"/>
                <w:lang w:val="en-US" w:eastAsia="zh-CN"/>
              </w:rPr>
              <w:t>医疗</w:t>
            </w:r>
            <w:r>
              <w:rPr>
                <w:color w:val="auto"/>
                <w:lang w:eastAsia="zh-CN"/>
              </w:rPr>
              <w:t>废水</w:t>
            </w:r>
            <w:r>
              <w:rPr>
                <w:rFonts w:hint="eastAsia"/>
                <w:color w:val="auto"/>
                <w:lang w:val="en-US" w:eastAsia="zh-CN"/>
              </w:rPr>
              <w:t>处</w:t>
            </w:r>
            <w:r>
              <w:rPr>
                <w:color w:val="auto"/>
                <w:lang w:eastAsia="zh-CN"/>
              </w:rPr>
              <w:t>理设施出水执行</w:t>
            </w:r>
            <w:bookmarkStart w:id="10" w:name="OLE_LINK11"/>
            <w:r>
              <w:rPr>
                <w:color w:val="auto"/>
                <w:lang w:eastAsia="zh-CN"/>
              </w:rPr>
              <w:t>《医疗机构水污染物排放标准》</w:t>
            </w:r>
            <w:bookmarkEnd w:id="10"/>
            <w:r>
              <w:rPr>
                <w:rFonts w:hint="eastAsia" w:cs="Times New Roman"/>
                <w:color w:val="auto"/>
                <w:lang w:eastAsia="zh-CN"/>
              </w:rPr>
              <w:t>（GB 18466-2005，含2026年修改单）</w:t>
            </w:r>
            <w:r>
              <w:rPr>
                <w:rFonts w:hint="default" w:ascii="Times New Roman" w:hAnsi="Times New Roman" w:cs="Times New Roman"/>
                <w:color w:val="auto"/>
                <w:lang w:eastAsia="zh-CN"/>
              </w:rPr>
              <w:t>表2中的“预处理标准”相关标准限值</w:t>
            </w:r>
            <w:r>
              <w:rPr>
                <w:color w:val="auto"/>
                <w:lang w:eastAsia="zh-CN"/>
              </w:rPr>
              <w:t>，标准值见表</w:t>
            </w:r>
            <w:r>
              <w:rPr>
                <w:rFonts w:hint="default"/>
                <w:color w:val="auto"/>
                <w:lang w:eastAsia="zh-CN"/>
              </w:rPr>
              <w:t>3-</w:t>
            </w:r>
            <w:r>
              <w:rPr>
                <w:rFonts w:hint="eastAsia"/>
                <w:color w:val="auto"/>
                <w:lang w:val="en-US" w:eastAsia="zh-CN"/>
              </w:rPr>
              <w:t>6</w:t>
            </w:r>
            <w:r>
              <w:rPr>
                <w:color w:val="auto"/>
                <w:lang w:eastAsia="zh-CN"/>
              </w:rPr>
              <w:t>。</w:t>
            </w:r>
          </w:p>
          <w:p w14:paraId="5CEFE060">
            <w:pPr>
              <w:pStyle w:val="22"/>
              <w:bidi w:val="0"/>
              <w:ind w:left="0" w:leftChars="0" w:firstLine="0" w:firstLineChars="0"/>
              <w:jc w:val="both"/>
              <w:rPr>
                <w:color w:val="auto"/>
                <w:lang w:eastAsia="zh-CN"/>
              </w:rPr>
            </w:pPr>
            <w:r>
              <w:rPr>
                <w:rFonts w:hint="eastAsia"/>
                <w:color w:val="auto"/>
                <w:lang w:val="en-US" w:eastAsia="zh-CN"/>
              </w:rPr>
              <w:t>表</w:t>
            </w:r>
            <w:r>
              <w:rPr>
                <w:color w:val="auto"/>
                <w:lang w:val="en-US" w:eastAsia="zh-CN"/>
              </w:rPr>
              <w:t>3-</w:t>
            </w:r>
            <w:r>
              <w:rPr>
                <w:rFonts w:hint="eastAsia"/>
                <w:color w:val="auto"/>
                <w:lang w:val="en-US" w:eastAsia="zh-CN"/>
              </w:rPr>
              <w:t xml:space="preserve">6   </w:t>
            </w:r>
            <w:r>
              <w:rPr>
                <w:rFonts w:hint="eastAsia"/>
                <w:color w:val="auto"/>
                <w:lang w:eastAsia="zh-CN"/>
              </w:rPr>
              <w:t>废水</w:t>
            </w:r>
            <w:r>
              <w:rPr>
                <w:rFonts w:hint="eastAsia"/>
                <w:color w:val="auto"/>
                <w:lang w:val="en-US" w:eastAsia="zh-CN"/>
              </w:rPr>
              <w:t>综合医疗机构和其他医疗机构水污染物排放限值（日均值）</w:t>
            </w:r>
            <w:r>
              <w:rPr>
                <w:rFonts w:hint="eastAsia"/>
                <w:color w:val="auto"/>
                <w:lang w:eastAsia="zh-CN"/>
              </w:rPr>
              <w:t>单位：</w:t>
            </w:r>
            <w:r>
              <w:rPr>
                <w:color w:val="auto"/>
                <w:lang w:eastAsia="zh-CN"/>
              </w:rPr>
              <w:t>mg/L</w:t>
            </w:r>
          </w:p>
          <w:tbl>
            <w:tblPr>
              <w:tblStyle w:val="14"/>
              <w:tblW w:w="4998"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4111"/>
              <w:gridCol w:w="4144"/>
            </w:tblGrid>
            <w:tr w14:paraId="71B6D61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74" w:hRule="atLeast"/>
              </w:trPr>
              <w:tc>
                <w:tcPr>
                  <w:tcW w:w="2490" w:type="pct"/>
                  <w:tcBorders>
                    <w:top w:val="single" w:color="auto" w:sz="12" w:space="0"/>
                    <w:bottom w:val="single" w:color="auto" w:sz="12" w:space="0"/>
                    <w:right w:val="single" w:color="auto" w:sz="2" w:space="0"/>
                  </w:tcBorders>
                  <w:noWrap w:val="0"/>
                  <w:vAlign w:val="center"/>
                </w:tcPr>
                <w:p w14:paraId="6A1FE8FC">
                  <w:pPr>
                    <w:pStyle w:val="22"/>
                    <w:ind w:firstLine="480"/>
                    <w:rPr>
                      <w:rFonts w:hint="eastAsia" w:eastAsia="宋体"/>
                      <w:bCs w:val="0"/>
                      <w:color w:val="auto"/>
                      <w:lang w:val="en-US" w:eastAsia="zh-CN"/>
                    </w:rPr>
                  </w:pPr>
                  <w:r>
                    <w:rPr>
                      <w:rFonts w:hint="eastAsia"/>
                      <w:bCs w:val="0"/>
                      <w:color w:val="auto"/>
                      <w:lang w:val="en-US" w:eastAsia="zh-CN"/>
                    </w:rPr>
                    <w:t>控制项目</w:t>
                  </w:r>
                </w:p>
              </w:tc>
              <w:tc>
                <w:tcPr>
                  <w:tcW w:w="2509" w:type="pct"/>
                  <w:tcBorders>
                    <w:top w:val="single" w:color="auto" w:sz="12" w:space="0"/>
                    <w:left w:val="single" w:color="auto" w:sz="2" w:space="0"/>
                    <w:bottom w:val="single" w:color="auto" w:sz="12" w:space="0"/>
                  </w:tcBorders>
                  <w:noWrap w:val="0"/>
                  <w:vAlign w:val="center"/>
                </w:tcPr>
                <w:p w14:paraId="7C0AD530">
                  <w:pPr>
                    <w:pStyle w:val="22"/>
                    <w:ind w:firstLine="480"/>
                    <w:rPr>
                      <w:rFonts w:hint="default" w:eastAsia="宋体"/>
                      <w:bCs w:val="0"/>
                      <w:color w:val="auto"/>
                      <w:lang w:val="en-US" w:eastAsia="zh-CN"/>
                    </w:rPr>
                  </w:pPr>
                  <w:r>
                    <w:rPr>
                      <w:rFonts w:hint="eastAsia"/>
                      <w:color w:val="auto"/>
                      <w:lang w:val="en-US" w:eastAsia="zh-CN"/>
                    </w:rPr>
                    <w:t>预处理标准</w:t>
                  </w:r>
                </w:p>
              </w:tc>
            </w:tr>
            <w:tr w14:paraId="60A6E82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12" w:space="0"/>
                    <w:bottom w:val="single" w:color="auto" w:sz="2" w:space="0"/>
                    <w:right w:val="single" w:color="auto" w:sz="2" w:space="0"/>
                  </w:tcBorders>
                  <w:noWrap w:val="0"/>
                  <w:vAlign w:val="center"/>
                </w:tcPr>
                <w:p w14:paraId="1FE9C202">
                  <w:pPr>
                    <w:pStyle w:val="22"/>
                    <w:ind w:firstLine="480"/>
                    <w:rPr>
                      <w:b w:val="0"/>
                      <w:bCs w:val="0"/>
                      <w:color w:val="auto"/>
                      <w:sz w:val="21"/>
                    </w:rPr>
                  </w:pPr>
                  <w:r>
                    <w:rPr>
                      <w:b w:val="0"/>
                      <w:color w:val="auto"/>
                      <w:sz w:val="21"/>
                    </w:rPr>
                    <w:t>pH</w:t>
                  </w:r>
                </w:p>
              </w:tc>
              <w:tc>
                <w:tcPr>
                  <w:tcW w:w="2509" w:type="pct"/>
                  <w:tcBorders>
                    <w:top w:val="single" w:color="auto" w:sz="12" w:space="0"/>
                    <w:left w:val="single" w:color="auto" w:sz="2" w:space="0"/>
                    <w:bottom w:val="single" w:color="auto" w:sz="2" w:space="0"/>
                  </w:tcBorders>
                  <w:noWrap w:val="0"/>
                  <w:vAlign w:val="center"/>
                </w:tcPr>
                <w:p w14:paraId="4B5C6410">
                  <w:pPr>
                    <w:pStyle w:val="28"/>
                    <w:bidi w:val="0"/>
                    <w:rPr>
                      <w:bCs/>
                      <w:color w:val="auto"/>
                      <w:szCs w:val="21"/>
                    </w:rPr>
                  </w:pPr>
                  <w:r>
                    <w:rPr>
                      <w:color w:val="auto"/>
                    </w:rPr>
                    <w:t>6-9</w:t>
                  </w:r>
                </w:p>
              </w:tc>
            </w:tr>
            <w:tr w14:paraId="02AB89F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4A1AE18E">
                  <w:pPr>
                    <w:pStyle w:val="22"/>
                    <w:ind w:firstLine="480"/>
                    <w:rPr>
                      <w:b w:val="0"/>
                      <w:bCs w:val="0"/>
                      <w:color w:val="auto"/>
                      <w:sz w:val="21"/>
                    </w:rPr>
                  </w:pPr>
                  <w:r>
                    <w:rPr>
                      <w:b w:val="0"/>
                      <w:color w:val="auto"/>
                      <w:sz w:val="21"/>
                    </w:rPr>
                    <w:t>COD</w:t>
                  </w:r>
                </w:p>
              </w:tc>
              <w:tc>
                <w:tcPr>
                  <w:tcW w:w="2509" w:type="pct"/>
                  <w:tcBorders>
                    <w:top w:val="single" w:color="auto" w:sz="2" w:space="0"/>
                    <w:left w:val="single" w:color="auto" w:sz="2" w:space="0"/>
                    <w:bottom w:val="single" w:color="auto" w:sz="2" w:space="0"/>
                  </w:tcBorders>
                  <w:noWrap w:val="0"/>
                  <w:vAlign w:val="center"/>
                </w:tcPr>
                <w:p w14:paraId="060598DE">
                  <w:pPr>
                    <w:pStyle w:val="28"/>
                    <w:bidi w:val="0"/>
                    <w:rPr>
                      <w:rFonts w:hint="default" w:eastAsia="宋体"/>
                      <w:bCs/>
                      <w:color w:val="auto"/>
                      <w:szCs w:val="21"/>
                      <w:lang w:val="en-US" w:eastAsia="zh-CN"/>
                    </w:rPr>
                  </w:pPr>
                  <w:r>
                    <w:rPr>
                      <w:rFonts w:hint="eastAsia"/>
                      <w:color w:val="auto"/>
                      <w:lang w:val="en-US" w:eastAsia="zh-CN"/>
                    </w:rPr>
                    <w:t>250</w:t>
                  </w:r>
                </w:p>
              </w:tc>
            </w:tr>
            <w:tr w14:paraId="2CA0F12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6B595627">
                  <w:pPr>
                    <w:pStyle w:val="22"/>
                    <w:ind w:firstLine="480"/>
                    <w:rPr>
                      <w:b w:val="0"/>
                      <w:bCs w:val="0"/>
                      <w:color w:val="auto"/>
                      <w:sz w:val="21"/>
                    </w:rPr>
                  </w:pPr>
                  <w:r>
                    <w:rPr>
                      <w:b w:val="0"/>
                      <w:color w:val="auto"/>
                      <w:sz w:val="21"/>
                    </w:rPr>
                    <w:t>BOD</w:t>
                  </w:r>
                  <w:r>
                    <w:rPr>
                      <w:b w:val="0"/>
                      <w:color w:val="auto"/>
                      <w:sz w:val="21"/>
                      <w:vertAlign w:val="subscript"/>
                    </w:rPr>
                    <w:t>5</w:t>
                  </w:r>
                </w:p>
              </w:tc>
              <w:tc>
                <w:tcPr>
                  <w:tcW w:w="2509" w:type="pct"/>
                  <w:tcBorders>
                    <w:top w:val="single" w:color="auto" w:sz="2" w:space="0"/>
                    <w:left w:val="single" w:color="auto" w:sz="2" w:space="0"/>
                    <w:bottom w:val="single" w:color="auto" w:sz="2" w:space="0"/>
                  </w:tcBorders>
                  <w:noWrap w:val="0"/>
                  <w:vAlign w:val="center"/>
                </w:tcPr>
                <w:p w14:paraId="6785F314">
                  <w:pPr>
                    <w:pStyle w:val="28"/>
                    <w:bidi w:val="0"/>
                    <w:rPr>
                      <w:rFonts w:hint="default" w:eastAsia="宋体"/>
                      <w:bCs/>
                      <w:color w:val="auto"/>
                      <w:szCs w:val="21"/>
                      <w:lang w:val="en-US" w:eastAsia="zh-CN"/>
                    </w:rPr>
                  </w:pPr>
                  <w:r>
                    <w:rPr>
                      <w:rFonts w:hint="eastAsia"/>
                      <w:color w:val="auto"/>
                      <w:lang w:val="en-US" w:eastAsia="zh-CN"/>
                    </w:rPr>
                    <w:t>100</w:t>
                  </w:r>
                </w:p>
              </w:tc>
            </w:tr>
            <w:tr w14:paraId="199CB6F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1A3C5154">
                  <w:pPr>
                    <w:pStyle w:val="22"/>
                    <w:ind w:firstLine="480"/>
                    <w:rPr>
                      <w:b w:val="0"/>
                      <w:bCs w:val="0"/>
                      <w:color w:val="auto"/>
                      <w:sz w:val="21"/>
                    </w:rPr>
                  </w:pPr>
                  <w:r>
                    <w:rPr>
                      <w:b w:val="0"/>
                      <w:color w:val="auto"/>
                      <w:sz w:val="21"/>
                    </w:rPr>
                    <w:t>SS</w:t>
                  </w:r>
                </w:p>
              </w:tc>
              <w:tc>
                <w:tcPr>
                  <w:tcW w:w="2509" w:type="pct"/>
                  <w:tcBorders>
                    <w:top w:val="single" w:color="auto" w:sz="2" w:space="0"/>
                    <w:left w:val="single" w:color="auto" w:sz="2" w:space="0"/>
                    <w:bottom w:val="single" w:color="auto" w:sz="2" w:space="0"/>
                  </w:tcBorders>
                  <w:noWrap w:val="0"/>
                  <w:vAlign w:val="center"/>
                </w:tcPr>
                <w:p w14:paraId="02D576C8">
                  <w:pPr>
                    <w:pStyle w:val="28"/>
                    <w:bidi w:val="0"/>
                    <w:rPr>
                      <w:rFonts w:hint="default" w:eastAsia="宋体"/>
                      <w:bCs/>
                      <w:color w:val="auto"/>
                      <w:szCs w:val="21"/>
                      <w:lang w:val="en-US" w:eastAsia="zh-CN"/>
                    </w:rPr>
                  </w:pPr>
                  <w:r>
                    <w:rPr>
                      <w:rFonts w:hint="eastAsia"/>
                      <w:color w:val="auto"/>
                      <w:lang w:val="en-US" w:eastAsia="zh-CN"/>
                    </w:rPr>
                    <w:t>60</w:t>
                  </w:r>
                </w:p>
              </w:tc>
            </w:tr>
            <w:tr w14:paraId="4F49B14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7CBCB738">
                  <w:pPr>
                    <w:pStyle w:val="22"/>
                    <w:ind w:firstLine="480"/>
                    <w:rPr>
                      <w:rFonts w:hint="default"/>
                      <w:b w:val="0"/>
                      <w:bCs w:val="0"/>
                      <w:color w:val="auto"/>
                      <w:sz w:val="21"/>
                      <w:lang w:val="en-US" w:eastAsia="zh-CN"/>
                    </w:rPr>
                  </w:pPr>
                  <w:r>
                    <w:rPr>
                      <w:rFonts w:hint="eastAsia"/>
                      <w:b w:val="0"/>
                      <w:bCs w:val="0"/>
                      <w:color w:val="auto"/>
                      <w:sz w:val="21"/>
                      <w:highlight w:val="none"/>
                      <w:lang w:val="en-US" w:eastAsia="zh-CN"/>
                    </w:rPr>
                    <w:t>动植物油</w:t>
                  </w:r>
                </w:p>
              </w:tc>
              <w:tc>
                <w:tcPr>
                  <w:tcW w:w="2509" w:type="pct"/>
                  <w:tcBorders>
                    <w:top w:val="single" w:color="auto" w:sz="2" w:space="0"/>
                    <w:left w:val="single" w:color="auto" w:sz="2" w:space="0"/>
                    <w:bottom w:val="single" w:color="auto" w:sz="2" w:space="0"/>
                  </w:tcBorders>
                  <w:noWrap w:val="0"/>
                  <w:vAlign w:val="center"/>
                </w:tcPr>
                <w:p w14:paraId="6FFBB356">
                  <w:pPr>
                    <w:pStyle w:val="28"/>
                    <w:bidi w:val="0"/>
                    <w:rPr>
                      <w:rFonts w:hint="default"/>
                      <w:bCs/>
                      <w:color w:val="auto"/>
                      <w:szCs w:val="21"/>
                      <w:lang w:val="en-US" w:eastAsia="zh-CN"/>
                    </w:rPr>
                  </w:pPr>
                  <w:r>
                    <w:rPr>
                      <w:rFonts w:hint="eastAsia"/>
                      <w:color w:val="auto"/>
                      <w:lang w:val="en-US" w:eastAsia="zh-CN"/>
                    </w:rPr>
                    <w:t>20</w:t>
                  </w:r>
                </w:p>
              </w:tc>
            </w:tr>
            <w:tr w14:paraId="0A1ABBE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5A322258">
                  <w:pPr>
                    <w:pStyle w:val="22"/>
                    <w:ind w:firstLine="480"/>
                    <w:rPr>
                      <w:b w:val="0"/>
                      <w:bCs w:val="0"/>
                      <w:color w:val="auto"/>
                      <w:sz w:val="21"/>
                    </w:rPr>
                  </w:pPr>
                  <w:r>
                    <w:rPr>
                      <w:rFonts w:hint="eastAsia"/>
                      <w:b w:val="0"/>
                      <w:color w:val="auto"/>
                      <w:sz w:val="21"/>
                      <w:lang w:eastAsia="zh-CN"/>
                    </w:rPr>
                    <w:t>粪大肠菌群</w:t>
                  </w:r>
                  <w:r>
                    <w:rPr>
                      <w:rFonts w:hint="eastAsia"/>
                      <w:b w:val="0"/>
                      <w:color w:val="auto"/>
                      <w:sz w:val="21"/>
                    </w:rPr>
                    <w:t>数</w:t>
                  </w:r>
                  <w:r>
                    <w:rPr>
                      <w:rFonts w:hint="eastAsia"/>
                      <w:b w:val="0"/>
                      <w:color w:val="auto"/>
                      <w:sz w:val="21"/>
                      <w:lang w:val="en-US" w:eastAsia="zh-CN"/>
                    </w:rPr>
                    <w:t>/</w:t>
                  </w:r>
                  <w:r>
                    <w:rPr>
                      <w:rFonts w:hint="eastAsia"/>
                      <w:b w:val="0"/>
                      <w:color w:val="auto"/>
                      <w:sz w:val="21"/>
                    </w:rPr>
                    <w:t>（</w:t>
                  </w:r>
                  <w:bookmarkStart w:id="11" w:name="OLE_LINK40"/>
                  <w:r>
                    <w:rPr>
                      <w:b w:val="0"/>
                      <w:color w:val="auto"/>
                      <w:sz w:val="21"/>
                    </w:rPr>
                    <w:t>MPN/L</w:t>
                  </w:r>
                  <w:bookmarkEnd w:id="11"/>
                  <w:r>
                    <w:rPr>
                      <w:rFonts w:hint="eastAsia"/>
                      <w:b w:val="0"/>
                      <w:color w:val="auto"/>
                      <w:sz w:val="21"/>
                    </w:rPr>
                    <w:t>）</w:t>
                  </w:r>
                </w:p>
              </w:tc>
              <w:tc>
                <w:tcPr>
                  <w:tcW w:w="2509" w:type="pct"/>
                  <w:tcBorders>
                    <w:top w:val="single" w:color="auto" w:sz="2" w:space="0"/>
                    <w:left w:val="single" w:color="auto" w:sz="2" w:space="0"/>
                    <w:bottom w:val="single" w:color="auto" w:sz="2" w:space="0"/>
                  </w:tcBorders>
                  <w:noWrap w:val="0"/>
                  <w:vAlign w:val="center"/>
                </w:tcPr>
                <w:p w14:paraId="3CA161DA">
                  <w:pPr>
                    <w:pStyle w:val="28"/>
                    <w:bidi w:val="0"/>
                    <w:rPr>
                      <w:rFonts w:hint="default" w:eastAsia="宋体"/>
                      <w:bCs/>
                      <w:color w:val="auto"/>
                      <w:szCs w:val="21"/>
                      <w:lang w:val="en-US" w:eastAsia="zh-CN"/>
                    </w:rPr>
                  </w:pPr>
                  <w:r>
                    <w:rPr>
                      <w:rFonts w:hint="eastAsia"/>
                      <w:color w:val="auto"/>
                      <w:lang w:val="en-US" w:eastAsia="zh-CN"/>
                    </w:rPr>
                    <w:t>5000</w:t>
                  </w:r>
                </w:p>
              </w:tc>
            </w:tr>
            <w:tr w14:paraId="22F193E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1B4FD08D">
                  <w:pPr>
                    <w:pStyle w:val="22"/>
                    <w:ind w:firstLine="480"/>
                    <w:rPr>
                      <w:rFonts w:hint="default"/>
                      <w:b w:val="0"/>
                      <w:bCs w:val="0"/>
                      <w:color w:val="auto"/>
                      <w:sz w:val="21"/>
                      <w:lang w:val="en-US" w:eastAsia="zh-CN"/>
                    </w:rPr>
                  </w:pPr>
                  <w:r>
                    <w:rPr>
                      <w:rFonts w:hint="eastAsia"/>
                      <w:b w:val="0"/>
                      <w:bCs w:val="0"/>
                      <w:color w:val="auto"/>
                      <w:sz w:val="21"/>
                      <w:lang w:val="en-US" w:eastAsia="zh-CN"/>
                    </w:rPr>
                    <w:t>氨氮</w:t>
                  </w:r>
                </w:p>
              </w:tc>
              <w:tc>
                <w:tcPr>
                  <w:tcW w:w="2509" w:type="pct"/>
                  <w:tcBorders>
                    <w:top w:val="single" w:color="auto" w:sz="2" w:space="0"/>
                    <w:left w:val="single" w:color="auto" w:sz="2" w:space="0"/>
                    <w:bottom w:val="single" w:color="auto" w:sz="2" w:space="0"/>
                  </w:tcBorders>
                  <w:noWrap w:val="0"/>
                  <w:vAlign w:val="center"/>
                </w:tcPr>
                <w:p w14:paraId="68C4EDC5">
                  <w:pPr>
                    <w:pStyle w:val="28"/>
                    <w:bidi w:val="0"/>
                    <w:rPr>
                      <w:rFonts w:hint="default" w:eastAsia="宋体"/>
                      <w:bCs/>
                      <w:color w:val="auto"/>
                      <w:szCs w:val="21"/>
                      <w:lang w:val="en-US" w:eastAsia="zh-CN"/>
                    </w:rPr>
                  </w:pPr>
                  <w:r>
                    <w:rPr>
                      <w:rFonts w:hint="eastAsia"/>
                      <w:color w:val="auto"/>
                      <w:lang w:val="en-US" w:eastAsia="zh-CN"/>
                    </w:rPr>
                    <w:t>45</w:t>
                  </w:r>
                </w:p>
              </w:tc>
            </w:tr>
            <w:tr w14:paraId="73F80A9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12" w:space="0"/>
                    <w:right w:val="single" w:color="auto" w:sz="2" w:space="0"/>
                  </w:tcBorders>
                  <w:noWrap w:val="0"/>
                  <w:vAlign w:val="center"/>
                </w:tcPr>
                <w:p w14:paraId="3D3CA425">
                  <w:pPr>
                    <w:pStyle w:val="22"/>
                    <w:ind w:firstLine="480"/>
                    <w:rPr>
                      <w:b w:val="0"/>
                      <w:bCs w:val="0"/>
                      <w:color w:val="auto"/>
                      <w:sz w:val="21"/>
                    </w:rPr>
                  </w:pPr>
                  <w:r>
                    <w:rPr>
                      <w:rFonts w:hint="eastAsia"/>
                      <w:b w:val="0"/>
                      <w:color w:val="auto"/>
                      <w:sz w:val="21"/>
                    </w:rPr>
                    <w:t>总余氯</w:t>
                  </w:r>
                </w:p>
              </w:tc>
              <w:tc>
                <w:tcPr>
                  <w:tcW w:w="2509" w:type="pct"/>
                  <w:tcBorders>
                    <w:top w:val="single" w:color="auto" w:sz="2" w:space="0"/>
                    <w:left w:val="single" w:color="auto" w:sz="2" w:space="0"/>
                    <w:bottom w:val="single" w:color="auto" w:sz="12" w:space="0"/>
                  </w:tcBorders>
                  <w:noWrap w:val="0"/>
                  <w:vAlign w:val="center"/>
                </w:tcPr>
                <w:p w14:paraId="20EB08E0">
                  <w:pPr>
                    <w:pStyle w:val="28"/>
                    <w:bidi w:val="0"/>
                    <w:rPr>
                      <w:rFonts w:hint="default" w:eastAsia="宋体"/>
                      <w:bCs/>
                      <w:color w:val="auto"/>
                      <w:szCs w:val="21"/>
                      <w:lang w:val="en-US" w:eastAsia="zh-CN"/>
                    </w:rPr>
                  </w:pPr>
                  <w:r>
                    <w:rPr>
                      <w:rFonts w:hint="eastAsia"/>
                      <w:color w:val="auto"/>
                      <w:lang w:val="en-US" w:eastAsia="zh-CN"/>
                    </w:rPr>
                    <w:t>2~8</w:t>
                  </w:r>
                </w:p>
              </w:tc>
            </w:tr>
          </w:tbl>
          <w:p w14:paraId="4D298C30">
            <w:pPr>
              <w:pStyle w:val="29"/>
              <w:bidi w:val="0"/>
              <w:rPr>
                <w:rFonts w:hint="eastAsia"/>
                <w:color w:val="auto"/>
                <w:sz w:val="18"/>
                <w:szCs w:val="18"/>
                <w:lang w:eastAsia="zh-CN"/>
              </w:rPr>
            </w:pPr>
            <w:r>
              <w:rPr>
                <w:rFonts w:hint="eastAsia"/>
                <w:color w:val="auto"/>
                <w:sz w:val="18"/>
                <w:szCs w:val="18"/>
                <w:lang w:val="en-US" w:eastAsia="zh-CN"/>
              </w:rPr>
              <w:t>注：（1）</w:t>
            </w:r>
            <w:r>
              <w:rPr>
                <w:color w:val="auto"/>
                <w:sz w:val="18"/>
                <w:szCs w:val="18"/>
              </w:rPr>
              <w:t>氨氮</w:t>
            </w:r>
            <w:r>
              <w:rPr>
                <w:rFonts w:hint="eastAsia"/>
                <w:color w:val="auto"/>
                <w:sz w:val="18"/>
                <w:szCs w:val="18"/>
                <w:lang w:val="en-US" w:eastAsia="zh-CN"/>
              </w:rPr>
              <w:t>和</w:t>
            </w:r>
            <w:r>
              <w:rPr>
                <w:rFonts w:hint="eastAsia"/>
                <w:color w:val="auto"/>
                <w:sz w:val="18"/>
                <w:szCs w:val="18"/>
              </w:rPr>
              <w:t>总余氯</w:t>
            </w:r>
            <w:r>
              <w:rPr>
                <w:color w:val="auto"/>
                <w:sz w:val="18"/>
                <w:szCs w:val="18"/>
              </w:rPr>
              <w:t>排放参照《污水排入城镇下水道水质标准》（GB/T31962-2015）</w:t>
            </w:r>
            <w:r>
              <w:rPr>
                <w:rFonts w:hint="default"/>
                <w:color w:val="auto"/>
                <w:sz w:val="18"/>
                <w:szCs w:val="18"/>
              </w:rPr>
              <w:t>B</w:t>
            </w:r>
            <w:r>
              <w:rPr>
                <w:color w:val="auto"/>
                <w:sz w:val="18"/>
                <w:szCs w:val="18"/>
              </w:rPr>
              <w:t>级标准</w:t>
            </w:r>
            <w:r>
              <w:rPr>
                <w:rFonts w:hint="eastAsia"/>
                <w:color w:val="auto"/>
                <w:sz w:val="18"/>
                <w:szCs w:val="18"/>
                <w:lang w:eastAsia="zh-CN"/>
              </w:rPr>
              <w:t>；</w:t>
            </w:r>
          </w:p>
          <w:p w14:paraId="66A03FC2">
            <w:pPr>
              <w:pStyle w:val="29"/>
              <w:bidi w:val="0"/>
              <w:rPr>
                <w:rFonts w:hint="eastAsia"/>
                <w:color w:val="auto"/>
                <w:sz w:val="18"/>
                <w:szCs w:val="18"/>
                <w:lang w:eastAsia="zh-CN"/>
              </w:rPr>
            </w:pPr>
            <w:r>
              <w:rPr>
                <w:rFonts w:hint="eastAsia"/>
                <w:color w:val="auto"/>
                <w:sz w:val="18"/>
                <w:szCs w:val="18"/>
                <w:lang w:eastAsia="zh-CN"/>
              </w:rPr>
              <w:t>（</w:t>
            </w:r>
            <w:r>
              <w:rPr>
                <w:rFonts w:hint="eastAsia"/>
                <w:color w:val="auto"/>
                <w:sz w:val="18"/>
                <w:szCs w:val="18"/>
                <w:lang w:val="en-US" w:eastAsia="zh-CN"/>
              </w:rPr>
              <w:t>2</w:t>
            </w:r>
            <w:r>
              <w:rPr>
                <w:rFonts w:hint="eastAsia"/>
                <w:color w:val="auto"/>
                <w:sz w:val="18"/>
                <w:szCs w:val="18"/>
                <w:lang w:eastAsia="zh-CN"/>
              </w:rPr>
              <w:t>）采用含氯消毒剂消毒的工艺控制要求为：</w:t>
            </w:r>
          </w:p>
          <w:p w14:paraId="09CC0F46">
            <w:pPr>
              <w:pStyle w:val="29"/>
              <w:bidi w:val="0"/>
              <w:rPr>
                <w:rFonts w:hint="eastAsia"/>
                <w:color w:val="auto"/>
                <w:sz w:val="18"/>
                <w:szCs w:val="18"/>
                <w:lang w:eastAsia="zh-CN"/>
              </w:rPr>
            </w:pPr>
            <w:r>
              <w:rPr>
                <w:rFonts w:hint="eastAsia"/>
                <w:color w:val="auto"/>
                <w:sz w:val="18"/>
                <w:szCs w:val="18"/>
                <w:lang w:eastAsia="zh-CN"/>
              </w:rPr>
              <w:t>排放标准：消毒接触池接触时间</w:t>
            </w:r>
            <w:r>
              <w:rPr>
                <w:rFonts w:hint="default"/>
                <w:color w:val="auto"/>
                <w:sz w:val="18"/>
                <w:szCs w:val="18"/>
                <w:lang w:eastAsia="zh-CN"/>
              </w:rPr>
              <w:t>≥</w:t>
            </w:r>
            <w:r>
              <w:rPr>
                <w:rFonts w:hint="eastAsia"/>
                <w:color w:val="auto"/>
                <w:sz w:val="18"/>
                <w:szCs w:val="18"/>
                <w:lang w:eastAsia="zh-CN"/>
              </w:rPr>
              <w:t>1h，接触池出口总余氯3～10mg</w:t>
            </w:r>
            <w:r>
              <w:rPr>
                <w:rFonts w:hint="eastAsia"/>
                <w:color w:val="auto"/>
                <w:sz w:val="18"/>
                <w:szCs w:val="18"/>
                <w:lang w:val="en-US" w:eastAsia="zh-CN"/>
              </w:rPr>
              <w:t>/L</w:t>
            </w:r>
            <w:r>
              <w:rPr>
                <w:rFonts w:hint="eastAsia"/>
                <w:color w:val="auto"/>
                <w:sz w:val="18"/>
                <w:szCs w:val="18"/>
                <w:lang w:eastAsia="zh-CN"/>
              </w:rPr>
              <w:t>；</w:t>
            </w:r>
          </w:p>
          <w:p w14:paraId="5DB14837">
            <w:pPr>
              <w:pStyle w:val="29"/>
              <w:bidi w:val="0"/>
              <w:rPr>
                <w:rFonts w:hint="eastAsia"/>
                <w:color w:val="auto"/>
                <w:sz w:val="18"/>
                <w:szCs w:val="18"/>
                <w:lang w:eastAsia="zh-CN"/>
              </w:rPr>
            </w:pPr>
            <w:r>
              <w:rPr>
                <w:rFonts w:hint="eastAsia"/>
                <w:color w:val="auto"/>
                <w:sz w:val="18"/>
                <w:szCs w:val="18"/>
                <w:lang w:eastAsia="zh-CN"/>
              </w:rPr>
              <w:t>预处理标准：消毒接触池接触时间</w:t>
            </w:r>
            <w:r>
              <w:rPr>
                <w:rFonts w:hint="default"/>
                <w:color w:val="auto"/>
                <w:sz w:val="18"/>
                <w:szCs w:val="18"/>
                <w:lang w:eastAsia="zh-CN"/>
              </w:rPr>
              <w:t>≥</w:t>
            </w:r>
            <w:r>
              <w:rPr>
                <w:rFonts w:hint="eastAsia"/>
                <w:color w:val="auto"/>
                <w:sz w:val="18"/>
                <w:szCs w:val="18"/>
                <w:lang w:eastAsia="zh-CN"/>
              </w:rPr>
              <w:t>1h，接触池出口总余氯2～8mg</w:t>
            </w:r>
            <w:r>
              <w:rPr>
                <w:rFonts w:hint="eastAsia"/>
                <w:color w:val="auto"/>
                <w:sz w:val="18"/>
                <w:szCs w:val="18"/>
                <w:lang w:val="en-US" w:eastAsia="zh-CN"/>
              </w:rPr>
              <w:t>/L；</w:t>
            </w:r>
            <w:r>
              <w:rPr>
                <w:rFonts w:hint="eastAsia"/>
                <w:color w:val="auto"/>
                <w:sz w:val="18"/>
                <w:szCs w:val="18"/>
                <w:lang w:eastAsia="zh-CN"/>
              </w:rPr>
              <w:t>采用其他消毒剂对总余氯不作要求。</w:t>
            </w:r>
          </w:p>
          <w:p w14:paraId="769A8C87">
            <w:pPr>
              <w:pStyle w:val="29"/>
              <w:bidi w:val="0"/>
              <w:rPr>
                <w:rFonts w:hint="default"/>
                <w:color w:val="auto"/>
                <w:lang w:val="en-US" w:eastAsia="zh-CN"/>
              </w:rPr>
            </w:pPr>
            <w:r>
              <w:rPr>
                <w:rFonts w:hint="eastAsia"/>
                <w:color w:val="auto"/>
                <w:lang w:val="en-US" w:eastAsia="zh-CN"/>
              </w:rPr>
              <w:t>生活污水执行《污水综合排放标准》（</w:t>
            </w:r>
            <w:r>
              <w:rPr>
                <w:rFonts w:hint="default"/>
                <w:color w:val="auto"/>
                <w:lang w:val="en-US" w:eastAsia="zh-CN"/>
              </w:rPr>
              <w:t>GB8978-1996</w:t>
            </w:r>
            <w:r>
              <w:rPr>
                <w:rFonts w:hint="eastAsia"/>
                <w:color w:val="auto"/>
                <w:lang w:val="en-US" w:eastAsia="zh-CN"/>
              </w:rPr>
              <w:t>）表</w:t>
            </w:r>
            <w:r>
              <w:rPr>
                <w:rFonts w:hint="default"/>
                <w:color w:val="auto"/>
                <w:lang w:val="en-US" w:eastAsia="zh-CN"/>
              </w:rPr>
              <w:t>4</w:t>
            </w:r>
            <w:r>
              <w:rPr>
                <w:rFonts w:hint="eastAsia"/>
                <w:color w:val="auto"/>
                <w:lang w:val="en-US" w:eastAsia="zh-CN"/>
              </w:rPr>
              <w:t>中三级标准，其中氨氮参照执行《污水排入城镇下水道水质标准》（</w:t>
            </w:r>
            <w:r>
              <w:rPr>
                <w:rFonts w:hint="default"/>
                <w:color w:val="auto"/>
                <w:lang w:val="en-US" w:eastAsia="zh-CN"/>
              </w:rPr>
              <w:t>GB/T31962-2015</w:t>
            </w:r>
            <w:r>
              <w:rPr>
                <w:rFonts w:hint="eastAsia"/>
                <w:color w:val="auto"/>
                <w:lang w:val="en-US" w:eastAsia="zh-CN"/>
              </w:rPr>
              <w:t>）中</w:t>
            </w:r>
            <w:r>
              <w:rPr>
                <w:rFonts w:hint="default"/>
                <w:color w:val="auto"/>
                <w:lang w:val="en-US" w:eastAsia="zh-CN"/>
              </w:rPr>
              <w:t>B</w:t>
            </w:r>
            <w:r>
              <w:rPr>
                <w:rFonts w:hint="eastAsia"/>
                <w:color w:val="auto"/>
                <w:lang w:val="en-US" w:eastAsia="zh-CN"/>
              </w:rPr>
              <w:t>等级标准</w:t>
            </w:r>
            <w:r>
              <w:rPr>
                <w:rFonts w:hint="eastAsia"/>
                <w:color w:val="auto"/>
                <w:lang w:eastAsia="zh-CN"/>
              </w:rPr>
              <w:t>；</w:t>
            </w:r>
            <w:r>
              <w:rPr>
                <w:rFonts w:hint="eastAsia"/>
                <w:color w:val="auto"/>
                <w:lang w:val="en-US" w:eastAsia="zh-CN"/>
              </w:rPr>
              <w:t>标准值</w:t>
            </w:r>
            <w:r>
              <w:rPr>
                <w:rFonts w:hint="default"/>
                <w:color w:val="auto"/>
              </w:rPr>
              <w:t>见表3-</w:t>
            </w:r>
            <w:r>
              <w:rPr>
                <w:rFonts w:hint="eastAsia"/>
                <w:color w:val="auto"/>
                <w:lang w:val="en-US" w:eastAsia="zh-CN"/>
              </w:rPr>
              <w:t>7</w:t>
            </w:r>
            <w:r>
              <w:rPr>
                <w:rFonts w:hint="default"/>
                <w:color w:val="auto"/>
              </w:rPr>
              <w:t>。</w:t>
            </w:r>
          </w:p>
          <w:p w14:paraId="259A6FC6">
            <w:pPr>
              <w:pStyle w:val="22"/>
              <w:bidi w:val="0"/>
              <w:rPr>
                <w:rFonts w:hint="default"/>
                <w:color w:val="auto"/>
                <w:lang w:val="en-US" w:eastAsia="zh-CN"/>
              </w:rPr>
            </w:pPr>
            <w:r>
              <w:rPr>
                <w:rFonts w:hint="default"/>
                <w:color w:val="auto"/>
                <w:lang w:val="en-US" w:eastAsia="zh-CN"/>
              </w:rPr>
              <w:t>表3-</w:t>
            </w:r>
            <w:r>
              <w:rPr>
                <w:rFonts w:hint="eastAsia"/>
                <w:color w:val="auto"/>
                <w:lang w:val="en-US" w:eastAsia="zh-CN"/>
              </w:rPr>
              <w:t xml:space="preserve">7   </w:t>
            </w:r>
            <w:r>
              <w:rPr>
                <w:rFonts w:hint="default"/>
                <w:color w:val="auto"/>
                <w:lang w:val="en-US" w:eastAsia="zh-CN"/>
              </w:rPr>
              <w:t>废水污染物排放标准一览表</w:t>
            </w:r>
          </w:p>
          <w:tbl>
            <w:tblPr>
              <w:tblStyle w:val="1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0"/>
              <w:gridCol w:w="3210"/>
              <w:gridCol w:w="2036"/>
              <w:gridCol w:w="2128"/>
            </w:tblGrid>
            <w:tr w14:paraId="348A9E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tcBorders>
                    <w:tl2br w:val="nil"/>
                    <w:tr2bl w:val="nil"/>
                  </w:tcBorders>
                  <w:noWrap w:val="0"/>
                  <w:vAlign w:val="center"/>
                </w:tcPr>
                <w:p w14:paraId="296D976F">
                  <w:pPr>
                    <w:pStyle w:val="28"/>
                    <w:widowControl w:val="0"/>
                    <w:bidi w:val="0"/>
                    <w:rPr>
                      <w:rFonts w:hint="default"/>
                      <w:b/>
                      <w:bCs w:val="0"/>
                      <w:color w:val="auto"/>
                      <w:lang w:val="en-US" w:eastAsia="zh-CN"/>
                    </w:rPr>
                  </w:pPr>
                  <w:r>
                    <w:rPr>
                      <w:rFonts w:hint="default"/>
                      <w:b/>
                      <w:bCs w:val="0"/>
                      <w:color w:val="auto"/>
                      <w:lang w:val="en-US" w:eastAsia="zh-CN"/>
                    </w:rPr>
                    <w:t>序号</w:t>
                  </w:r>
                </w:p>
              </w:tc>
              <w:tc>
                <w:tcPr>
                  <w:tcW w:w="1944" w:type="pct"/>
                  <w:tcBorders>
                    <w:tl2br w:val="nil"/>
                    <w:tr2bl w:val="nil"/>
                  </w:tcBorders>
                  <w:noWrap w:val="0"/>
                  <w:vAlign w:val="center"/>
                </w:tcPr>
                <w:p w14:paraId="208367BB">
                  <w:pPr>
                    <w:pStyle w:val="28"/>
                    <w:widowControl w:val="0"/>
                    <w:bidi w:val="0"/>
                    <w:rPr>
                      <w:rFonts w:hint="default"/>
                      <w:b/>
                      <w:bCs w:val="0"/>
                      <w:color w:val="auto"/>
                      <w:lang w:val="en-US" w:eastAsia="zh-CN"/>
                    </w:rPr>
                  </w:pPr>
                  <w:r>
                    <w:rPr>
                      <w:rFonts w:hint="default"/>
                      <w:b/>
                      <w:bCs w:val="0"/>
                      <w:color w:val="auto"/>
                      <w:lang w:val="en-US" w:eastAsia="zh-CN"/>
                    </w:rPr>
                    <w:t>污染物名称</w:t>
                  </w:r>
                </w:p>
              </w:tc>
              <w:tc>
                <w:tcPr>
                  <w:tcW w:w="1233" w:type="pct"/>
                  <w:tcBorders>
                    <w:tl2br w:val="nil"/>
                    <w:tr2bl w:val="nil"/>
                  </w:tcBorders>
                  <w:noWrap w:val="0"/>
                  <w:vAlign w:val="center"/>
                </w:tcPr>
                <w:p w14:paraId="38EA28FE">
                  <w:pPr>
                    <w:pStyle w:val="28"/>
                    <w:widowControl w:val="0"/>
                    <w:bidi w:val="0"/>
                    <w:rPr>
                      <w:rFonts w:hint="default"/>
                      <w:b/>
                      <w:bCs w:val="0"/>
                      <w:color w:val="auto"/>
                      <w:lang w:val="en-US" w:eastAsia="zh-CN"/>
                    </w:rPr>
                  </w:pPr>
                  <w:r>
                    <w:rPr>
                      <w:rFonts w:hint="eastAsia"/>
                      <w:b/>
                      <w:bCs w:val="0"/>
                      <w:color w:val="auto"/>
                      <w:lang w:val="en-US" w:eastAsia="zh-CN"/>
                    </w:rPr>
                    <w:t>排放浓度</w:t>
                  </w:r>
                </w:p>
              </w:tc>
              <w:tc>
                <w:tcPr>
                  <w:tcW w:w="1289" w:type="pct"/>
                  <w:tcBorders>
                    <w:tl2br w:val="nil"/>
                    <w:tr2bl w:val="nil"/>
                  </w:tcBorders>
                  <w:noWrap w:val="0"/>
                  <w:vAlign w:val="center"/>
                </w:tcPr>
                <w:p w14:paraId="001E9A73">
                  <w:pPr>
                    <w:pStyle w:val="28"/>
                    <w:widowControl w:val="0"/>
                    <w:bidi w:val="0"/>
                    <w:rPr>
                      <w:rFonts w:hint="default"/>
                      <w:b/>
                      <w:bCs w:val="0"/>
                      <w:color w:val="auto"/>
                      <w:lang w:val="en-US" w:eastAsia="zh-CN"/>
                    </w:rPr>
                  </w:pPr>
                  <w:r>
                    <w:rPr>
                      <w:rFonts w:hint="eastAsia"/>
                      <w:b/>
                      <w:bCs w:val="0"/>
                      <w:color w:val="auto"/>
                      <w:lang w:val="en-US" w:eastAsia="zh-CN"/>
                    </w:rPr>
                    <w:t>排放标准</w:t>
                  </w:r>
                </w:p>
              </w:tc>
            </w:tr>
            <w:tr w14:paraId="33CFE6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tcBorders>
                    <w:tl2br w:val="nil"/>
                    <w:tr2bl w:val="nil"/>
                  </w:tcBorders>
                  <w:noWrap w:val="0"/>
                  <w:vAlign w:val="center"/>
                </w:tcPr>
                <w:p w14:paraId="358C1C55">
                  <w:pPr>
                    <w:pStyle w:val="28"/>
                    <w:widowControl w:val="0"/>
                    <w:bidi w:val="0"/>
                    <w:rPr>
                      <w:rFonts w:hint="default"/>
                      <w:color w:val="auto"/>
                      <w:lang w:val="en-US" w:eastAsia="zh-CN"/>
                    </w:rPr>
                  </w:pPr>
                  <w:r>
                    <w:rPr>
                      <w:rFonts w:hint="default"/>
                      <w:color w:val="auto"/>
                      <w:lang w:val="en-US" w:eastAsia="zh-CN"/>
                    </w:rPr>
                    <w:t>1</w:t>
                  </w:r>
                </w:p>
              </w:tc>
              <w:tc>
                <w:tcPr>
                  <w:tcW w:w="1944" w:type="pct"/>
                  <w:tcBorders>
                    <w:tl2br w:val="nil"/>
                    <w:tr2bl w:val="nil"/>
                  </w:tcBorders>
                  <w:noWrap w:val="0"/>
                  <w:vAlign w:val="center"/>
                </w:tcPr>
                <w:p w14:paraId="0736DC0F">
                  <w:pPr>
                    <w:pStyle w:val="28"/>
                    <w:widowControl w:val="0"/>
                    <w:bidi w:val="0"/>
                    <w:rPr>
                      <w:rFonts w:hint="default"/>
                      <w:color w:val="auto"/>
                      <w:lang w:val="en-US" w:eastAsia="zh-CN"/>
                    </w:rPr>
                  </w:pPr>
                  <w:r>
                    <w:rPr>
                      <w:rFonts w:hint="default"/>
                      <w:color w:val="auto"/>
                      <w:lang w:val="en-US" w:eastAsia="zh-CN"/>
                    </w:rPr>
                    <w:t>pH</w:t>
                  </w:r>
                  <w:r>
                    <w:rPr>
                      <w:color w:val="auto"/>
                    </w:rPr>
                    <w:t>（无量纲）</w:t>
                  </w:r>
                </w:p>
              </w:tc>
              <w:tc>
                <w:tcPr>
                  <w:tcW w:w="1233" w:type="pct"/>
                  <w:tcBorders>
                    <w:tl2br w:val="nil"/>
                    <w:tr2bl w:val="nil"/>
                  </w:tcBorders>
                  <w:noWrap w:val="0"/>
                  <w:vAlign w:val="center"/>
                </w:tcPr>
                <w:p w14:paraId="372FDBA9">
                  <w:pPr>
                    <w:pStyle w:val="28"/>
                    <w:widowControl w:val="0"/>
                    <w:bidi w:val="0"/>
                    <w:rPr>
                      <w:rFonts w:hint="default"/>
                      <w:color w:val="auto"/>
                      <w:lang w:val="en-US" w:eastAsia="zh-CN"/>
                    </w:rPr>
                  </w:pPr>
                  <w:r>
                    <w:rPr>
                      <w:rFonts w:hint="eastAsia"/>
                      <w:color w:val="auto"/>
                      <w:lang w:val="en-US" w:eastAsia="zh-CN"/>
                    </w:rPr>
                    <w:t>6-9</w:t>
                  </w:r>
                </w:p>
              </w:tc>
              <w:tc>
                <w:tcPr>
                  <w:tcW w:w="1289" w:type="pct"/>
                  <w:vMerge w:val="restart"/>
                  <w:tcBorders>
                    <w:tl2br w:val="nil"/>
                    <w:tr2bl w:val="nil"/>
                  </w:tcBorders>
                  <w:noWrap w:val="0"/>
                  <w:vAlign w:val="center"/>
                </w:tcPr>
                <w:p w14:paraId="2F9DC6C9">
                  <w:pPr>
                    <w:pStyle w:val="28"/>
                    <w:widowControl w:val="0"/>
                    <w:bidi w:val="0"/>
                    <w:rPr>
                      <w:rFonts w:hint="default"/>
                      <w:color w:val="auto"/>
                      <w:lang w:val="en-US" w:eastAsia="zh-CN"/>
                    </w:rPr>
                  </w:pPr>
                  <w:r>
                    <w:rPr>
                      <w:rFonts w:hint="eastAsia"/>
                      <w:color w:val="auto"/>
                      <w:lang w:val="en-US" w:eastAsia="zh-CN"/>
                    </w:rPr>
                    <w:t>氨氮执行《污水排入城镇下水道水质标准》（</w:t>
                  </w:r>
                  <w:r>
                    <w:rPr>
                      <w:rFonts w:hint="default"/>
                      <w:color w:val="auto"/>
                      <w:lang w:val="en-US" w:eastAsia="zh-CN"/>
                    </w:rPr>
                    <w:t>GB/T31962-2015</w:t>
                  </w:r>
                  <w:r>
                    <w:rPr>
                      <w:rFonts w:hint="eastAsia"/>
                      <w:color w:val="auto"/>
                      <w:lang w:val="en-US" w:eastAsia="zh-CN"/>
                    </w:rPr>
                    <w:t>）</w:t>
                  </w:r>
                  <w:r>
                    <w:rPr>
                      <w:rFonts w:hint="default"/>
                      <w:color w:val="auto"/>
                      <w:lang w:val="en-US" w:eastAsia="zh-CN"/>
                    </w:rPr>
                    <w:t>B</w:t>
                  </w:r>
                  <w:r>
                    <w:rPr>
                      <w:rFonts w:hint="eastAsia"/>
                      <w:color w:val="auto"/>
                      <w:lang w:val="en-US" w:eastAsia="zh-CN"/>
                    </w:rPr>
                    <w:t>等级标准，其他指标执行《污水综合排放标准》（</w:t>
                  </w:r>
                  <w:r>
                    <w:rPr>
                      <w:rFonts w:hint="default"/>
                      <w:color w:val="auto"/>
                      <w:lang w:val="en-US" w:eastAsia="zh-CN"/>
                    </w:rPr>
                    <w:t>GB8978-1996</w:t>
                  </w:r>
                  <w:r>
                    <w:rPr>
                      <w:rFonts w:hint="eastAsia"/>
                      <w:color w:val="auto"/>
                      <w:lang w:val="en-US" w:eastAsia="zh-CN"/>
                    </w:rPr>
                    <w:t>）三级标准</w:t>
                  </w:r>
                </w:p>
              </w:tc>
            </w:tr>
            <w:tr w14:paraId="7517C1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tcBorders>
                    <w:tl2br w:val="nil"/>
                    <w:tr2bl w:val="nil"/>
                  </w:tcBorders>
                  <w:noWrap w:val="0"/>
                  <w:vAlign w:val="center"/>
                </w:tcPr>
                <w:p w14:paraId="58EA059A">
                  <w:pPr>
                    <w:pStyle w:val="28"/>
                    <w:widowControl w:val="0"/>
                    <w:bidi w:val="0"/>
                    <w:rPr>
                      <w:rFonts w:hint="default"/>
                      <w:color w:val="auto"/>
                      <w:lang w:val="en-US" w:eastAsia="zh-CN"/>
                    </w:rPr>
                  </w:pPr>
                  <w:r>
                    <w:rPr>
                      <w:rFonts w:hint="default"/>
                      <w:color w:val="auto"/>
                      <w:lang w:val="en-US" w:eastAsia="zh-CN"/>
                    </w:rPr>
                    <w:t>2</w:t>
                  </w:r>
                </w:p>
              </w:tc>
              <w:tc>
                <w:tcPr>
                  <w:tcW w:w="1944" w:type="pct"/>
                  <w:tcBorders>
                    <w:tl2br w:val="nil"/>
                    <w:tr2bl w:val="nil"/>
                  </w:tcBorders>
                  <w:noWrap w:val="0"/>
                  <w:vAlign w:val="center"/>
                </w:tcPr>
                <w:p w14:paraId="00E5394A">
                  <w:pPr>
                    <w:pStyle w:val="28"/>
                    <w:widowControl w:val="0"/>
                    <w:bidi w:val="0"/>
                    <w:rPr>
                      <w:rFonts w:hint="default"/>
                      <w:color w:val="auto"/>
                      <w:lang w:val="en-US" w:eastAsia="zh-CN"/>
                    </w:rPr>
                  </w:pPr>
                  <w:r>
                    <w:rPr>
                      <w:rFonts w:hint="eastAsia"/>
                      <w:color w:val="auto"/>
                      <w:lang w:val="en-US" w:eastAsia="zh-CN"/>
                    </w:rPr>
                    <w:t>悬浮物</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755A7F8E">
                  <w:pPr>
                    <w:pStyle w:val="28"/>
                    <w:widowControl w:val="0"/>
                    <w:bidi w:val="0"/>
                    <w:rPr>
                      <w:rFonts w:hint="default"/>
                      <w:color w:val="auto"/>
                      <w:lang w:val="en-US" w:eastAsia="zh-CN"/>
                    </w:rPr>
                  </w:pPr>
                  <w:r>
                    <w:rPr>
                      <w:rFonts w:hint="eastAsia"/>
                      <w:color w:val="auto"/>
                      <w:lang w:val="en-US" w:eastAsia="zh-CN"/>
                    </w:rPr>
                    <w:t>400</w:t>
                  </w:r>
                </w:p>
              </w:tc>
              <w:tc>
                <w:tcPr>
                  <w:tcW w:w="1289" w:type="pct"/>
                  <w:vMerge w:val="continue"/>
                  <w:tcBorders>
                    <w:tl2br w:val="nil"/>
                    <w:tr2bl w:val="nil"/>
                  </w:tcBorders>
                  <w:noWrap w:val="0"/>
                  <w:vAlign w:val="center"/>
                </w:tcPr>
                <w:p w14:paraId="21AA997D">
                  <w:pPr>
                    <w:pStyle w:val="28"/>
                    <w:widowControl w:val="0"/>
                    <w:bidi w:val="0"/>
                    <w:rPr>
                      <w:rFonts w:hint="default"/>
                      <w:color w:val="auto"/>
                      <w:lang w:val="en-US" w:eastAsia="zh-CN"/>
                    </w:rPr>
                  </w:pPr>
                </w:p>
              </w:tc>
            </w:tr>
            <w:tr w14:paraId="698D6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tcBorders>
                    <w:tl2br w:val="nil"/>
                    <w:tr2bl w:val="nil"/>
                  </w:tcBorders>
                  <w:noWrap w:val="0"/>
                  <w:vAlign w:val="center"/>
                </w:tcPr>
                <w:p w14:paraId="1B0DDC56">
                  <w:pPr>
                    <w:pStyle w:val="28"/>
                    <w:widowControl w:val="0"/>
                    <w:bidi w:val="0"/>
                    <w:rPr>
                      <w:rFonts w:hint="default"/>
                      <w:color w:val="auto"/>
                      <w:lang w:val="en-US" w:eastAsia="zh-CN"/>
                    </w:rPr>
                  </w:pPr>
                  <w:r>
                    <w:rPr>
                      <w:rFonts w:hint="default"/>
                      <w:color w:val="auto"/>
                      <w:lang w:val="en-US" w:eastAsia="zh-CN"/>
                    </w:rPr>
                    <w:t>3</w:t>
                  </w:r>
                </w:p>
              </w:tc>
              <w:tc>
                <w:tcPr>
                  <w:tcW w:w="1944" w:type="pct"/>
                  <w:tcBorders>
                    <w:tl2br w:val="nil"/>
                    <w:tr2bl w:val="nil"/>
                  </w:tcBorders>
                  <w:noWrap w:val="0"/>
                  <w:vAlign w:val="center"/>
                </w:tcPr>
                <w:p w14:paraId="2A191F80">
                  <w:pPr>
                    <w:pStyle w:val="28"/>
                    <w:widowControl w:val="0"/>
                    <w:bidi w:val="0"/>
                    <w:rPr>
                      <w:rFonts w:hint="default"/>
                      <w:color w:val="auto"/>
                      <w:lang w:val="en-US" w:eastAsia="zh-CN"/>
                    </w:rPr>
                  </w:pPr>
                  <w:r>
                    <w:rPr>
                      <w:rFonts w:hint="eastAsia"/>
                      <w:color w:val="auto"/>
                      <w:lang w:val="en-US" w:eastAsia="zh-CN"/>
                    </w:rPr>
                    <w:t>化学需氧量</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796E8CA7">
                  <w:pPr>
                    <w:pStyle w:val="28"/>
                    <w:widowControl w:val="0"/>
                    <w:bidi w:val="0"/>
                    <w:rPr>
                      <w:rFonts w:hint="default"/>
                      <w:color w:val="auto"/>
                      <w:lang w:val="en-US" w:eastAsia="zh-CN"/>
                    </w:rPr>
                  </w:pPr>
                  <w:r>
                    <w:rPr>
                      <w:rFonts w:hint="eastAsia"/>
                      <w:color w:val="auto"/>
                      <w:lang w:val="en-US" w:eastAsia="zh-CN"/>
                    </w:rPr>
                    <w:t>500</w:t>
                  </w:r>
                </w:p>
              </w:tc>
              <w:tc>
                <w:tcPr>
                  <w:tcW w:w="1289" w:type="pct"/>
                  <w:vMerge w:val="continue"/>
                  <w:tcBorders>
                    <w:tl2br w:val="nil"/>
                    <w:tr2bl w:val="nil"/>
                  </w:tcBorders>
                  <w:noWrap w:val="0"/>
                  <w:vAlign w:val="center"/>
                </w:tcPr>
                <w:p w14:paraId="28AA09AA">
                  <w:pPr>
                    <w:pStyle w:val="28"/>
                    <w:widowControl w:val="0"/>
                    <w:bidi w:val="0"/>
                    <w:rPr>
                      <w:rFonts w:hint="default"/>
                      <w:color w:val="auto"/>
                      <w:lang w:val="en-US" w:eastAsia="zh-CN"/>
                    </w:rPr>
                  </w:pPr>
                </w:p>
              </w:tc>
            </w:tr>
            <w:tr w14:paraId="153A4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tcBorders>
                    <w:tl2br w:val="nil"/>
                    <w:tr2bl w:val="nil"/>
                  </w:tcBorders>
                  <w:noWrap w:val="0"/>
                  <w:vAlign w:val="center"/>
                </w:tcPr>
                <w:p w14:paraId="04A2F42D">
                  <w:pPr>
                    <w:pStyle w:val="28"/>
                    <w:widowControl w:val="0"/>
                    <w:bidi w:val="0"/>
                    <w:rPr>
                      <w:rFonts w:hint="default"/>
                      <w:color w:val="auto"/>
                      <w:lang w:val="en-US" w:eastAsia="zh-CN"/>
                    </w:rPr>
                  </w:pPr>
                  <w:r>
                    <w:rPr>
                      <w:rFonts w:hint="default"/>
                      <w:color w:val="auto"/>
                      <w:lang w:val="en-US" w:eastAsia="zh-CN"/>
                    </w:rPr>
                    <w:t>4</w:t>
                  </w:r>
                </w:p>
              </w:tc>
              <w:tc>
                <w:tcPr>
                  <w:tcW w:w="1944" w:type="pct"/>
                  <w:tcBorders>
                    <w:tl2br w:val="nil"/>
                    <w:tr2bl w:val="nil"/>
                  </w:tcBorders>
                  <w:noWrap w:val="0"/>
                  <w:vAlign w:val="center"/>
                </w:tcPr>
                <w:p w14:paraId="60C7DDA6">
                  <w:pPr>
                    <w:pStyle w:val="28"/>
                    <w:widowControl w:val="0"/>
                    <w:bidi w:val="0"/>
                    <w:rPr>
                      <w:rFonts w:hint="default"/>
                      <w:color w:val="auto"/>
                      <w:lang w:val="en-US" w:eastAsia="zh-CN"/>
                    </w:rPr>
                  </w:pPr>
                  <w:r>
                    <w:rPr>
                      <w:rFonts w:hint="eastAsia"/>
                      <w:color w:val="auto"/>
                      <w:lang w:val="en-US" w:eastAsia="zh-CN"/>
                    </w:rPr>
                    <w:t>氨氮</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62196D97">
                  <w:pPr>
                    <w:pStyle w:val="28"/>
                    <w:widowControl w:val="0"/>
                    <w:bidi w:val="0"/>
                    <w:rPr>
                      <w:rFonts w:hint="default"/>
                      <w:color w:val="auto"/>
                      <w:lang w:val="en-US" w:eastAsia="zh-CN"/>
                    </w:rPr>
                  </w:pPr>
                  <w:r>
                    <w:rPr>
                      <w:rFonts w:hint="eastAsia"/>
                      <w:color w:val="auto"/>
                      <w:lang w:val="en-US" w:eastAsia="zh-CN"/>
                    </w:rPr>
                    <w:t>45</w:t>
                  </w:r>
                </w:p>
              </w:tc>
              <w:tc>
                <w:tcPr>
                  <w:tcW w:w="1289" w:type="pct"/>
                  <w:vMerge w:val="continue"/>
                  <w:tcBorders>
                    <w:tl2br w:val="nil"/>
                    <w:tr2bl w:val="nil"/>
                  </w:tcBorders>
                  <w:noWrap w:val="0"/>
                  <w:vAlign w:val="center"/>
                </w:tcPr>
                <w:p w14:paraId="14AC3C1F">
                  <w:pPr>
                    <w:pStyle w:val="28"/>
                    <w:widowControl w:val="0"/>
                    <w:bidi w:val="0"/>
                    <w:rPr>
                      <w:rFonts w:hint="default"/>
                      <w:color w:val="auto"/>
                      <w:lang w:val="en-US" w:eastAsia="zh-CN"/>
                    </w:rPr>
                  </w:pPr>
                </w:p>
              </w:tc>
            </w:tr>
            <w:tr w14:paraId="0F37F9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tcBorders>
                    <w:tl2br w:val="nil"/>
                    <w:tr2bl w:val="nil"/>
                  </w:tcBorders>
                  <w:noWrap w:val="0"/>
                  <w:vAlign w:val="center"/>
                </w:tcPr>
                <w:p w14:paraId="234F2682">
                  <w:pPr>
                    <w:pStyle w:val="28"/>
                    <w:widowControl w:val="0"/>
                    <w:bidi w:val="0"/>
                    <w:rPr>
                      <w:rFonts w:hint="default"/>
                      <w:color w:val="auto"/>
                      <w:lang w:val="en-US" w:eastAsia="zh-CN"/>
                    </w:rPr>
                  </w:pPr>
                  <w:r>
                    <w:rPr>
                      <w:rFonts w:hint="default"/>
                      <w:color w:val="auto"/>
                      <w:lang w:val="en-US" w:eastAsia="zh-CN"/>
                    </w:rPr>
                    <w:t>5</w:t>
                  </w:r>
                </w:p>
              </w:tc>
              <w:tc>
                <w:tcPr>
                  <w:tcW w:w="1944" w:type="pct"/>
                  <w:tcBorders>
                    <w:tl2br w:val="nil"/>
                    <w:tr2bl w:val="nil"/>
                  </w:tcBorders>
                  <w:noWrap w:val="0"/>
                  <w:vAlign w:val="center"/>
                </w:tcPr>
                <w:p w14:paraId="731DDA77">
                  <w:pPr>
                    <w:pStyle w:val="28"/>
                    <w:widowControl w:val="0"/>
                    <w:bidi w:val="0"/>
                    <w:rPr>
                      <w:rFonts w:hint="default"/>
                      <w:color w:val="auto"/>
                      <w:lang w:val="en-US" w:eastAsia="zh-CN"/>
                    </w:rPr>
                  </w:pPr>
                  <w:r>
                    <w:rPr>
                      <w:rFonts w:hint="eastAsia"/>
                      <w:color w:val="auto"/>
                      <w:lang w:val="en-US" w:eastAsia="zh-CN"/>
                    </w:rPr>
                    <w:t>五日生化需氧量</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0B9DDA8D">
                  <w:pPr>
                    <w:pStyle w:val="28"/>
                    <w:widowControl w:val="0"/>
                    <w:bidi w:val="0"/>
                    <w:rPr>
                      <w:rFonts w:hint="default"/>
                      <w:color w:val="auto"/>
                      <w:lang w:val="en-US" w:eastAsia="zh-CN"/>
                    </w:rPr>
                  </w:pPr>
                  <w:r>
                    <w:rPr>
                      <w:rFonts w:hint="eastAsia"/>
                      <w:color w:val="auto"/>
                      <w:lang w:val="en-US" w:eastAsia="zh-CN"/>
                    </w:rPr>
                    <w:t>300</w:t>
                  </w:r>
                </w:p>
              </w:tc>
              <w:tc>
                <w:tcPr>
                  <w:tcW w:w="1289" w:type="pct"/>
                  <w:vMerge w:val="continue"/>
                  <w:tcBorders>
                    <w:tl2br w:val="nil"/>
                    <w:tr2bl w:val="nil"/>
                  </w:tcBorders>
                  <w:noWrap w:val="0"/>
                  <w:vAlign w:val="center"/>
                </w:tcPr>
                <w:p w14:paraId="595474BB">
                  <w:pPr>
                    <w:pStyle w:val="28"/>
                    <w:widowControl w:val="0"/>
                    <w:bidi w:val="0"/>
                    <w:rPr>
                      <w:rFonts w:hint="default"/>
                      <w:color w:val="auto"/>
                      <w:lang w:val="en-US" w:eastAsia="zh-CN"/>
                    </w:rPr>
                  </w:pPr>
                </w:p>
              </w:tc>
            </w:tr>
            <w:tr w14:paraId="0FF7DF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tcBorders>
                    <w:tl2br w:val="nil"/>
                    <w:tr2bl w:val="nil"/>
                  </w:tcBorders>
                  <w:noWrap w:val="0"/>
                  <w:vAlign w:val="center"/>
                </w:tcPr>
                <w:p w14:paraId="771EDFB8">
                  <w:pPr>
                    <w:pStyle w:val="28"/>
                    <w:widowControl w:val="0"/>
                    <w:bidi w:val="0"/>
                    <w:rPr>
                      <w:rFonts w:hint="default"/>
                      <w:color w:val="auto"/>
                      <w:lang w:val="en-US" w:eastAsia="zh-CN"/>
                    </w:rPr>
                  </w:pPr>
                  <w:r>
                    <w:rPr>
                      <w:rFonts w:hint="default"/>
                      <w:color w:val="auto"/>
                      <w:lang w:val="en-US" w:eastAsia="zh-CN"/>
                    </w:rPr>
                    <w:t>6</w:t>
                  </w:r>
                </w:p>
              </w:tc>
              <w:tc>
                <w:tcPr>
                  <w:tcW w:w="1944" w:type="pct"/>
                  <w:tcBorders>
                    <w:tl2br w:val="nil"/>
                    <w:tr2bl w:val="nil"/>
                  </w:tcBorders>
                  <w:noWrap w:val="0"/>
                  <w:vAlign w:val="center"/>
                </w:tcPr>
                <w:p w14:paraId="71E33B80">
                  <w:pPr>
                    <w:pStyle w:val="28"/>
                    <w:widowControl w:val="0"/>
                    <w:bidi w:val="0"/>
                    <w:rPr>
                      <w:rFonts w:hint="default"/>
                      <w:color w:val="auto"/>
                      <w:lang w:val="en-US" w:eastAsia="zh-CN"/>
                    </w:rPr>
                  </w:pPr>
                  <w:r>
                    <w:rPr>
                      <w:rFonts w:hint="eastAsia"/>
                      <w:color w:val="auto"/>
                      <w:lang w:val="en-US" w:eastAsia="zh-CN"/>
                    </w:rPr>
                    <w:t>动植物油类</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6BE334FA">
                  <w:pPr>
                    <w:pStyle w:val="28"/>
                    <w:widowControl w:val="0"/>
                    <w:bidi w:val="0"/>
                    <w:rPr>
                      <w:rFonts w:hint="default"/>
                      <w:color w:val="auto"/>
                      <w:lang w:val="en-US" w:eastAsia="zh-CN"/>
                    </w:rPr>
                  </w:pPr>
                  <w:r>
                    <w:rPr>
                      <w:rFonts w:hint="eastAsia"/>
                      <w:color w:val="auto"/>
                      <w:lang w:val="en-US" w:eastAsia="zh-CN"/>
                    </w:rPr>
                    <w:t>100</w:t>
                  </w:r>
                </w:p>
              </w:tc>
              <w:tc>
                <w:tcPr>
                  <w:tcW w:w="1289" w:type="pct"/>
                  <w:vMerge w:val="continue"/>
                  <w:tcBorders>
                    <w:tl2br w:val="nil"/>
                    <w:tr2bl w:val="nil"/>
                  </w:tcBorders>
                  <w:noWrap w:val="0"/>
                  <w:vAlign w:val="center"/>
                </w:tcPr>
                <w:p w14:paraId="4A5713BF">
                  <w:pPr>
                    <w:pStyle w:val="28"/>
                    <w:widowControl w:val="0"/>
                    <w:bidi w:val="0"/>
                    <w:rPr>
                      <w:rFonts w:hint="default"/>
                      <w:color w:val="auto"/>
                      <w:lang w:val="en-US" w:eastAsia="zh-CN"/>
                    </w:rPr>
                  </w:pPr>
                </w:p>
              </w:tc>
            </w:tr>
            <w:tr w14:paraId="48863C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tcBorders>
                    <w:tl2br w:val="nil"/>
                    <w:tr2bl w:val="nil"/>
                  </w:tcBorders>
                  <w:noWrap w:val="0"/>
                  <w:vAlign w:val="center"/>
                </w:tcPr>
                <w:p w14:paraId="0408E58E">
                  <w:pPr>
                    <w:pStyle w:val="28"/>
                    <w:widowControl w:val="0"/>
                    <w:bidi w:val="0"/>
                    <w:rPr>
                      <w:rFonts w:hint="default"/>
                      <w:color w:val="auto"/>
                      <w:lang w:val="en-US" w:eastAsia="zh-CN"/>
                    </w:rPr>
                  </w:pPr>
                  <w:r>
                    <w:rPr>
                      <w:rFonts w:hint="eastAsia"/>
                      <w:color w:val="auto"/>
                      <w:lang w:val="en-US" w:eastAsia="zh-CN"/>
                    </w:rPr>
                    <w:t>7</w:t>
                  </w:r>
                </w:p>
              </w:tc>
              <w:tc>
                <w:tcPr>
                  <w:tcW w:w="1944" w:type="pct"/>
                  <w:tcBorders>
                    <w:tl2br w:val="nil"/>
                    <w:tr2bl w:val="nil"/>
                  </w:tcBorders>
                  <w:noWrap w:val="0"/>
                  <w:vAlign w:val="center"/>
                </w:tcPr>
                <w:p w14:paraId="2A4C3076">
                  <w:pPr>
                    <w:pStyle w:val="28"/>
                    <w:widowControl w:val="0"/>
                    <w:bidi w:val="0"/>
                    <w:rPr>
                      <w:rFonts w:hint="eastAsia"/>
                      <w:color w:val="auto"/>
                      <w:lang w:val="en-US" w:eastAsia="zh-CN"/>
                    </w:rPr>
                  </w:pPr>
                  <w:r>
                    <w:rPr>
                      <w:rFonts w:hint="eastAsia"/>
                      <w:color w:val="auto"/>
                      <w:lang w:eastAsia="zh-CN"/>
                    </w:rPr>
                    <w:t>粪大肠菌群</w:t>
                  </w:r>
                  <w:r>
                    <w:rPr>
                      <w:rFonts w:hint="eastAsia"/>
                      <w:color w:val="auto"/>
                    </w:rPr>
                    <w:t>数（</w:t>
                  </w:r>
                  <w:r>
                    <w:rPr>
                      <w:rFonts w:hint="eastAsia"/>
                      <w:color w:val="auto"/>
                      <w:lang w:val="en-US" w:eastAsia="zh-CN"/>
                    </w:rPr>
                    <w:t>个</w:t>
                  </w:r>
                  <w:r>
                    <w:rPr>
                      <w:color w:val="auto"/>
                    </w:rPr>
                    <w:t>/L</w:t>
                  </w:r>
                  <w:r>
                    <w:rPr>
                      <w:rFonts w:hint="eastAsia"/>
                      <w:color w:val="auto"/>
                    </w:rPr>
                    <w:t>）</w:t>
                  </w:r>
                </w:p>
              </w:tc>
              <w:tc>
                <w:tcPr>
                  <w:tcW w:w="1233" w:type="pct"/>
                  <w:tcBorders>
                    <w:tl2br w:val="nil"/>
                    <w:tr2bl w:val="nil"/>
                  </w:tcBorders>
                  <w:noWrap w:val="0"/>
                  <w:vAlign w:val="center"/>
                </w:tcPr>
                <w:p w14:paraId="296BD42B">
                  <w:pPr>
                    <w:pStyle w:val="28"/>
                    <w:widowControl w:val="0"/>
                    <w:bidi w:val="0"/>
                    <w:rPr>
                      <w:rFonts w:hint="default"/>
                      <w:color w:val="auto"/>
                      <w:lang w:val="en-US" w:eastAsia="zh-CN"/>
                    </w:rPr>
                  </w:pPr>
                  <w:r>
                    <w:rPr>
                      <w:rFonts w:hint="eastAsia"/>
                      <w:color w:val="auto"/>
                      <w:lang w:val="en-US" w:eastAsia="zh-CN"/>
                    </w:rPr>
                    <w:t>5000</w:t>
                  </w:r>
                </w:p>
              </w:tc>
              <w:tc>
                <w:tcPr>
                  <w:tcW w:w="1289" w:type="pct"/>
                  <w:vMerge w:val="continue"/>
                  <w:tcBorders>
                    <w:tl2br w:val="nil"/>
                    <w:tr2bl w:val="nil"/>
                  </w:tcBorders>
                  <w:noWrap w:val="0"/>
                  <w:vAlign w:val="center"/>
                </w:tcPr>
                <w:p w14:paraId="20FD5C73">
                  <w:pPr>
                    <w:pStyle w:val="28"/>
                    <w:widowControl w:val="0"/>
                    <w:bidi w:val="0"/>
                    <w:rPr>
                      <w:rFonts w:hint="default"/>
                      <w:color w:val="auto"/>
                      <w:lang w:val="en-US" w:eastAsia="zh-CN"/>
                    </w:rPr>
                  </w:pPr>
                </w:p>
              </w:tc>
            </w:tr>
          </w:tbl>
          <w:p w14:paraId="2ED2CE35">
            <w:pPr>
              <w:pStyle w:val="3"/>
              <w:bidi w:val="0"/>
              <w:rPr>
                <w:color w:val="auto"/>
                <w:lang w:eastAsia="zh-CN"/>
              </w:rPr>
            </w:pPr>
            <w:r>
              <w:rPr>
                <w:rFonts w:hint="eastAsia"/>
                <w:color w:val="auto"/>
                <w:lang w:eastAsia="zh-CN"/>
              </w:rPr>
              <w:t>3</w:t>
            </w:r>
            <w:r>
              <w:rPr>
                <w:rFonts w:hint="eastAsia"/>
                <w:color w:val="auto"/>
                <w:lang w:val="en-US" w:eastAsia="zh-CN"/>
              </w:rPr>
              <w:t>.9、噪</w:t>
            </w:r>
            <w:r>
              <w:rPr>
                <w:rFonts w:hint="eastAsia"/>
                <w:color w:val="auto"/>
                <w:lang w:eastAsia="zh-CN"/>
              </w:rPr>
              <w:t>声排放标准</w:t>
            </w:r>
          </w:p>
          <w:p w14:paraId="55822A9D">
            <w:pPr>
              <w:pStyle w:val="29"/>
              <w:bidi w:val="0"/>
              <w:rPr>
                <w:rFonts w:hint="eastAsia"/>
                <w:color w:val="auto"/>
                <w:lang w:eastAsia="zh-CN"/>
              </w:rPr>
            </w:pPr>
            <w:r>
              <w:rPr>
                <w:rFonts w:hint="eastAsia"/>
                <w:color w:val="auto"/>
                <w:lang w:eastAsia="zh-CN"/>
              </w:rPr>
              <w:t>项目运营期</w:t>
            </w:r>
            <w:r>
              <w:rPr>
                <w:rFonts w:hint="eastAsia"/>
                <w:color w:val="auto"/>
                <w:lang w:val="en-US" w:eastAsia="zh-CN"/>
              </w:rPr>
              <w:t>厂界四周</w:t>
            </w:r>
            <w:r>
              <w:rPr>
                <w:rFonts w:hint="eastAsia"/>
                <w:color w:val="auto"/>
                <w:lang w:eastAsia="zh-CN"/>
              </w:rPr>
              <w:t>噪声执行</w:t>
            </w:r>
            <w:bookmarkStart w:id="12" w:name="OLE_LINK85"/>
            <w:r>
              <w:rPr>
                <w:rFonts w:hint="eastAsia"/>
                <w:color w:val="auto"/>
                <w:lang w:eastAsia="zh-CN"/>
              </w:rPr>
              <w:t>《工业企业厂界环境噪声排放标准》</w:t>
            </w:r>
            <w:bookmarkEnd w:id="12"/>
            <w:r>
              <w:rPr>
                <w:rFonts w:hint="eastAsia"/>
                <w:color w:val="auto"/>
                <w:lang w:eastAsia="zh-CN"/>
              </w:rPr>
              <w:t>（</w:t>
            </w:r>
            <w:r>
              <w:rPr>
                <w:color w:val="auto"/>
                <w:lang w:eastAsia="zh-CN"/>
              </w:rPr>
              <w:t>GB12348-2008</w:t>
            </w:r>
            <w:r>
              <w:rPr>
                <w:rFonts w:hint="eastAsia"/>
                <w:color w:val="auto"/>
                <w:lang w:eastAsia="zh-CN"/>
              </w:rPr>
              <w:t>）</w:t>
            </w:r>
            <w:r>
              <w:rPr>
                <w:rFonts w:hint="eastAsia"/>
                <w:color w:val="auto"/>
                <w:lang w:val="en-US" w:eastAsia="zh-CN"/>
              </w:rPr>
              <w:t>2</w:t>
            </w:r>
            <w:r>
              <w:rPr>
                <w:rFonts w:hint="eastAsia"/>
                <w:color w:val="auto"/>
                <w:lang w:eastAsia="zh-CN"/>
              </w:rPr>
              <w:t>类</w:t>
            </w:r>
            <w:r>
              <w:rPr>
                <w:rFonts w:hint="eastAsia"/>
                <w:color w:val="auto"/>
                <w:lang w:val="en-US" w:eastAsia="zh-CN"/>
              </w:rPr>
              <w:t>功能</w:t>
            </w:r>
            <w:r>
              <w:rPr>
                <w:rFonts w:hint="eastAsia"/>
                <w:color w:val="auto"/>
                <w:lang w:eastAsia="zh-CN"/>
              </w:rPr>
              <w:t>区限值。</w:t>
            </w:r>
          </w:p>
          <w:p w14:paraId="7CBB1896">
            <w:pPr>
              <w:pStyle w:val="22"/>
              <w:bidi w:val="0"/>
              <w:rPr>
                <w:color w:val="auto"/>
                <w:lang w:eastAsia="zh-CN"/>
              </w:rPr>
            </w:pPr>
            <w:r>
              <w:rPr>
                <w:rFonts w:hint="eastAsia"/>
                <w:color w:val="auto"/>
                <w:lang w:eastAsia="zh-CN"/>
              </w:rPr>
              <w:t>表3-</w:t>
            </w:r>
            <w:r>
              <w:rPr>
                <w:rFonts w:hint="eastAsia"/>
                <w:color w:val="auto"/>
                <w:lang w:val="en-US" w:eastAsia="zh-CN"/>
              </w:rPr>
              <w:t xml:space="preserve">8   </w:t>
            </w:r>
            <w:r>
              <w:rPr>
                <w:rFonts w:hint="eastAsia"/>
                <w:color w:val="auto"/>
                <w:lang w:eastAsia="zh-CN"/>
              </w:rPr>
              <w:t>噪声排放标准</w:t>
            </w:r>
          </w:p>
          <w:tbl>
            <w:tblPr>
              <w:tblStyle w:val="14"/>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999"/>
              <w:gridCol w:w="1209"/>
              <w:gridCol w:w="4317"/>
            </w:tblGrid>
            <w:tr w14:paraId="414BF0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40" w:hRule="atLeast"/>
                <w:jc w:val="center"/>
              </w:trPr>
              <w:tc>
                <w:tcPr>
                  <w:tcW w:w="1047" w:type="pct"/>
                  <w:tcBorders>
                    <w:tl2br w:val="nil"/>
                    <w:tr2bl w:val="nil"/>
                  </w:tcBorders>
                  <w:noWrap w:val="0"/>
                  <w:vAlign w:val="center"/>
                </w:tcPr>
                <w:p w14:paraId="217EC45B">
                  <w:pPr>
                    <w:spacing w:line="240" w:lineRule="atLeast"/>
                    <w:ind w:firstLine="0" w:firstLineChars="0"/>
                    <w:jc w:val="center"/>
                    <w:rPr>
                      <w:rFonts w:hint="default"/>
                      <w:b/>
                      <w:color w:val="auto"/>
                      <w:sz w:val="21"/>
                      <w:szCs w:val="21"/>
                      <w:lang w:val="en-US" w:eastAsia="zh-CN"/>
                    </w:rPr>
                  </w:pPr>
                  <w:r>
                    <w:rPr>
                      <w:rFonts w:hint="eastAsia"/>
                      <w:b/>
                      <w:color w:val="auto"/>
                      <w:sz w:val="21"/>
                      <w:szCs w:val="21"/>
                      <w:lang w:val="en-US" w:eastAsia="zh-CN"/>
                    </w:rPr>
                    <w:t>位置</w:t>
                  </w:r>
                </w:p>
              </w:tc>
              <w:tc>
                <w:tcPr>
                  <w:tcW w:w="605" w:type="pct"/>
                  <w:tcBorders>
                    <w:tl2br w:val="nil"/>
                    <w:tr2bl w:val="nil"/>
                  </w:tcBorders>
                  <w:noWrap w:val="0"/>
                  <w:vAlign w:val="center"/>
                </w:tcPr>
                <w:p w14:paraId="2FF4D166">
                  <w:pPr>
                    <w:spacing w:line="240" w:lineRule="atLeast"/>
                    <w:ind w:firstLine="0" w:firstLineChars="0"/>
                    <w:jc w:val="center"/>
                    <w:rPr>
                      <w:b/>
                      <w:color w:val="auto"/>
                      <w:sz w:val="21"/>
                      <w:szCs w:val="21"/>
                      <w:lang w:eastAsia="zh-CN"/>
                    </w:rPr>
                  </w:pPr>
                  <w:r>
                    <w:rPr>
                      <w:rFonts w:hint="eastAsia"/>
                      <w:b/>
                      <w:color w:val="auto"/>
                      <w:sz w:val="21"/>
                      <w:szCs w:val="21"/>
                      <w:lang w:eastAsia="zh-CN"/>
                    </w:rPr>
                    <w:t>昼间</w:t>
                  </w:r>
                </w:p>
              </w:tc>
              <w:tc>
                <w:tcPr>
                  <w:tcW w:w="732" w:type="pct"/>
                  <w:tcBorders>
                    <w:tl2br w:val="nil"/>
                    <w:tr2bl w:val="nil"/>
                  </w:tcBorders>
                  <w:noWrap w:val="0"/>
                  <w:vAlign w:val="center"/>
                </w:tcPr>
                <w:p w14:paraId="34718F3B">
                  <w:pPr>
                    <w:spacing w:line="240" w:lineRule="atLeast"/>
                    <w:ind w:firstLine="0" w:firstLineChars="0"/>
                    <w:jc w:val="center"/>
                    <w:rPr>
                      <w:b/>
                      <w:color w:val="auto"/>
                      <w:sz w:val="21"/>
                      <w:szCs w:val="21"/>
                      <w:lang w:eastAsia="zh-CN"/>
                    </w:rPr>
                  </w:pPr>
                  <w:r>
                    <w:rPr>
                      <w:rFonts w:hint="eastAsia"/>
                      <w:b/>
                      <w:color w:val="auto"/>
                      <w:sz w:val="21"/>
                      <w:szCs w:val="21"/>
                      <w:lang w:eastAsia="zh-CN"/>
                    </w:rPr>
                    <w:t>夜间</w:t>
                  </w:r>
                </w:p>
              </w:tc>
              <w:tc>
                <w:tcPr>
                  <w:tcW w:w="2614" w:type="pct"/>
                  <w:tcBorders>
                    <w:tl2br w:val="nil"/>
                    <w:tr2bl w:val="nil"/>
                  </w:tcBorders>
                  <w:noWrap w:val="0"/>
                  <w:vAlign w:val="center"/>
                </w:tcPr>
                <w:p w14:paraId="114D5E66">
                  <w:pPr>
                    <w:spacing w:line="240" w:lineRule="atLeast"/>
                    <w:ind w:firstLine="0" w:firstLineChars="0"/>
                    <w:jc w:val="center"/>
                    <w:rPr>
                      <w:b/>
                      <w:color w:val="auto"/>
                      <w:sz w:val="21"/>
                      <w:szCs w:val="21"/>
                      <w:lang w:eastAsia="zh-CN"/>
                    </w:rPr>
                  </w:pPr>
                  <w:r>
                    <w:rPr>
                      <w:rFonts w:hint="eastAsia"/>
                      <w:b/>
                      <w:color w:val="auto"/>
                      <w:sz w:val="21"/>
                      <w:szCs w:val="21"/>
                      <w:lang w:eastAsia="zh-CN"/>
                    </w:rPr>
                    <w:t>采用标准</w:t>
                  </w:r>
                </w:p>
              </w:tc>
            </w:tr>
            <w:tr w14:paraId="2B54B7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7" w:type="pct"/>
                  <w:tcBorders>
                    <w:tl2br w:val="nil"/>
                    <w:tr2bl w:val="nil"/>
                  </w:tcBorders>
                  <w:noWrap w:val="0"/>
                  <w:vAlign w:val="center"/>
                </w:tcPr>
                <w:p w14:paraId="17182B42">
                  <w:pPr>
                    <w:spacing w:line="240" w:lineRule="atLeast"/>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厂界四周</w:t>
                  </w:r>
                </w:p>
              </w:tc>
              <w:tc>
                <w:tcPr>
                  <w:tcW w:w="605" w:type="pct"/>
                  <w:tcBorders>
                    <w:tl2br w:val="nil"/>
                    <w:tr2bl w:val="nil"/>
                  </w:tcBorders>
                  <w:noWrap w:val="0"/>
                  <w:vAlign w:val="center"/>
                </w:tcPr>
                <w:p w14:paraId="428F720E">
                  <w:pPr>
                    <w:spacing w:line="240" w:lineRule="atLeas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60</w:t>
                  </w:r>
                </w:p>
              </w:tc>
              <w:tc>
                <w:tcPr>
                  <w:tcW w:w="732" w:type="pct"/>
                  <w:tcBorders>
                    <w:tl2br w:val="nil"/>
                    <w:tr2bl w:val="nil"/>
                  </w:tcBorders>
                  <w:noWrap w:val="0"/>
                  <w:vAlign w:val="center"/>
                </w:tcPr>
                <w:p w14:paraId="62886065">
                  <w:pPr>
                    <w:spacing w:line="240" w:lineRule="atLeas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50</w:t>
                  </w:r>
                </w:p>
              </w:tc>
              <w:tc>
                <w:tcPr>
                  <w:tcW w:w="2614" w:type="pct"/>
                  <w:tcBorders>
                    <w:tl2br w:val="nil"/>
                    <w:tr2bl w:val="nil"/>
                  </w:tcBorders>
                  <w:noWrap w:val="0"/>
                  <w:vAlign w:val="center"/>
                </w:tcPr>
                <w:p w14:paraId="145FBC2C">
                  <w:pPr>
                    <w:spacing w:line="240" w:lineRule="atLeast"/>
                    <w:ind w:firstLine="0" w:firstLineChars="0"/>
                    <w:jc w:val="center"/>
                    <w:rPr>
                      <w:color w:val="auto"/>
                      <w:sz w:val="21"/>
                      <w:szCs w:val="21"/>
                      <w:lang w:eastAsia="zh-CN"/>
                    </w:rPr>
                  </w:pPr>
                  <w:bookmarkStart w:id="13" w:name="OLE_LINK86"/>
                  <w:r>
                    <w:rPr>
                      <w:rFonts w:hint="eastAsia"/>
                      <w:color w:val="auto"/>
                      <w:sz w:val="21"/>
                      <w:szCs w:val="21"/>
                      <w:lang w:eastAsia="zh-CN"/>
                    </w:rPr>
                    <w:t>《工业企业厂界环境噪声排放标准》（</w:t>
                  </w:r>
                  <w:r>
                    <w:rPr>
                      <w:rFonts w:eastAsia="Times New Roman"/>
                      <w:color w:val="auto"/>
                      <w:sz w:val="21"/>
                      <w:szCs w:val="21"/>
                      <w:lang w:eastAsia="zh-CN"/>
                    </w:rPr>
                    <w:t>GB12348-2008</w:t>
                  </w:r>
                  <w:r>
                    <w:rPr>
                      <w:rFonts w:hint="eastAsia"/>
                      <w:color w:val="auto"/>
                      <w:sz w:val="21"/>
                      <w:szCs w:val="21"/>
                      <w:lang w:eastAsia="zh-CN"/>
                    </w:rPr>
                    <w:t>）</w:t>
                  </w:r>
                  <w:bookmarkEnd w:id="13"/>
                  <w:r>
                    <w:rPr>
                      <w:rFonts w:hint="eastAsia"/>
                      <w:color w:val="auto"/>
                      <w:sz w:val="21"/>
                      <w:szCs w:val="21"/>
                      <w:lang w:val="en-US" w:eastAsia="zh-CN"/>
                    </w:rPr>
                    <w:t>2类功能区</w:t>
                  </w:r>
                </w:p>
              </w:tc>
            </w:tr>
          </w:tbl>
          <w:p w14:paraId="10524FD3">
            <w:pPr>
              <w:pStyle w:val="3"/>
              <w:bidi w:val="0"/>
              <w:rPr>
                <w:rFonts w:hint="eastAsia"/>
                <w:color w:val="auto"/>
                <w:lang w:val="en-US" w:eastAsia="zh-CN"/>
              </w:rPr>
            </w:pPr>
            <w:r>
              <w:rPr>
                <w:rFonts w:hint="eastAsia"/>
                <w:color w:val="auto"/>
                <w:lang w:val="en-US" w:eastAsia="zh-CN"/>
              </w:rPr>
              <w:t>3.10、</w:t>
            </w:r>
            <w:r>
              <w:rPr>
                <w:color w:val="auto"/>
                <w:lang w:val="en-US" w:eastAsia="zh-CN"/>
              </w:rPr>
              <w:t>固体废物</w:t>
            </w:r>
          </w:p>
          <w:p w14:paraId="380C921A">
            <w:pPr>
              <w:pStyle w:val="29"/>
              <w:bidi w:val="0"/>
              <w:rPr>
                <w:rFonts w:hint="eastAsia"/>
                <w:color w:val="auto"/>
                <w:lang w:val="en-US" w:eastAsia="zh-CN"/>
              </w:rPr>
            </w:pPr>
            <w:r>
              <w:rPr>
                <w:rFonts w:hint="eastAsia"/>
                <w:color w:val="auto"/>
              </w:rPr>
              <w:t>本项目一般固体废物贮存过程采取</w:t>
            </w:r>
            <w:r>
              <w:rPr>
                <w:rFonts w:hint="eastAsia"/>
                <w:color w:val="auto"/>
                <w:lang w:eastAsia="zh-CN"/>
              </w:rPr>
              <w:t>贮存间</w:t>
            </w:r>
            <w:r>
              <w:rPr>
                <w:rFonts w:hint="eastAsia"/>
                <w:color w:val="auto"/>
              </w:rPr>
              <w:t>形式，其贮存过程应满足防渗漏、防雨淋、防扬尘等环境保护要求</w:t>
            </w:r>
            <w:r>
              <w:rPr>
                <w:rFonts w:hint="eastAsia"/>
                <w:color w:val="auto"/>
                <w:lang w:eastAsia="zh-CN"/>
              </w:rPr>
              <w:t>。</w:t>
            </w:r>
          </w:p>
          <w:p w14:paraId="52FA5C30">
            <w:pPr>
              <w:pStyle w:val="29"/>
              <w:bidi w:val="0"/>
              <w:rPr>
                <w:rFonts w:hint="default"/>
                <w:color w:val="auto"/>
              </w:rPr>
            </w:pPr>
            <w:r>
              <w:rPr>
                <w:rFonts w:hint="eastAsia"/>
                <w:color w:val="auto"/>
                <w:lang w:val="en-US" w:eastAsia="zh-CN"/>
              </w:rPr>
              <w:t>医疗废物</w:t>
            </w:r>
            <w:r>
              <w:rPr>
                <w:color w:val="auto"/>
              </w:rPr>
              <w:t>贮存过程执行《危险废物贮存污染控制标准》（GB18597-2023）相关要求；并应符合《医疗废物管理条例》和《医疗卫生机构医疗废物管理办法》的相关规定</w:t>
            </w:r>
            <w:r>
              <w:rPr>
                <w:rFonts w:hint="eastAsia"/>
                <w:color w:val="auto"/>
                <w:lang w:eastAsia="zh-CN"/>
              </w:rPr>
              <w:t>，</w:t>
            </w:r>
            <w:r>
              <w:rPr>
                <w:color w:val="auto"/>
              </w:rPr>
              <w:t>转移过程执行《危险废物转移管理办法》。</w:t>
            </w:r>
          </w:p>
        </w:tc>
      </w:tr>
      <w:tr w14:paraId="7305E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8" w:hRule="atLeast"/>
        </w:trPr>
        <w:tc>
          <w:tcPr>
            <w:tcW w:w="725" w:type="dxa"/>
            <w:tcBorders>
              <w:left w:val="single" w:color="000000" w:sz="6" w:space="0"/>
            </w:tcBorders>
            <w:vAlign w:val="center"/>
          </w:tcPr>
          <w:p w14:paraId="65662675">
            <w:pPr>
              <w:bidi w:val="0"/>
              <w:jc w:val="both"/>
              <w:rPr>
                <w:rFonts w:hint="default"/>
                <w:color w:val="auto"/>
              </w:rPr>
            </w:pPr>
            <w:r>
              <w:rPr>
                <w:rFonts w:hint="default"/>
                <w:color w:val="auto"/>
              </w:rPr>
              <w:t>总量控制指标</w:t>
            </w:r>
          </w:p>
        </w:tc>
        <w:tc>
          <w:tcPr>
            <w:tcW w:w="8269" w:type="dxa"/>
            <w:tcBorders>
              <w:right w:val="single" w:color="000000" w:sz="6" w:space="0"/>
            </w:tcBorders>
            <w:vAlign w:val="center"/>
          </w:tcPr>
          <w:p w14:paraId="5328059D">
            <w:pPr>
              <w:pStyle w:val="29"/>
              <w:keepNext w:val="0"/>
              <w:keepLines w:val="0"/>
              <w:pageBreakBefore w:val="0"/>
              <w:widowControl/>
              <w:kinsoku/>
              <w:wordWrap/>
              <w:overflowPunct/>
              <w:topLinePunct w:val="0"/>
              <w:autoSpaceDE w:val="0"/>
              <w:autoSpaceDN w:val="0"/>
              <w:bidi w:val="0"/>
              <w:adjustRightInd/>
              <w:snapToGrid/>
              <w:textAlignment w:val="baseline"/>
              <w:rPr>
                <w:rFonts w:hint="default"/>
                <w:color w:val="auto"/>
              </w:rPr>
            </w:pPr>
            <w:r>
              <w:rPr>
                <w:rFonts w:hint="eastAsia"/>
                <w:color w:val="auto"/>
                <w:lang w:val="en-US" w:eastAsia="zh-CN"/>
              </w:rPr>
              <w:t>项</w:t>
            </w:r>
            <w:r>
              <w:rPr>
                <w:color w:val="auto"/>
                <w:lang w:val="en-US" w:eastAsia="en-US"/>
              </w:rPr>
              <w:t>目产生的废水主要为生活污水</w:t>
            </w:r>
            <w:r>
              <w:rPr>
                <w:rFonts w:hint="eastAsia"/>
                <w:color w:val="auto"/>
                <w:lang w:val="en-US" w:eastAsia="zh-CN"/>
              </w:rPr>
              <w:t>、清洗消毒废水</w:t>
            </w:r>
            <w:r>
              <w:rPr>
                <w:color w:val="auto"/>
                <w:lang w:val="en-US" w:eastAsia="en-US"/>
              </w:rPr>
              <w:t>和医疗</w:t>
            </w:r>
            <w:r>
              <w:rPr>
                <w:rFonts w:hint="eastAsia"/>
                <w:color w:val="auto"/>
                <w:lang w:val="en-US" w:eastAsia="zh-CN"/>
              </w:rPr>
              <w:t>废</w:t>
            </w:r>
            <w:r>
              <w:rPr>
                <w:color w:val="auto"/>
                <w:lang w:val="en-US" w:eastAsia="en-US"/>
              </w:rPr>
              <w:t>水，</w:t>
            </w:r>
            <w:bookmarkStart w:id="14" w:name="OLE_LINK88"/>
            <w:r>
              <w:rPr>
                <w:color w:val="auto"/>
                <w:lang w:val="en-US" w:eastAsia="en-US"/>
              </w:rPr>
              <w:t>本项目医疗废水</w:t>
            </w:r>
            <w:r>
              <w:rPr>
                <w:rFonts w:hint="eastAsia"/>
                <w:color w:val="auto"/>
                <w:lang w:val="en-US" w:eastAsia="zh-CN"/>
              </w:rPr>
              <w:t>及清洗消毒废水</w:t>
            </w:r>
            <w:r>
              <w:rPr>
                <w:color w:val="auto"/>
                <w:lang w:val="en-US" w:eastAsia="en-US"/>
              </w:rPr>
              <w:t>经</w:t>
            </w:r>
            <w:r>
              <w:rPr>
                <w:rFonts w:hint="eastAsia"/>
                <w:color w:val="auto"/>
                <w:lang w:val="en-US" w:eastAsia="zh-CN"/>
              </w:rPr>
              <w:t>预</w:t>
            </w:r>
            <w:r>
              <w:rPr>
                <w:color w:val="auto"/>
                <w:lang w:val="en-US" w:eastAsia="en-US"/>
              </w:rPr>
              <w:t>处理后与</w:t>
            </w:r>
            <w:r>
              <w:rPr>
                <w:rFonts w:hint="eastAsia"/>
                <w:color w:val="auto"/>
                <w:lang w:val="en-US" w:eastAsia="zh-CN"/>
              </w:rPr>
              <w:t>生活污水</w:t>
            </w:r>
            <w:r>
              <w:rPr>
                <w:color w:val="auto"/>
                <w:lang w:val="en-US" w:eastAsia="en-US"/>
              </w:rPr>
              <w:t>一</w:t>
            </w:r>
            <w:r>
              <w:rPr>
                <w:rFonts w:hint="eastAsia"/>
                <w:color w:val="auto"/>
                <w:lang w:val="en-US" w:eastAsia="zh-CN"/>
              </w:rPr>
              <w:t>同</w:t>
            </w:r>
            <w:r>
              <w:rPr>
                <w:color w:val="auto"/>
                <w:lang w:val="en-US" w:eastAsia="en-US"/>
              </w:rPr>
              <w:t>排入市政污水</w:t>
            </w:r>
            <w:r>
              <w:rPr>
                <w:rFonts w:hint="eastAsia"/>
                <w:color w:val="auto"/>
                <w:lang w:val="en-US" w:eastAsia="zh-CN"/>
              </w:rPr>
              <w:t>管</w:t>
            </w:r>
            <w:r>
              <w:rPr>
                <w:color w:val="auto"/>
                <w:lang w:val="en-US" w:eastAsia="en-US"/>
              </w:rPr>
              <w:t>网，</w:t>
            </w:r>
            <w:bookmarkEnd w:id="14"/>
            <w:r>
              <w:rPr>
                <w:color w:val="auto"/>
                <w:lang w:val="en-US" w:eastAsia="en-US"/>
              </w:rPr>
              <w:t>废水经处理后污染物含量</w:t>
            </w:r>
            <w:r>
              <w:rPr>
                <w:rFonts w:hint="eastAsia"/>
                <w:color w:val="auto"/>
                <w:lang w:val="en-US" w:eastAsia="zh-CN"/>
              </w:rPr>
              <w:t>较</w:t>
            </w:r>
            <w:r>
              <w:rPr>
                <w:color w:val="auto"/>
                <w:lang w:val="en-US" w:eastAsia="en-US"/>
              </w:rPr>
              <w:t>少，纳入</w:t>
            </w:r>
            <w:r>
              <w:rPr>
                <w:rFonts w:hint="eastAsia"/>
                <w:color w:val="auto"/>
                <w:lang w:val="en-US" w:eastAsia="zh-CN"/>
              </w:rPr>
              <w:t>库尔勒市老城区污水处理厂</w:t>
            </w:r>
            <w:r>
              <w:rPr>
                <w:color w:val="auto"/>
                <w:lang w:val="en-US" w:eastAsia="en-US"/>
              </w:rPr>
              <w:t>总量指标管理，不单独申请总量控制指标。根据国家污染物总量控制指标，综合考虑本项目污染特征、所在区域环境质量现状等因素，本项目不申请总量指标。</w:t>
            </w:r>
          </w:p>
        </w:tc>
      </w:tr>
    </w:tbl>
    <w:p w14:paraId="34F5E82F">
      <w:pPr>
        <w:rPr>
          <w:rFonts w:hint="default" w:ascii="Times New Roman" w:hAnsi="Times New Roman" w:cs="Times New Roman"/>
          <w:color w:val="auto"/>
          <w:sz w:val="21"/>
        </w:rPr>
      </w:pPr>
    </w:p>
    <w:p w14:paraId="11C9684D">
      <w:pPr>
        <w:rPr>
          <w:rFonts w:hint="default" w:ascii="Times New Roman" w:hAnsi="Times New Roman" w:cs="Times New Roman"/>
          <w:color w:val="auto"/>
        </w:rPr>
        <w:sectPr>
          <w:footerReference r:id="rId8" w:type="default"/>
          <w:pgSz w:w="11907" w:h="16840"/>
          <w:pgMar w:top="1431" w:right="1449" w:bottom="959" w:left="1448" w:header="0" w:footer="692" w:gutter="0"/>
          <w:pgBorders>
            <w:top w:val="none" w:sz="0" w:space="0"/>
            <w:left w:val="none" w:sz="0" w:space="0"/>
            <w:bottom w:val="none" w:sz="0" w:space="0"/>
            <w:right w:val="none" w:sz="0" w:space="0"/>
          </w:pgBorders>
          <w:pgNumType w:fmt="decimal"/>
          <w:cols w:space="720" w:num="1"/>
        </w:sectPr>
      </w:pPr>
    </w:p>
    <w:p w14:paraId="0F6CCDC6">
      <w:pPr>
        <w:spacing w:line="249" w:lineRule="auto"/>
        <w:rPr>
          <w:rFonts w:hint="default" w:ascii="Times New Roman" w:hAnsi="Times New Roman" w:cs="Times New Roman"/>
          <w:color w:val="auto"/>
          <w:sz w:val="21"/>
        </w:rPr>
      </w:pPr>
    </w:p>
    <w:p w14:paraId="78B6798A">
      <w:pPr>
        <w:pStyle w:val="2"/>
        <w:bidi w:val="0"/>
        <w:rPr>
          <w:rFonts w:hint="default"/>
          <w:color w:val="auto"/>
        </w:rPr>
      </w:pPr>
      <w:r>
        <w:rPr>
          <w:rFonts w:hint="default"/>
          <w:color w:val="auto"/>
        </w:rPr>
        <w:t>四、主要环境影响和保护措施</w:t>
      </w:r>
    </w:p>
    <w:p w14:paraId="0578ADC8">
      <w:pPr>
        <w:spacing w:line="16" w:lineRule="exact"/>
        <w:rPr>
          <w:rFonts w:hint="default" w:ascii="Times New Roman" w:hAnsi="Times New Roman" w:cs="Times New Roman"/>
          <w:color w:val="auto"/>
        </w:rPr>
      </w:pPr>
    </w:p>
    <w:tbl>
      <w:tblPr>
        <w:tblStyle w:val="27"/>
        <w:tblW w:w="891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8158"/>
      </w:tblGrid>
      <w:tr w14:paraId="47E84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7" w:hRule="atLeast"/>
        </w:trPr>
        <w:tc>
          <w:tcPr>
            <w:tcW w:w="754" w:type="dxa"/>
            <w:tcBorders>
              <w:left w:val="single" w:color="000000" w:sz="6" w:space="0"/>
            </w:tcBorders>
            <w:vAlign w:val="center"/>
          </w:tcPr>
          <w:p w14:paraId="76A9AD98">
            <w:pPr>
              <w:bidi w:val="0"/>
              <w:jc w:val="both"/>
              <w:rPr>
                <w:rFonts w:hint="default"/>
                <w:color w:val="auto"/>
              </w:rPr>
            </w:pPr>
            <w:r>
              <w:rPr>
                <w:rFonts w:hint="default"/>
                <w:color w:val="auto"/>
              </w:rPr>
              <w:t>施工期环境保护措施</w:t>
            </w:r>
          </w:p>
        </w:tc>
        <w:tc>
          <w:tcPr>
            <w:tcW w:w="8158" w:type="dxa"/>
            <w:tcBorders>
              <w:right w:val="single" w:color="000000" w:sz="6" w:space="0"/>
            </w:tcBorders>
            <w:vAlign w:val="center"/>
          </w:tcPr>
          <w:p w14:paraId="7C5107CA">
            <w:pPr>
              <w:pStyle w:val="29"/>
              <w:bidi w:val="0"/>
              <w:rPr>
                <w:rFonts w:hint="eastAsia"/>
                <w:lang w:val="en-US" w:eastAsia="zh-CN"/>
              </w:rPr>
            </w:pPr>
            <w:r>
              <w:rPr>
                <w:rFonts w:hint="eastAsia"/>
                <w:color w:val="auto"/>
                <w:lang w:val="en-US" w:eastAsia="zh-CN"/>
              </w:rPr>
              <w:t>本项目租赁</w:t>
            </w:r>
            <w:r>
              <w:rPr>
                <w:rFonts w:hint="eastAsia"/>
                <w:lang w:val="en-US" w:eastAsia="zh-CN"/>
              </w:rPr>
              <w:t>已建成商业用房，无土建工程，只在原有门面基础上进行小范围改造。项目施工内容主要为房间隔断和设备的安装，施工工序简单，并采取文明施工及时清理、加强管理等环保措施。</w:t>
            </w:r>
          </w:p>
          <w:p w14:paraId="73C5CB6B">
            <w:pPr>
              <w:pStyle w:val="3"/>
              <w:bidi w:val="0"/>
              <w:rPr>
                <w:rFonts w:hint="eastAsia"/>
                <w:lang w:val="en-US" w:eastAsia="zh-CN"/>
              </w:rPr>
            </w:pPr>
            <w:r>
              <w:rPr>
                <w:rFonts w:hint="eastAsia"/>
                <w:lang w:val="en-US" w:eastAsia="zh-CN"/>
              </w:rPr>
              <w:t>4.1施工扬尘防治措施</w:t>
            </w:r>
          </w:p>
          <w:p w14:paraId="512847C2">
            <w:pPr>
              <w:pStyle w:val="29"/>
              <w:keepNext w:val="0"/>
              <w:keepLines w:val="0"/>
              <w:pageBreakBefore w:val="0"/>
              <w:widowControl/>
              <w:kinsoku/>
              <w:wordWrap/>
              <w:overflowPunct/>
              <w:topLinePunct w:val="0"/>
              <w:autoSpaceDE w:val="0"/>
              <w:autoSpaceDN w:val="0"/>
              <w:bidi w:val="0"/>
              <w:adjustRightInd/>
              <w:snapToGrid/>
              <w:textAlignment w:val="baseline"/>
              <w:rPr>
                <w:rFonts w:hint="eastAsia"/>
                <w:lang w:val="en-US" w:eastAsia="zh-CN"/>
              </w:rPr>
            </w:pPr>
            <w:r>
              <w:rPr>
                <w:rFonts w:hint="eastAsia"/>
                <w:lang w:val="en-US" w:eastAsia="zh-CN"/>
              </w:rPr>
              <w:t>本项目施工期主要为项目区楼房的室内装修改造，即施工作业均在室内进行。主要污染物为无组织排放的颗粒物，其产生强度与施工方式、施工条件有关。也会因涂料喷涂产生少量的挥发性有机废气等装修废气。因此，施工扬尘对区域环境产生的影响有限，对室内空气质量将产生一定的影响。针对本项目施工期的特点以及大气污染物产生情况，提出如下措施：</w:t>
            </w:r>
          </w:p>
          <w:p w14:paraId="39C96BE3">
            <w:pPr>
              <w:pStyle w:val="29"/>
              <w:numPr>
                <w:ilvl w:val="0"/>
                <w:numId w:val="0"/>
              </w:numPr>
              <w:bidi w:val="0"/>
              <w:ind w:firstLine="512" w:firstLineChars="200"/>
              <w:rPr>
                <w:rFonts w:hint="eastAsia"/>
                <w:lang w:val="en-US" w:eastAsia="zh-CN"/>
              </w:rPr>
            </w:pPr>
            <w:r>
              <w:rPr>
                <w:rFonts w:hint="eastAsia" w:cs="Times New Roman"/>
                <w:bCs/>
                <w:snapToGrid w:val="0"/>
                <w:color w:val="000000"/>
                <w:spacing w:val="8"/>
                <w:kern w:val="0"/>
                <w:sz w:val="24"/>
                <w:szCs w:val="72"/>
                <w:lang w:val="en-US" w:eastAsia="zh-CN"/>
              </w:rPr>
              <w:t>（1）</w:t>
            </w:r>
            <w:r>
              <w:rPr>
                <w:rFonts w:hint="eastAsia"/>
                <w:lang w:val="en-US" w:eastAsia="zh-CN"/>
              </w:rPr>
              <w:t>针对施工任务和施工场地环境状况，制定合理的施工计划。</w:t>
            </w:r>
          </w:p>
          <w:p w14:paraId="339BF221">
            <w:pPr>
              <w:pStyle w:val="29"/>
              <w:numPr>
                <w:ilvl w:val="0"/>
                <w:numId w:val="0"/>
              </w:numPr>
              <w:bidi w:val="0"/>
              <w:ind w:firstLine="512" w:firstLineChars="200"/>
              <w:rPr>
                <w:rFonts w:hint="eastAsia"/>
                <w:lang w:val="en-US" w:eastAsia="zh-CN"/>
              </w:rPr>
            </w:pPr>
            <w:r>
              <w:rPr>
                <w:rFonts w:hint="eastAsia"/>
                <w:lang w:val="en-US" w:eastAsia="zh-CN"/>
              </w:rPr>
              <w:t>（2）在室内进行装修改造施工时，通过开窗开门的方式加强室内空气流通以降低室内扬尘的浓度。</w:t>
            </w:r>
          </w:p>
          <w:p w14:paraId="09DFCB93">
            <w:pPr>
              <w:pStyle w:val="29"/>
              <w:numPr>
                <w:ilvl w:val="0"/>
                <w:numId w:val="0"/>
              </w:numPr>
              <w:bidi w:val="0"/>
              <w:ind w:firstLine="512" w:firstLineChars="200"/>
              <w:rPr>
                <w:rFonts w:hint="eastAsia"/>
                <w:lang w:val="en-US" w:eastAsia="zh-CN"/>
              </w:rPr>
            </w:pPr>
            <w:r>
              <w:rPr>
                <w:rFonts w:hint="eastAsia"/>
                <w:lang w:val="en-US" w:eastAsia="zh-CN"/>
              </w:rPr>
              <w:t>（3）对建筑垃圾及时处理、清运，以减少占地，防治扬尘污染并进行洒水降尘。采取措施后，施工扬尘对项目区和周边居民住宅楼影响较小，且此类影响会在施工期结束后消失。</w:t>
            </w:r>
          </w:p>
          <w:p w14:paraId="2EE5969B">
            <w:pPr>
              <w:pStyle w:val="3"/>
              <w:bidi w:val="0"/>
              <w:rPr>
                <w:rFonts w:hint="eastAsia"/>
                <w:lang w:val="en-US" w:eastAsia="zh-CN"/>
              </w:rPr>
            </w:pPr>
            <w:r>
              <w:rPr>
                <w:rFonts w:hint="eastAsia"/>
                <w:lang w:val="en-US" w:eastAsia="zh-CN"/>
              </w:rPr>
              <w:t>4.2施工期废水防治措施</w:t>
            </w:r>
          </w:p>
          <w:p w14:paraId="7D890768">
            <w:pPr>
              <w:pStyle w:val="29"/>
              <w:bidi w:val="0"/>
              <w:rPr>
                <w:rFonts w:hint="eastAsia"/>
                <w:lang w:val="en-US" w:eastAsia="zh-CN"/>
              </w:rPr>
            </w:pPr>
            <w:r>
              <w:rPr>
                <w:rFonts w:hint="eastAsia"/>
                <w:lang w:val="en-US" w:eastAsia="zh-CN"/>
              </w:rPr>
              <w:t>本项目无施工废水，仅施工人员产生少量生活污水，生活污水可依托项目区内卫生间进行处理。</w:t>
            </w:r>
          </w:p>
          <w:p w14:paraId="04DEFBEA">
            <w:pPr>
              <w:pStyle w:val="3"/>
              <w:bidi w:val="0"/>
              <w:rPr>
                <w:rFonts w:hint="eastAsia"/>
                <w:lang w:val="en-US" w:eastAsia="zh-CN"/>
              </w:rPr>
            </w:pPr>
            <w:r>
              <w:rPr>
                <w:rFonts w:hint="eastAsia"/>
                <w:lang w:val="en-US" w:eastAsia="zh-CN"/>
              </w:rPr>
              <w:t>4.3施工期噪声防治措施</w:t>
            </w:r>
          </w:p>
          <w:p w14:paraId="0A08F93F">
            <w:pPr>
              <w:pStyle w:val="29"/>
              <w:bidi w:val="0"/>
              <w:rPr>
                <w:rFonts w:hint="eastAsia"/>
                <w:lang w:val="en-US" w:eastAsia="zh-CN"/>
              </w:rPr>
            </w:pPr>
            <w:r>
              <w:rPr>
                <w:rFonts w:hint="eastAsia"/>
                <w:lang w:val="en-US" w:eastAsia="zh-CN"/>
              </w:rPr>
              <w:t>本项目施工期噪声主要来自施工作业与设备安装时所产生的施工噪声，具有临时性、阶段性、不稳定性等特点。根据《中华人民共和国生态环境法典》等相关规定，结合本工程实际情况，对施工期声环境影响提出以下防治措施意见：</w:t>
            </w:r>
          </w:p>
          <w:p w14:paraId="2D82E177">
            <w:pPr>
              <w:pStyle w:val="29"/>
              <w:bidi w:val="0"/>
              <w:rPr>
                <w:rFonts w:hint="eastAsia"/>
                <w:lang w:val="en-US" w:eastAsia="zh-CN"/>
              </w:rPr>
            </w:pPr>
            <w:r>
              <w:rPr>
                <w:rFonts w:hint="eastAsia"/>
                <w:lang w:val="en-US" w:eastAsia="zh-CN"/>
              </w:rPr>
              <w:t>（1）优先使用低噪设备，加强声源噪声控制，加强机械设备保养、严格按规范操作，使其处于良好的运行状态。</w:t>
            </w:r>
          </w:p>
          <w:p w14:paraId="47345923">
            <w:pPr>
              <w:pStyle w:val="29"/>
              <w:bidi w:val="0"/>
              <w:rPr>
                <w:rFonts w:hint="eastAsia"/>
                <w:lang w:val="en-US" w:eastAsia="zh-CN"/>
              </w:rPr>
            </w:pPr>
            <w:r>
              <w:rPr>
                <w:rFonts w:hint="eastAsia"/>
                <w:lang w:val="en-US" w:eastAsia="zh-CN"/>
              </w:rPr>
              <w:t>（2）合理安排施工时间，制定施工计划时，应尽可能避免大量噪声设备同时使用。应尽量安排在白天施工，严禁夜间进行施工。本项目噪声随施工结束而消失，通过采取上述措施后，施工期噪声对周围声环境影响较小。</w:t>
            </w:r>
          </w:p>
          <w:p w14:paraId="14BD05A4">
            <w:pPr>
              <w:pStyle w:val="29"/>
              <w:bidi w:val="0"/>
              <w:rPr>
                <w:rFonts w:hint="default"/>
                <w:lang w:val="en-US" w:eastAsia="zh-CN"/>
              </w:rPr>
            </w:pPr>
            <w:r>
              <w:rPr>
                <w:rFonts w:hint="eastAsia"/>
                <w:lang w:val="en-US" w:eastAsia="zh-CN"/>
              </w:rPr>
              <w:t>（3）施工期噪声通过上述措施后，可满足《建筑施工噪声排放标准》（GB 12523-2025）相关限值标准。</w:t>
            </w:r>
          </w:p>
          <w:p w14:paraId="5D8297D0">
            <w:pPr>
              <w:pStyle w:val="3"/>
              <w:bidi w:val="0"/>
              <w:rPr>
                <w:rFonts w:hint="eastAsia"/>
                <w:lang w:val="en-US" w:eastAsia="zh-CN"/>
              </w:rPr>
            </w:pPr>
            <w:r>
              <w:rPr>
                <w:rFonts w:hint="eastAsia"/>
                <w:lang w:val="en-US" w:eastAsia="zh-CN"/>
              </w:rPr>
              <w:t>4.4施工期固体废物防治措施</w:t>
            </w:r>
          </w:p>
          <w:p w14:paraId="24A2EDBB">
            <w:pPr>
              <w:pStyle w:val="29"/>
              <w:bidi w:val="0"/>
              <w:rPr>
                <w:rFonts w:hint="eastAsia"/>
                <w:lang w:val="en-US" w:eastAsia="zh-CN"/>
              </w:rPr>
            </w:pPr>
            <w:r>
              <w:rPr>
                <w:rFonts w:hint="eastAsia"/>
                <w:lang w:val="en-US" w:eastAsia="zh-CN"/>
              </w:rPr>
              <w:t>本项目施工期固体废物主要为建筑垃圾与生活垃圾。</w:t>
            </w:r>
          </w:p>
          <w:p w14:paraId="5CB0499A">
            <w:pPr>
              <w:pStyle w:val="29"/>
              <w:bidi w:val="0"/>
              <w:rPr>
                <w:rFonts w:hint="eastAsia"/>
                <w:lang w:val="en-US" w:eastAsia="zh-CN"/>
              </w:rPr>
            </w:pPr>
            <w:r>
              <w:rPr>
                <w:rFonts w:hint="eastAsia"/>
                <w:lang w:val="en-US" w:eastAsia="zh-CN"/>
              </w:rPr>
              <w:t>（1）建筑垃圾经分类收集后，尽量综合利用，无法综合利用的建筑垃圾交给符合规定的运输单位运输至政府部门指定的处置点，不得随意倾倒堆置。</w:t>
            </w:r>
          </w:p>
          <w:p w14:paraId="3CBDB2CE">
            <w:pPr>
              <w:pStyle w:val="29"/>
              <w:keepNext w:val="0"/>
              <w:keepLines w:val="0"/>
              <w:pageBreakBefore w:val="0"/>
              <w:widowControl/>
              <w:kinsoku/>
              <w:wordWrap/>
              <w:overflowPunct/>
              <w:topLinePunct w:val="0"/>
              <w:autoSpaceDE w:val="0"/>
              <w:autoSpaceDN w:val="0"/>
              <w:bidi w:val="0"/>
              <w:adjustRightInd/>
              <w:snapToGrid/>
              <w:textAlignment w:val="baseline"/>
              <w:rPr>
                <w:rFonts w:hint="default"/>
                <w:color w:val="auto"/>
              </w:rPr>
            </w:pPr>
            <w:r>
              <w:rPr>
                <w:rFonts w:hint="eastAsia"/>
                <w:lang w:val="en-US" w:eastAsia="zh-CN"/>
              </w:rPr>
              <w:t>（2）生活垃圾收集后运送至项目区附近垃圾站，后由环卫部门处理。</w:t>
            </w:r>
          </w:p>
        </w:tc>
      </w:tr>
      <w:tr w14:paraId="1928D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6" w:hRule="atLeast"/>
        </w:trPr>
        <w:tc>
          <w:tcPr>
            <w:tcW w:w="754" w:type="dxa"/>
            <w:tcBorders>
              <w:left w:val="single" w:color="000000" w:sz="6" w:space="0"/>
            </w:tcBorders>
            <w:vAlign w:val="center"/>
          </w:tcPr>
          <w:p w14:paraId="08DF44D4">
            <w:pPr>
              <w:bidi w:val="0"/>
              <w:jc w:val="both"/>
              <w:rPr>
                <w:rFonts w:hint="default"/>
                <w:color w:val="auto"/>
              </w:rPr>
            </w:pPr>
            <w:r>
              <w:rPr>
                <w:rFonts w:hint="default"/>
                <w:color w:val="auto"/>
              </w:rPr>
              <w:t>运营期环境影响和保护措施</w:t>
            </w:r>
          </w:p>
        </w:tc>
        <w:tc>
          <w:tcPr>
            <w:tcW w:w="8158" w:type="dxa"/>
            <w:tcBorders>
              <w:right w:val="single" w:color="000000" w:sz="6" w:space="0"/>
            </w:tcBorders>
            <w:vAlign w:val="center"/>
          </w:tcPr>
          <w:p w14:paraId="0A015BD9">
            <w:pPr>
              <w:pStyle w:val="3"/>
              <w:bidi w:val="0"/>
              <w:rPr>
                <w:color w:val="auto"/>
              </w:rPr>
            </w:pPr>
            <w:r>
              <w:rPr>
                <w:rFonts w:hint="eastAsia"/>
                <w:color w:val="auto"/>
                <w:lang w:val="en-US" w:eastAsia="zh-CN"/>
              </w:rPr>
              <w:t>4.5</w:t>
            </w:r>
            <w:r>
              <w:rPr>
                <w:rFonts w:hint="eastAsia"/>
                <w:color w:val="auto"/>
              </w:rPr>
              <w:t>、</w:t>
            </w:r>
            <w:r>
              <w:rPr>
                <w:rFonts w:hint="default" w:ascii="Times New Roman" w:hAnsi="Times New Roman" w:cs="Times New Roman"/>
                <w:color w:val="auto"/>
              </w:rPr>
              <w:t>运营期</w:t>
            </w:r>
            <w:r>
              <w:rPr>
                <w:rFonts w:hint="eastAsia"/>
                <w:color w:val="auto"/>
              </w:rPr>
              <w:t>大气环境影响及保护措施分析</w:t>
            </w:r>
          </w:p>
          <w:p w14:paraId="1F3B439A">
            <w:pPr>
              <w:pStyle w:val="4"/>
              <w:bidi w:val="0"/>
              <w:rPr>
                <w:rFonts w:hint="default"/>
                <w:color w:val="auto"/>
                <w:lang w:val="en-US" w:eastAsia="zh-CN"/>
              </w:rPr>
            </w:pPr>
            <w:r>
              <w:rPr>
                <w:rFonts w:hint="eastAsia"/>
                <w:color w:val="auto"/>
                <w:lang w:val="en-US" w:eastAsia="zh-CN"/>
              </w:rPr>
              <w:t>4.5.1废气污染源分析</w:t>
            </w:r>
          </w:p>
          <w:p w14:paraId="777A0F63">
            <w:pPr>
              <w:pStyle w:val="29"/>
              <w:bidi w:val="0"/>
              <w:rPr>
                <w:rFonts w:hint="default"/>
                <w:color w:val="auto"/>
                <w:lang w:val="en-US" w:eastAsia="zh-CN"/>
              </w:rPr>
            </w:pPr>
            <w:r>
              <w:rPr>
                <w:rFonts w:hint="eastAsia"/>
                <w:color w:val="auto"/>
                <w:lang w:val="en-US" w:eastAsia="zh-CN"/>
              </w:rPr>
              <w:t>本</w:t>
            </w:r>
            <w:r>
              <w:rPr>
                <w:rFonts w:hint="default"/>
                <w:color w:val="auto"/>
                <w:lang w:val="en-US" w:eastAsia="zh-CN"/>
              </w:rPr>
              <w:t>项目不设厨房，无</w:t>
            </w:r>
            <w:r>
              <w:rPr>
                <w:rFonts w:hint="eastAsia"/>
                <w:color w:val="auto"/>
                <w:lang w:val="en-US" w:eastAsia="zh-CN"/>
              </w:rPr>
              <w:t>油烟废气产生</w:t>
            </w:r>
            <w:r>
              <w:rPr>
                <w:rFonts w:hint="default"/>
                <w:color w:val="auto"/>
                <w:lang w:val="en-US" w:eastAsia="zh-CN"/>
              </w:rPr>
              <w:t>，日常产生的废气主要为宠物本身散发或手术过程产生的异味，以臭气浓度表征。</w:t>
            </w:r>
          </w:p>
          <w:p w14:paraId="19FCF8B3">
            <w:pPr>
              <w:pStyle w:val="29"/>
              <w:bidi w:val="0"/>
              <w:rPr>
                <w:rFonts w:hint="default"/>
                <w:color w:val="auto"/>
                <w:lang w:val="en-US" w:eastAsia="zh-CN"/>
              </w:rPr>
            </w:pPr>
            <w:r>
              <w:rPr>
                <w:rFonts w:hint="default"/>
                <w:color w:val="auto"/>
                <w:lang w:val="en-US" w:eastAsia="zh-CN"/>
              </w:rPr>
              <w:t>本项目接诊的动物均为</w:t>
            </w:r>
            <w:r>
              <w:rPr>
                <w:rFonts w:hint="eastAsia"/>
                <w:color w:val="auto"/>
                <w:lang w:val="en-US" w:eastAsia="zh-CN"/>
              </w:rPr>
              <w:t>猫与狗</w:t>
            </w:r>
            <w:r>
              <w:rPr>
                <w:rFonts w:hint="default"/>
                <w:color w:val="auto"/>
                <w:lang w:val="en-US" w:eastAsia="zh-CN"/>
              </w:rPr>
              <w:t>，产生的粪便较少，动物粪便、尿液会产生少量异味，且安置在笼中，笼子下方为托盘</w:t>
            </w:r>
            <w:r>
              <w:rPr>
                <w:rFonts w:hint="eastAsia"/>
                <w:color w:val="auto"/>
                <w:lang w:val="en-US" w:eastAsia="zh-CN"/>
              </w:rPr>
              <w:t>，</w:t>
            </w:r>
            <w:r>
              <w:rPr>
                <w:rFonts w:hint="default"/>
                <w:color w:val="auto"/>
                <w:lang w:val="en-US" w:eastAsia="zh-CN"/>
              </w:rPr>
              <w:t>托盘中放有猫砂便于吸收粪尿，同时猫砂还具有吸附和抑制臭味气体散发的作用。动物</w:t>
            </w:r>
            <w:r>
              <w:rPr>
                <w:rFonts w:hint="eastAsia"/>
                <w:color w:val="auto"/>
                <w:lang w:val="en-US" w:eastAsia="zh-CN"/>
              </w:rPr>
              <w:t>粪</w:t>
            </w:r>
            <w:r>
              <w:rPr>
                <w:rFonts w:hint="default"/>
                <w:color w:val="auto"/>
                <w:lang w:val="en-US" w:eastAsia="zh-CN"/>
              </w:rPr>
              <w:t>尿被猫砂吸收包裹后及时由</w:t>
            </w:r>
            <w:r>
              <w:rPr>
                <w:rFonts w:hint="eastAsia"/>
                <w:color w:val="auto"/>
                <w:lang w:val="en-US" w:eastAsia="zh-CN"/>
              </w:rPr>
              <w:t>工作</w:t>
            </w:r>
            <w:r>
              <w:rPr>
                <w:rFonts w:hint="default"/>
                <w:color w:val="auto"/>
                <w:lang w:val="en-US" w:eastAsia="zh-CN"/>
              </w:rPr>
              <w:t>人员清除并装入专门的密封袋中密封保存。本项目在整个营业区域范围内设置新风系统，该新风系统在各科室及公共区域等天花板上均设置有通风换气口，能够收集到整个院区的异味，包括诊疗室、住院</w:t>
            </w:r>
            <w:r>
              <w:rPr>
                <w:rFonts w:hint="eastAsia"/>
                <w:color w:val="auto"/>
                <w:lang w:val="en-US" w:eastAsia="zh-CN"/>
              </w:rPr>
              <w:t>室</w:t>
            </w:r>
            <w:r>
              <w:rPr>
                <w:rFonts w:hint="default"/>
                <w:color w:val="auto"/>
                <w:lang w:val="en-US" w:eastAsia="zh-CN"/>
              </w:rPr>
              <w:t>等各个区域产生的异味，同时，建设单位应通过加强管理，及时打扫、清运笼舍区域产生的固废</w:t>
            </w:r>
            <w:r>
              <w:rPr>
                <w:rFonts w:hint="eastAsia"/>
                <w:color w:val="auto"/>
                <w:lang w:val="en-US" w:eastAsia="zh-CN"/>
              </w:rPr>
              <w:t>（</w:t>
            </w:r>
            <w:r>
              <w:rPr>
                <w:rFonts w:hint="default"/>
                <w:color w:val="auto"/>
                <w:lang w:val="en-US" w:eastAsia="zh-CN"/>
              </w:rPr>
              <w:t>粪便等</w:t>
            </w:r>
            <w:r>
              <w:rPr>
                <w:rFonts w:hint="eastAsia"/>
                <w:color w:val="auto"/>
                <w:lang w:val="en-US" w:eastAsia="zh-CN"/>
              </w:rPr>
              <w:t>）</w:t>
            </w:r>
            <w:r>
              <w:rPr>
                <w:rFonts w:hint="default"/>
                <w:color w:val="auto"/>
                <w:lang w:val="en-US" w:eastAsia="zh-CN"/>
              </w:rPr>
              <w:t>，</w:t>
            </w:r>
            <w:r>
              <w:rPr>
                <w:rFonts w:hint="eastAsia"/>
                <w:color w:val="auto"/>
                <w:lang w:val="en-US" w:eastAsia="zh-CN"/>
              </w:rPr>
              <w:t>喷洒生物除臭剂，</w:t>
            </w:r>
            <w:r>
              <w:rPr>
                <w:rFonts w:hint="default"/>
                <w:color w:val="auto"/>
                <w:lang w:val="en-US" w:eastAsia="zh-CN"/>
              </w:rPr>
              <w:t>减少空气中的异味</w:t>
            </w:r>
            <w:r>
              <w:rPr>
                <w:rFonts w:hint="eastAsia"/>
                <w:color w:val="auto"/>
                <w:lang w:val="en-US" w:eastAsia="zh-CN"/>
              </w:rPr>
              <w:t>；</w:t>
            </w:r>
            <w:r>
              <w:rPr>
                <w:rFonts w:hint="default"/>
                <w:color w:val="auto"/>
                <w:lang w:val="en-US" w:eastAsia="zh-CN"/>
              </w:rPr>
              <w:t>故宠物散发的臭气量极小，不对宠物散发的少量臭气进行定量分析。</w:t>
            </w:r>
          </w:p>
          <w:p w14:paraId="17D222E7">
            <w:pPr>
              <w:pStyle w:val="29"/>
              <w:bidi w:val="0"/>
              <w:rPr>
                <w:rFonts w:hint="default"/>
                <w:color w:val="auto"/>
                <w:lang w:val="en-US" w:eastAsia="zh-CN"/>
              </w:rPr>
            </w:pPr>
            <w:r>
              <w:rPr>
                <w:rFonts w:hint="default"/>
                <w:color w:val="auto"/>
                <w:lang w:val="en-US" w:eastAsia="zh-CN"/>
              </w:rPr>
              <w:t>废水处理设施为密闭的一体化污水处理设备，产生的恶臭</w:t>
            </w:r>
            <w:r>
              <w:rPr>
                <w:rFonts w:hint="eastAsia"/>
                <w:color w:val="auto"/>
                <w:lang w:val="en-US" w:eastAsia="zh-CN"/>
              </w:rPr>
              <w:t>较少</w:t>
            </w:r>
            <w:r>
              <w:rPr>
                <w:rFonts w:hint="default"/>
                <w:color w:val="auto"/>
                <w:lang w:val="en-US" w:eastAsia="zh-CN"/>
              </w:rPr>
              <w:t>，经加强通风和定期消毒处理后，对周边环境影响小。</w:t>
            </w:r>
          </w:p>
          <w:p w14:paraId="234BC6E3">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项目设置</w:t>
            </w:r>
            <w:r>
              <w:rPr>
                <w:rFonts w:hint="eastAsia" w:cs="Times New Roman"/>
                <w:color w:val="auto"/>
                <w:highlight w:val="none"/>
                <w:lang w:val="en-US" w:eastAsia="zh-CN"/>
              </w:rPr>
              <w:t>危险废物贮存间</w:t>
            </w:r>
            <w:r>
              <w:rPr>
                <w:rFonts w:hint="default" w:ascii="Times New Roman" w:hAnsi="Times New Roman" w:cs="Times New Roman"/>
                <w:color w:val="auto"/>
                <w:highlight w:val="none"/>
              </w:rPr>
              <w:t>1间，位于</w:t>
            </w:r>
            <w:r>
              <w:rPr>
                <w:rFonts w:hint="eastAsia" w:cs="Times New Roman"/>
                <w:color w:val="auto"/>
                <w:highlight w:val="none"/>
                <w:lang w:val="en-US" w:eastAsia="zh-CN"/>
              </w:rPr>
              <w:t>项目区南侧</w:t>
            </w:r>
            <w:r>
              <w:rPr>
                <w:rFonts w:hint="default" w:ascii="Times New Roman" w:hAnsi="Times New Roman" w:cs="Times New Roman"/>
                <w:color w:val="auto"/>
                <w:highlight w:val="none"/>
              </w:rPr>
              <w:t>，主要用于存放医疗废物，医疗废物储存过程中将产生少量异味。对医疗废物储存加盖密封，同时加强管理，做好消毒工作，及时清运，定期进行</w:t>
            </w:r>
            <w:r>
              <w:rPr>
                <w:rFonts w:hint="eastAsia" w:cs="Times New Roman"/>
                <w:color w:val="auto"/>
                <w:highlight w:val="none"/>
                <w:lang w:val="en-US" w:eastAsia="zh-CN"/>
              </w:rPr>
              <w:t>医疗废物贮存间</w:t>
            </w:r>
            <w:r>
              <w:rPr>
                <w:rFonts w:hint="default" w:ascii="Times New Roman" w:hAnsi="Times New Roman" w:cs="Times New Roman"/>
                <w:color w:val="auto"/>
                <w:highlight w:val="none"/>
              </w:rPr>
              <w:t>存储设施、设备的清洁和消毒工作，确保医疗废物的暂存时间最多不超过2天。</w:t>
            </w:r>
          </w:p>
          <w:p w14:paraId="6E929566">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类比同类型项目</w:t>
            </w:r>
            <w:r>
              <w:rPr>
                <w:rFonts w:hint="eastAsia" w:ascii="宋体" w:hAnsi="宋体" w:eastAsia="宋体"/>
                <w:color w:val="auto"/>
                <w:sz w:val="24"/>
                <w:szCs w:val="24"/>
              </w:rPr>
              <w:t>裕华区博爱动物医院建设项目</w:t>
            </w:r>
            <w:r>
              <w:rPr>
                <w:rFonts w:hint="eastAsia" w:ascii="宋体" w:hAnsi="宋体" w:eastAsia="宋体"/>
                <w:color w:val="auto"/>
                <w:sz w:val="24"/>
                <w:szCs w:val="24"/>
                <w:lang w:eastAsia="zh-CN"/>
              </w:rPr>
              <w:t>，</w:t>
            </w:r>
            <w:r>
              <w:rPr>
                <w:rFonts w:hint="eastAsia" w:ascii="宋体" w:hAnsi="宋体" w:eastAsia="宋体"/>
                <w:color w:val="auto"/>
                <w:sz w:val="24"/>
                <w:szCs w:val="24"/>
                <w:lang w:val="en-US" w:eastAsia="zh-CN"/>
              </w:rPr>
              <w:t>根据</w:t>
            </w:r>
            <w:r>
              <w:rPr>
                <w:rFonts w:hint="default" w:ascii="Times New Roman" w:hAnsi="Times New Roman" w:cs="Times New Roman"/>
                <w:color w:val="auto"/>
                <w:highlight w:val="none"/>
              </w:rPr>
              <w:t>《裕华区博爱动物医院建设项目竣工环境保护验收监测报告》中的检测数据，该项目厂界</w:t>
            </w:r>
            <w:r>
              <w:rPr>
                <w:rFonts w:hint="default" w:cs="Times New Roman"/>
                <w:color w:val="auto"/>
                <w:highlight w:val="none"/>
                <w:lang w:val="en-US" w:eastAsia="zh-CN"/>
              </w:rPr>
              <w:t>无组织臭气浓度监测结果</w:t>
            </w:r>
            <w:r>
              <w:rPr>
                <w:rFonts w:hint="eastAsia" w:cs="Times New Roman"/>
                <w:color w:val="auto"/>
                <w:highlight w:val="none"/>
                <w:lang w:val="en-US" w:eastAsia="zh-CN"/>
              </w:rPr>
              <w:t>符合《恶臭污染物排放标准》（GB14554-93）</w:t>
            </w:r>
            <w:r>
              <w:rPr>
                <w:rFonts w:ascii="宋体" w:hAnsi="宋体" w:eastAsia="宋体" w:cs="宋体"/>
                <w:i w:val="0"/>
                <w:iCs w:val="0"/>
                <w:caps w:val="0"/>
                <w:color w:val="232323"/>
                <w:spacing w:val="0"/>
                <w:sz w:val="24"/>
                <w:szCs w:val="24"/>
                <w:shd w:val="clear" w:fill="FFFFFF"/>
              </w:rPr>
              <w:t>表1二级排放标准中新改扩建标准</w:t>
            </w:r>
            <w:r>
              <w:rPr>
                <w:rFonts w:hint="eastAsia"/>
                <w:color w:val="000000" w:themeColor="text1"/>
                <w:lang w:val="en-US" w:eastAsia="zh-CN"/>
                <w14:textFill>
                  <w14:solidFill>
                    <w14:schemeClr w14:val="tx1"/>
                  </w14:solidFill>
                </w14:textFill>
              </w:rPr>
              <w:t>（臭气浓度≤20，无量纲）</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rPr>
              <w:t>类比可行性分析见表4-1。</w:t>
            </w:r>
          </w:p>
          <w:p w14:paraId="24014C15">
            <w:pPr>
              <w:pStyle w:val="22"/>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表</w:t>
            </w:r>
            <w:r>
              <w:rPr>
                <w:rFonts w:hint="eastAsia" w:cs="Times New Roman"/>
                <w:color w:val="auto"/>
                <w:highlight w:val="none"/>
                <w:lang w:val="en-US" w:eastAsia="zh-CN"/>
              </w:rPr>
              <w:t>4-1</w:t>
            </w:r>
            <w:r>
              <w:rPr>
                <w:rFonts w:hint="default"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类比项目与本项目对比表</w:t>
            </w:r>
          </w:p>
          <w:tbl>
            <w:tblPr>
              <w:tblStyle w:val="14"/>
              <w:tblW w:w="4885"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1661"/>
              <w:gridCol w:w="2936"/>
              <w:gridCol w:w="2524"/>
              <w:gridCol w:w="829"/>
            </w:tblGrid>
            <w:tr w14:paraId="515E438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F5A607C">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项目</w:t>
                  </w:r>
                </w:p>
              </w:tc>
              <w:tc>
                <w:tcPr>
                  <w:tcW w:w="1846" w:type="pct"/>
                  <w:tcBorders>
                    <w:tl2br w:val="nil"/>
                    <w:tr2bl w:val="nil"/>
                  </w:tcBorders>
                  <w:noWrap w:val="0"/>
                  <w:vAlign w:val="center"/>
                </w:tcPr>
                <w:p w14:paraId="2C9714DE">
                  <w:pPr>
                    <w:spacing w:line="240" w:lineRule="atLeast"/>
                    <w:ind w:firstLine="0" w:firstLineChars="0"/>
                    <w:jc w:val="center"/>
                    <w:rPr>
                      <w:rFonts w:hint="default" w:ascii="Times New Roman" w:hAnsi="Times New Roman" w:cs="Times New Roman"/>
                      <w:b/>
                      <w:color w:val="auto"/>
                      <w:sz w:val="21"/>
                      <w:szCs w:val="21"/>
                      <w:highlight w:val="none"/>
                      <w:lang w:eastAsia="zh-CN"/>
                    </w:rPr>
                  </w:pPr>
                  <w:r>
                    <w:rPr>
                      <w:rFonts w:hint="eastAsia" w:cs="Times New Roman"/>
                      <w:b/>
                      <w:color w:val="auto"/>
                      <w:sz w:val="21"/>
                      <w:szCs w:val="21"/>
                      <w:highlight w:val="none"/>
                      <w:lang w:val="en-US" w:eastAsia="zh-CN"/>
                    </w:rPr>
                    <w:t>类比项目</w:t>
                  </w:r>
                </w:p>
              </w:tc>
              <w:tc>
                <w:tcPr>
                  <w:tcW w:w="1587" w:type="pct"/>
                  <w:tcBorders>
                    <w:tl2br w:val="nil"/>
                    <w:tr2bl w:val="nil"/>
                  </w:tcBorders>
                  <w:noWrap w:val="0"/>
                  <w:vAlign w:val="center"/>
                </w:tcPr>
                <w:p w14:paraId="07246B7C">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本项目</w:t>
                  </w:r>
                </w:p>
              </w:tc>
              <w:tc>
                <w:tcPr>
                  <w:tcW w:w="521" w:type="pct"/>
                  <w:tcBorders>
                    <w:tl2br w:val="nil"/>
                    <w:tr2bl w:val="nil"/>
                  </w:tcBorders>
                  <w:noWrap w:val="0"/>
                  <w:vAlign w:val="center"/>
                </w:tcPr>
                <w:p w14:paraId="0B015814">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可比性</w:t>
                  </w:r>
                </w:p>
              </w:tc>
            </w:tr>
            <w:tr w14:paraId="37EE717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97A283F">
                  <w:pPr>
                    <w:spacing w:line="2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医院性质</w:t>
                  </w:r>
                </w:p>
              </w:tc>
              <w:tc>
                <w:tcPr>
                  <w:tcW w:w="1846" w:type="pct"/>
                  <w:tcBorders>
                    <w:tl2br w:val="nil"/>
                    <w:tr2bl w:val="nil"/>
                  </w:tcBorders>
                  <w:noWrap w:val="0"/>
                  <w:vAlign w:val="center"/>
                </w:tcPr>
                <w:p w14:paraId="616A8B5A">
                  <w:pPr>
                    <w:spacing w:line="240" w:lineRule="atLeas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olor w:val="auto"/>
                      <w:sz w:val="21"/>
                      <w:szCs w:val="24"/>
                      <w:highlight w:val="none"/>
                    </w:rPr>
                    <w:t>宠物</w:t>
                  </w:r>
                  <w:r>
                    <w:rPr>
                      <w:rFonts w:hint="eastAsia" w:ascii="宋体" w:hAnsi="宋体" w:eastAsia="宋体"/>
                      <w:color w:val="auto"/>
                      <w:sz w:val="21"/>
                      <w:szCs w:val="24"/>
                      <w:highlight w:val="none"/>
                      <w:lang w:val="en-US" w:eastAsia="zh-CN"/>
                    </w:rPr>
                    <w:t>医院</w:t>
                  </w:r>
                </w:p>
              </w:tc>
              <w:tc>
                <w:tcPr>
                  <w:tcW w:w="1587" w:type="pct"/>
                  <w:tcBorders>
                    <w:tl2br w:val="nil"/>
                    <w:tr2bl w:val="nil"/>
                  </w:tcBorders>
                  <w:noWrap w:val="0"/>
                  <w:vAlign w:val="center"/>
                </w:tcPr>
                <w:p w14:paraId="4F9EF0DC">
                  <w:pPr>
                    <w:spacing w:line="2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olor w:val="auto"/>
                      <w:sz w:val="21"/>
                      <w:szCs w:val="24"/>
                      <w:highlight w:val="none"/>
                    </w:rPr>
                    <w:t>宠物</w:t>
                  </w:r>
                  <w:r>
                    <w:rPr>
                      <w:rFonts w:hint="eastAsia" w:ascii="宋体" w:hAnsi="宋体" w:eastAsia="宋体"/>
                      <w:color w:val="auto"/>
                      <w:sz w:val="21"/>
                      <w:szCs w:val="24"/>
                      <w:highlight w:val="none"/>
                      <w:lang w:val="en-US" w:eastAsia="zh-CN"/>
                    </w:rPr>
                    <w:t>医院</w:t>
                  </w:r>
                </w:p>
              </w:tc>
              <w:tc>
                <w:tcPr>
                  <w:tcW w:w="521" w:type="pct"/>
                  <w:tcBorders>
                    <w:tl2br w:val="nil"/>
                    <w:tr2bl w:val="nil"/>
                  </w:tcBorders>
                  <w:noWrap w:val="0"/>
                  <w:vAlign w:val="center"/>
                </w:tcPr>
                <w:p w14:paraId="6D639928">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相同</w:t>
                  </w:r>
                </w:p>
              </w:tc>
            </w:tr>
            <w:tr w14:paraId="6CDF87B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51E8555F">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经营范围</w:t>
                  </w:r>
                </w:p>
              </w:tc>
              <w:tc>
                <w:tcPr>
                  <w:tcW w:w="1846" w:type="pct"/>
                  <w:tcBorders>
                    <w:tl2br w:val="nil"/>
                    <w:tr2bl w:val="nil"/>
                  </w:tcBorders>
                  <w:noWrap w:val="0"/>
                  <w:vAlign w:val="center"/>
                </w:tcPr>
                <w:p w14:paraId="53AB2D8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动物诊疗、手术及宠物美容等</w:t>
                  </w:r>
                </w:p>
              </w:tc>
              <w:tc>
                <w:tcPr>
                  <w:tcW w:w="1587" w:type="pct"/>
                  <w:tcBorders>
                    <w:tl2br w:val="nil"/>
                    <w:tr2bl w:val="nil"/>
                  </w:tcBorders>
                  <w:noWrap w:val="0"/>
                  <w:vAlign w:val="center"/>
                </w:tcPr>
                <w:p w14:paraId="2998DB37">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动物诊疗</w:t>
                  </w:r>
                  <w:r>
                    <w:rPr>
                      <w:rFonts w:hint="eastAsia" w:cs="Times New Roman"/>
                      <w:color w:val="auto"/>
                      <w:sz w:val="21"/>
                      <w:szCs w:val="21"/>
                      <w:highlight w:val="none"/>
                      <w:lang w:val="en-US" w:eastAsia="zh-CN"/>
                    </w:rPr>
                    <w:t>及</w:t>
                  </w:r>
                  <w:r>
                    <w:rPr>
                      <w:rFonts w:hint="default" w:ascii="Times New Roman" w:hAnsi="Times New Roman" w:cs="Times New Roman"/>
                      <w:color w:val="auto"/>
                      <w:sz w:val="21"/>
                      <w:szCs w:val="21"/>
                      <w:highlight w:val="none"/>
                      <w:lang w:val="en-US" w:eastAsia="zh-CN"/>
                    </w:rPr>
                    <w:t>手术</w:t>
                  </w:r>
                </w:p>
              </w:tc>
              <w:tc>
                <w:tcPr>
                  <w:tcW w:w="521" w:type="pct"/>
                  <w:tcBorders>
                    <w:tl2br w:val="nil"/>
                    <w:tr2bl w:val="nil"/>
                  </w:tcBorders>
                  <w:noWrap w:val="0"/>
                  <w:vAlign w:val="center"/>
                </w:tcPr>
                <w:p w14:paraId="6BE0E1A8">
                  <w:pPr>
                    <w:spacing w:line="240" w:lineRule="atLeast"/>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基本</w:t>
                  </w:r>
                </w:p>
                <w:p w14:paraId="6359C17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一致</w:t>
                  </w:r>
                </w:p>
              </w:tc>
            </w:tr>
            <w:tr w14:paraId="2B0A6B7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EC3A9BA">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宠物接诊量</w:t>
                  </w:r>
                </w:p>
              </w:tc>
              <w:tc>
                <w:tcPr>
                  <w:tcW w:w="1846" w:type="pct"/>
                  <w:tcBorders>
                    <w:tl2br w:val="nil"/>
                    <w:tr2bl w:val="nil"/>
                  </w:tcBorders>
                  <w:noWrap w:val="0"/>
                  <w:vAlign w:val="center"/>
                </w:tcPr>
                <w:p w14:paraId="67D99C1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10只/d</w:t>
                  </w:r>
                </w:p>
              </w:tc>
              <w:tc>
                <w:tcPr>
                  <w:tcW w:w="1587" w:type="pct"/>
                  <w:tcBorders>
                    <w:tl2br w:val="nil"/>
                    <w:tr2bl w:val="nil"/>
                  </w:tcBorders>
                  <w:noWrap w:val="0"/>
                  <w:vAlign w:val="center"/>
                </w:tcPr>
                <w:p w14:paraId="474A7412">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7</w:t>
                  </w:r>
                  <w:r>
                    <w:rPr>
                      <w:rFonts w:hint="default" w:ascii="Times New Roman" w:hAnsi="Times New Roman" w:cs="Times New Roman"/>
                      <w:color w:val="auto"/>
                      <w:sz w:val="21"/>
                      <w:szCs w:val="21"/>
                      <w:highlight w:val="none"/>
                      <w:lang w:val="en-US" w:eastAsia="zh-CN"/>
                    </w:rPr>
                    <w:t>只/d</w:t>
                  </w:r>
                </w:p>
              </w:tc>
              <w:tc>
                <w:tcPr>
                  <w:tcW w:w="521" w:type="pct"/>
                  <w:tcBorders>
                    <w:tl2br w:val="nil"/>
                    <w:tr2bl w:val="nil"/>
                  </w:tcBorders>
                  <w:noWrap w:val="0"/>
                  <w:vAlign w:val="center"/>
                </w:tcPr>
                <w:p w14:paraId="1D9E6BD1">
                  <w:pPr>
                    <w:spacing w:line="240" w:lineRule="atLeast"/>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基本</w:t>
                  </w:r>
                </w:p>
                <w:p w14:paraId="5518FB5C">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一致</w:t>
                  </w:r>
                </w:p>
              </w:tc>
            </w:tr>
            <w:tr w14:paraId="3793FEB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3B9C7D24">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废气治疗方式</w:t>
                  </w:r>
                </w:p>
              </w:tc>
              <w:tc>
                <w:tcPr>
                  <w:tcW w:w="1846" w:type="pct"/>
                  <w:tcBorders>
                    <w:tl2br w:val="nil"/>
                    <w:tr2bl w:val="nil"/>
                  </w:tcBorders>
                  <w:noWrap w:val="0"/>
                  <w:vAlign w:val="center"/>
                </w:tcPr>
                <w:p w14:paraId="2E74290D">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项目污水处理设施密闭，置于封闭场所，医废桶加盖、整体密闭，对室内、动物笼及时清理清洁，采取紫外线灯消毒、喷洒除臭剂、空气清新剂等净化措施，并注意加强通风。</w:t>
                  </w:r>
                </w:p>
              </w:tc>
              <w:tc>
                <w:tcPr>
                  <w:tcW w:w="1587" w:type="pct"/>
                  <w:tcBorders>
                    <w:tl2br w:val="nil"/>
                    <w:tr2bl w:val="nil"/>
                  </w:tcBorders>
                  <w:noWrap w:val="0"/>
                  <w:vAlign w:val="center"/>
                </w:tcPr>
                <w:p w14:paraId="602D4D18">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污水处理设施密闭，动物笼及时清理，紫外灯消毒；新风系统；喷洒生物除臭剂、空气清新剂等净化措施，贮存医疗废物设施加盖密闭</w:t>
                  </w:r>
                </w:p>
              </w:tc>
              <w:tc>
                <w:tcPr>
                  <w:tcW w:w="521" w:type="pct"/>
                  <w:tcBorders>
                    <w:tl2br w:val="nil"/>
                    <w:tr2bl w:val="nil"/>
                  </w:tcBorders>
                  <w:noWrap w:val="0"/>
                  <w:vAlign w:val="center"/>
                </w:tcPr>
                <w:p w14:paraId="1CCB6948">
                  <w:pPr>
                    <w:spacing w:line="240" w:lineRule="atLeast"/>
                    <w:ind w:firstLine="0" w:firstLineChars="0"/>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val="en-US" w:eastAsia="zh-CN"/>
                    </w:rPr>
                    <w:t>相同</w:t>
                  </w:r>
                </w:p>
              </w:tc>
            </w:tr>
            <w:tr w14:paraId="0417D4E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74C7D7A0">
                  <w:pPr>
                    <w:spacing w:line="240" w:lineRule="atLeas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废气排放方式</w:t>
                  </w:r>
                </w:p>
              </w:tc>
              <w:tc>
                <w:tcPr>
                  <w:tcW w:w="1846" w:type="pct"/>
                  <w:tcBorders>
                    <w:tl2br w:val="nil"/>
                    <w:tr2bl w:val="nil"/>
                  </w:tcBorders>
                  <w:noWrap w:val="0"/>
                  <w:vAlign w:val="center"/>
                </w:tcPr>
                <w:p w14:paraId="784529CB">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无组织排放</w:t>
                  </w:r>
                </w:p>
              </w:tc>
              <w:tc>
                <w:tcPr>
                  <w:tcW w:w="1587" w:type="pct"/>
                  <w:tcBorders>
                    <w:tl2br w:val="nil"/>
                    <w:tr2bl w:val="nil"/>
                  </w:tcBorders>
                  <w:noWrap w:val="0"/>
                  <w:vAlign w:val="center"/>
                </w:tcPr>
                <w:p w14:paraId="1BA78F7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无组织排放</w:t>
                  </w:r>
                </w:p>
              </w:tc>
              <w:tc>
                <w:tcPr>
                  <w:tcW w:w="521" w:type="pct"/>
                  <w:tcBorders>
                    <w:tl2br w:val="nil"/>
                    <w:tr2bl w:val="nil"/>
                  </w:tcBorders>
                  <w:noWrap w:val="0"/>
                  <w:vAlign w:val="center"/>
                </w:tcPr>
                <w:p w14:paraId="750FB0D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相同</w:t>
                  </w:r>
                </w:p>
              </w:tc>
            </w:tr>
          </w:tbl>
          <w:p w14:paraId="4968D678">
            <w:pPr>
              <w:pStyle w:val="4"/>
              <w:bidi w:val="0"/>
              <w:rPr>
                <w:rFonts w:hint="default"/>
                <w:color w:val="auto"/>
                <w:lang w:val="en-US" w:eastAsia="zh-CN"/>
              </w:rPr>
            </w:pPr>
            <w:r>
              <w:rPr>
                <w:rFonts w:hint="eastAsia"/>
                <w:color w:val="auto"/>
                <w:lang w:val="en-US" w:eastAsia="zh-CN"/>
              </w:rPr>
              <w:t>4.5.2</w:t>
            </w:r>
            <w:r>
              <w:rPr>
                <w:color w:val="auto"/>
              </w:rPr>
              <w:t>废气治理</w:t>
            </w:r>
            <w:r>
              <w:rPr>
                <w:rFonts w:hint="eastAsia"/>
                <w:color w:val="auto"/>
                <w:lang w:val="en-US" w:eastAsia="zh-CN"/>
              </w:rPr>
              <w:t>措施可行性分析</w:t>
            </w:r>
          </w:p>
          <w:p w14:paraId="5016B8F8">
            <w:pPr>
              <w:pStyle w:val="29"/>
              <w:bidi w:val="0"/>
              <w:rPr>
                <w:color w:val="000000" w:themeColor="text1"/>
                <w14:textFill>
                  <w14:solidFill>
                    <w14:schemeClr w14:val="tx1"/>
                  </w14:solidFill>
                </w14:textFill>
              </w:rPr>
            </w:pPr>
            <w:r>
              <w:rPr>
                <w:color w:val="auto"/>
              </w:rPr>
              <w:t>项目服务对象仅针对猫、狗，不接收人畜共患传染病的宠物，并且采用高压灭菌锅对诊疗过程中使用的器皿、手术器械进行灭菌；</w:t>
            </w:r>
            <w:r>
              <w:rPr>
                <w:rFonts w:hint="default"/>
                <w:color w:val="auto"/>
                <w:lang w:val="en-US" w:eastAsia="zh-CN"/>
              </w:rPr>
              <w:t>做好医疗废物的密封、清运和消毒工作</w:t>
            </w:r>
            <w:r>
              <w:rPr>
                <w:rFonts w:hint="eastAsia"/>
                <w:color w:val="auto"/>
                <w:lang w:val="en-US" w:eastAsia="zh-CN"/>
              </w:rPr>
              <w:t>；</w:t>
            </w:r>
            <w:r>
              <w:rPr>
                <w:color w:val="auto"/>
              </w:rPr>
              <w:t>院</w:t>
            </w:r>
            <w:r>
              <w:rPr>
                <w:rFonts w:hint="eastAsia"/>
                <w:color w:val="auto"/>
                <w:lang w:val="en-US" w:eastAsia="zh-CN"/>
              </w:rPr>
              <w:t>区</w:t>
            </w:r>
            <w:r>
              <w:rPr>
                <w:color w:val="auto"/>
              </w:rPr>
              <w:t>安装有紫外线灯对空气进行消毒，加强管理工作，</w:t>
            </w:r>
            <w:r>
              <w:rPr>
                <w:rFonts w:hint="eastAsia"/>
                <w:color w:val="auto"/>
                <w:lang w:val="en-US" w:eastAsia="zh-CN"/>
              </w:rPr>
              <w:t>安装新风系统，</w:t>
            </w:r>
            <w:r>
              <w:rPr>
                <w:color w:val="auto"/>
              </w:rPr>
              <w:t>并定期对</w:t>
            </w:r>
            <w:r>
              <w:rPr>
                <w:rFonts w:hint="eastAsia"/>
                <w:color w:val="auto"/>
                <w:lang w:eastAsia="zh-CN"/>
              </w:rPr>
              <w:t>危险废物贮存间</w:t>
            </w:r>
            <w:r>
              <w:rPr>
                <w:color w:val="auto"/>
              </w:rPr>
              <w:t>、污水处理设施、宠物笼舍、其他各科室进行消毒处理并喷洒生物除臭剂。根据《排污许可证申请与核发技术规范 医疗机构》（HJ1105-2020），确定</w:t>
            </w:r>
            <w:r>
              <w:rPr>
                <w:rFonts w:hint="eastAsia"/>
                <w:color w:val="auto"/>
                <w:lang w:eastAsia="zh-CN"/>
              </w:rPr>
              <w:t>“</w:t>
            </w:r>
            <w:r>
              <w:rPr>
                <w:color w:val="auto"/>
              </w:rPr>
              <w:t>产生恶臭区域</w:t>
            </w:r>
            <w:r>
              <w:rPr>
                <w:color w:val="000000" w:themeColor="text1"/>
                <w14:textFill>
                  <w14:solidFill>
                    <w14:schemeClr w14:val="tx1"/>
                  </w14:solidFill>
                </w14:textFill>
              </w:rPr>
              <w:t>加罩或加盖，投放除臭剂</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为可行技术。</w:t>
            </w:r>
          </w:p>
          <w:p w14:paraId="4F3942DA">
            <w:pPr>
              <w:pStyle w:val="4"/>
              <w:bidi w:val="0"/>
              <w:rPr>
                <w:rFonts w:hint="eastAsia"/>
                <w:color w:val="auto"/>
                <w:lang w:eastAsia="zh-CN"/>
              </w:rPr>
            </w:pPr>
            <w:r>
              <w:rPr>
                <w:rFonts w:hint="eastAsia"/>
                <w:color w:val="auto"/>
                <w:lang w:val="en-US" w:eastAsia="zh-CN"/>
              </w:rPr>
              <w:t>4.5.3</w:t>
            </w:r>
            <w:r>
              <w:rPr>
                <w:rFonts w:hint="eastAsia" w:cs="Times New Roman"/>
                <w:b/>
                <w:bCs w:val="0"/>
                <w:color w:val="auto"/>
                <w:highlight w:val="none"/>
                <w:lang w:val="en-US" w:eastAsia="zh-CN"/>
              </w:rPr>
              <w:t>废气非正常工况分析</w:t>
            </w:r>
          </w:p>
          <w:p w14:paraId="392E6A64">
            <w:pPr>
              <w:pStyle w:val="29"/>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项目非正常工况主要为污水处理设施故障导致污水处理设施废气浓度短时升高，可能对周边环境造成异味。项目采取定期维护密封结构、故障时立即检修并暂停进水的措施。</w:t>
            </w:r>
          </w:p>
          <w:p w14:paraId="22CF5D98">
            <w:pPr>
              <w:pStyle w:val="29"/>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对于动物房清洁不及时或通风故障导致臭气浓度累积，影响室内外空气质量的情况，采取故障时启动应急排风扇、增加临时除臭剂喷洒频次的措施。</w:t>
            </w:r>
          </w:p>
          <w:p w14:paraId="68D6E5DA">
            <w:pPr>
              <w:pStyle w:val="29"/>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对于医废清运延迟导致医疗废物腐败，致使臭气浓度升高、增加病原体风险的情况，采取与清运单位签订应急协议、确保超期时优先处理的措施。</w:t>
            </w:r>
          </w:p>
          <w:p w14:paraId="198DECD4">
            <w:pPr>
              <w:pStyle w:val="29"/>
              <w:bidi w:val="0"/>
              <w:rPr>
                <w:rFonts w:hint="default" w:ascii="Times New Roman" w:hAnsi="Times New Roman" w:cs="Times New Roman"/>
                <w:color w:val="auto"/>
                <w:highlight w:val="none"/>
              </w:rPr>
            </w:pPr>
            <w:r>
              <w:rPr>
                <w:rFonts w:hint="eastAsia" w:cs="Times New Roman"/>
                <w:color w:val="auto"/>
                <w:highlight w:val="none"/>
                <w:lang w:val="en-US" w:eastAsia="zh-CN"/>
              </w:rPr>
              <w:t>综上，项目采取的废气污染控制措施和环境减缓有效，对周围环境影响较小。</w:t>
            </w:r>
          </w:p>
          <w:p w14:paraId="2C8DC15B">
            <w:pPr>
              <w:pStyle w:val="4"/>
              <w:bidi w:val="0"/>
              <w:rPr>
                <w:rFonts w:hint="eastAsia"/>
                <w:color w:val="auto"/>
                <w:lang w:eastAsia="zh-CN"/>
              </w:rPr>
            </w:pPr>
            <w:r>
              <w:rPr>
                <w:rFonts w:hint="eastAsia"/>
                <w:color w:val="auto"/>
                <w:lang w:val="en-US" w:eastAsia="zh-CN"/>
              </w:rPr>
              <w:t>4.5.4</w:t>
            </w:r>
            <w:r>
              <w:rPr>
                <w:color w:val="auto"/>
                <w:lang w:eastAsia="zh-CN"/>
              </w:rPr>
              <w:t>运营期监测方案</w:t>
            </w:r>
          </w:p>
          <w:p w14:paraId="0675FBFB">
            <w:pPr>
              <w:pStyle w:val="29"/>
              <w:bidi w:val="0"/>
              <w:rPr>
                <w:rFonts w:hint="eastAsia"/>
                <w:color w:val="auto"/>
                <w:lang w:eastAsia="zh-CN"/>
              </w:rPr>
            </w:pPr>
            <w:r>
              <w:rPr>
                <w:color w:val="auto"/>
                <w:lang w:eastAsia="zh-CN"/>
              </w:rPr>
              <w:t>根据《排污单位自行监测技术指南总则》（HJ819-2017），制定本项目运营期废气环境监测计划，见表</w:t>
            </w:r>
            <w:r>
              <w:rPr>
                <w:rFonts w:hint="eastAsia"/>
                <w:color w:val="auto"/>
                <w:lang w:eastAsia="zh-CN"/>
              </w:rPr>
              <w:t>4-</w:t>
            </w:r>
            <w:r>
              <w:rPr>
                <w:rFonts w:hint="eastAsia"/>
                <w:color w:val="auto"/>
                <w:lang w:val="en-US" w:eastAsia="zh-CN"/>
              </w:rPr>
              <w:t>2</w:t>
            </w:r>
            <w:r>
              <w:rPr>
                <w:color w:val="auto"/>
                <w:lang w:eastAsia="zh-CN"/>
              </w:rPr>
              <w:t>：</w:t>
            </w:r>
          </w:p>
          <w:p w14:paraId="19AF3FEB">
            <w:pPr>
              <w:pStyle w:val="22"/>
              <w:bidi w:val="0"/>
              <w:rPr>
                <w:color w:val="auto"/>
                <w:lang w:eastAsia="zh-CN"/>
              </w:rPr>
            </w:pPr>
            <w:r>
              <w:rPr>
                <w:color w:val="auto"/>
                <w:lang w:eastAsia="zh-CN"/>
              </w:rPr>
              <w:t>表4-</w:t>
            </w:r>
            <w:r>
              <w:rPr>
                <w:rFonts w:hint="eastAsia"/>
                <w:color w:val="auto"/>
                <w:lang w:val="en-US" w:eastAsia="zh-CN"/>
              </w:rPr>
              <w:t>2</w:t>
            </w:r>
            <w:r>
              <w:rPr>
                <w:rFonts w:hint="eastAsia"/>
                <w:color w:val="auto"/>
                <w:lang w:eastAsia="zh-CN"/>
              </w:rPr>
              <w:t xml:space="preserve">    大气污染物监测计划</w:t>
            </w:r>
            <w:r>
              <w:rPr>
                <w:color w:val="auto"/>
                <w:lang w:eastAsia="zh-CN"/>
              </w:rPr>
              <w:t>表</w:t>
            </w:r>
          </w:p>
          <w:tbl>
            <w:tblPr>
              <w:tblStyle w:val="14"/>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587"/>
              <w:gridCol w:w="1413"/>
              <w:gridCol w:w="3514"/>
            </w:tblGrid>
            <w:tr w14:paraId="55F57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001" w:type="pct"/>
                  <w:tcBorders>
                    <w:bottom w:val="single" w:color="auto" w:sz="12" w:space="0"/>
                  </w:tcBorders>
                  <w:noWrap w:val="0"/>
                  <w:vAlign w:val="center"/>
                </w:tcPr>
                <w:p w14:paraId="44E66BB4">
                  <w:pPr>
                    <w:pStyle w:val="28"/>
                    <w:bidi w:val="0"/>
                    <w:rPr>
                      <w:b/>
                      <w:bCs w:val="0"/>
                      <w:color w:val="auto"/>
                      <w:lang w:eastAsia="zh-CN"/>
                    </w:rPr>
                  </w:pPr>
                  <w:r>
                    <w:rPr>
                      <w:rFonts w:hint="eastAsia"/>
                      <w:b/>
                      <w:bCs w:val="0"/>
                      <w:color w:val="auto"/>
                      <w:lang w:eastAsia="zh-CN"/>
                    </w:rPr>
                    <w:t>监测点位</w:t>
                  </w:r>
                </w:p>
              </w:tc>
              <w:tc>
                <w:tcPr>
                  <w:tcW w:w="974" w:type="pct"/>
                  <w:tcBorders>
                    <w:bottom w:val="single" w:color="auto" w:sz="12" w:space="0"/>
                    <w:right w:val="single" w:color="auto" w:sz="2" w:space="0"/>
                  </w:tcBorders>
                  <w:noWrap w:val="0"/>
                  <w:vAlign w:val="center"/>
                </w:tcPr>
                <w:p w14:paraId="6036DB04">
                  <w:pPr>
                    <w:pStyle w:val="28"/>
                    <w:bidi w:val="0"/>
                    <w:rPr>
                      <w:b/>
                      <w:bCs w:val="0"/>
                      <w:color w:val="auto"/>
                      <w:lang w:eastAsia="zh-CN"/>
                    </w:rPr>
                  </w:pPr>
                  <w:r>
                    <w:rPr>
                      <w:rFonts w:hint="eastAsia"/>
                      <w:b/>
                      <w:bCs w:val="0"/>
                      <w:color w:val="auto"/>
                      <w:lang w:eastAsia="zh-CN"/>
                    </w:rPr>
                    <w:t>监测指标</w:t>
                  </w:r>
                </w:p>
              </w:tc>
              <w:tc>
                <w:tcPr>
                  <w:tcW w:w="867" w:type="pct"/>
                  <w:tcBorders>
                    <w:left w:val="single" w:color="auto" w:sz="2" w:space="0"/>
                    <w:bottom w:val="single" w:color="auto" w:sz="12" w:space="0"/>
                    <w:right w:val="single" w:color="auto" w:sz="2" w:space="0"/>
                  </w:tcBorders>
                  <w:noWrap w:val="0"/>
                  <w:vAlign w:val="center"/>
                </w:tcPr>
                <w:p w14:paraId="0F85F2C5">
                  <w:pPr>
                    <w:pStyle w:val="28"/>
                    <w:bidi w:val="0"/>
                    <w:rPr>
                      <w:b/>
                      <w:bCs w:val="0"/>
                      <w:color w:val="auto"/>
                      <w:lang w:eastAsia="zh-CN"/>
                    </w:rPr>
                  </w:pPr>
                  <w:r>
                    <w:rPr>
                      <w:rFonts w:hint="eastAsia"/>
                      <w:b/>
                      <w:bCs w:val="0"/>
                      <w:color w:val="auto"/>
                      <w:lang w:eastAsia="zh-CN"/>
                    </w:rPr>
                    <w:t>监测频次</w:t>
                  </w:r>
                </w:p>
              </w:tc>
              <w:tc>
                <w:tcPr>
                  <w:tcW w:w="2156" w:type="pct"/>
                  <w:tcBorders>
                    <w:bottom w:val="single" w:color="auto" w:sz="12" w:space="0"/>
                  </w:tcBorders>
                  <w:noWrap w:val="0"/>
                  <w:vAlign w:val="center"/>
                </w:tcPr>
                <w:p w14:paraId="386F4553">
                  <w:pPr>
                    <w:pStyle w:val="28"/>
                    <w:bidi w:val="0"/>
                    <w:rPr>
                      <w:b/>
                      <w:bCs w:val="0"/>
                      <w:color w:val="auto"/>
                      <w:lang w:eastAsia="zh-CN"/>
                    </w:rPr>
                  </w:pPr>
                  <w:r>
                    <w:rPr>
                      <w:rFonts w:hint="eastAsia"/>
                      <w:b/>
                      <w:bCs w:val="0"/>
                      <w:color w:val="auto"/>
                      <w:lang w:eastAsia="zh-CN"/>
                    </w:rPr>
                    <w:t>执行排放标准</w:t>
                  </w:r>
                </w:p>
              </w:tc>
            </w:tr>
            <w:tr w14:paraId="39234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001" w:type="pct"/>
                  <w:noWrap w:val="0"/>
                  <w:vAlign w:val="center"/>
                </w:tcPr>
                <w:p w14:paraId="6DCE7BF6">
                  <w:pPr>
                    <w:pStyle w:val="28"/>
                    <w:bidi w:val="0"/>
                    <w:rPr>
                      <w:color w:val="auto"/>
                      <w:lang w:eastAsia="zh-CN"/>
                    </w:rPr>
                  </w:pPr>
                  <w:r>
                    <w:rPr>
                      <w:rFonts w:hint="eastAsia"/>
                      <w:color w:val="auto"/>
                      <w:lang w:val="en-US" w:eastAsia="zh-CN"/>
                    </w:rPr>
                    <w:t>厂界四周</w:t>
                  </w:r>
                </w:p>
              </w:tc>
              <w:tc>
                <w:tcPr>
                  <w:tcW w:w="974" w:type="pct"/>
                  <w:noWrap w:val="0"/>
                  <w:vAlign w:val="center"/>
                </w:tcPr>
                <w:p w14:paraId="682E536D">
                  <w:pPr>
                    <w:pStyle w:val="28"/>
                    <w:bidi w:val="0"/>
                    <w:rPr>
                      <w:color w:val="auto"/>
                    </w:rPr>
                  </w:pPr>
                  <w:r>
                    <w:rPr>
                      <w:color w:val="auto"/>
                    </w:rPr>
                    <w:t>臭气浓度</w:t>
                  </w:r>
                </w:p>
                <w:p w14:paraId="56FA4BCE">
                  <w:pPr>
                    <w:pStyle w:val="28"/>
                    <w:bidi w:val="0"/>
                    <w:rPr>
                      <w:rFonts w:hint="eastAsia"/>
                      <w:color w:val="auto"/>
                      <w:lang w:val="en-US" w:eastAsia="zh-CN"/>
                    </w:rPr>
                  </w:pPr>
                  <w:r>
                    <w:rPr>
                      <w:rFonts w:hint="eastAsia"/>
                      <w:color w:val="auto"/>
                      <w:lang w:eastAsia="zh-CN"/>
                    </w:rPr>
                    <w:t>（</w:t>
                  </w:r>
                  <w:r>
                    <w:rPr>
                      <w:rFonts w:hint="eastAsia"/>
                      <w:color w:val="auto"/>
                      <w:lang w:val="en-US" w:eastAsia="zh-CN"/>
                    </w:rPr>
                    <w:t>20无量纲</w:t>
                  </w:r>
                  <w:r>
                    <w:rPr>
                      <w:rFonts w:hint="eastAsia"/>
                      <w:color w:val="auto"/>
                      <w:lang w:eastAsia="zh-CN"/>
                    </w:rPr>
                    <w:t>）</w:t>
                  </w:r>
                </w:p>
              </w:tc>
              <w:tc>
                <w:tcPr>
                  <w:tcW w:w="867" w:type="pct"/>
                  <w:tcBorders>
                    <w:right w:val="single" w:color="auto" w:sz="2" w:space="0"/>
                  </w:tcBorders>
                  <w:noWrap w:val="0"/>
                  <w:vAlign w:val="center"/>
                </w:tcPr>
                <w:p w14:paraId="31DC7AE2">
                  <w:pPr>
                    <w:pStyle w:val="28"/>
                    <w:bidi w:val="0"/>
                    <w:rPr>
                      <w:rFonts w:hint="default"/>
                      <w:color w:val="auto"/>
                      <w:lang w:val="en-US" w:eastAsia="zh-CN"/>
                    </w:rPr>
                  </w:pPr>
                  <w:r>
                    <w:rPr>
                      <w:rFonts w:hint="default"/>
                      <w:color w:val="auto"/>
                    </w:rPr>
                    <w:t>1次</w:t>
                  </w:r>
                  <w:r>
                    <w:rPr>
                      <w:rFonts w:hint="eastAsia"/>
                      <w:color w:val="auto"/>
                      <w:lang w:val="en-US" w:eastAsia="zh-CN"/>
                    </w:rPr>
                    <w:t>/年</w:t>
                  </w:r>
                </w:p>
              </w:tc>
              <w:tc>
                <w:tcPr>
                  <w:tcW w:w="2156" w:type="pct"/>
                  <w:tcBorders>
                    <w:top w:val="single" w:color="auto" w:sz="4" w:space="0"/>
                    <w:left w:val="single" w:color="auto" w:sz="2" w:space="0"/>
                  </w:tcBorders>
                  <w:noWrap w:val="0"/>
                  <w:vAlign w:val="center"/>
                </w:tcPr>
                <w:p w14:paraId="2E4B16E0">
                  <w:pPr>
                    <w:pStyle w:val="28"/>
                    <w:bidi w:val="0"/>
                    <w:rPr>
                      <w:rFonts w:hint="default"/>
                      <w:color w:val="auto"/>
                      <w:lang w:val="en-US" w:eastAsia="zh-CN"/>
                    </w:rPr>
                  </w:pPr>
                  <w:r>
                    <w:rPr>
                      <w:rFonts w:hint="default"/>
                      <w:color w:val="auto"/>
                    </w:rPr>
                    <w:t>《</w:t>
                  </w:r>
                  <w:r>
                    <w:rPr>
                      <w:rFonts w:hint="eastAsia"/>
                      <w:color w:val="auto"/>
                      <w:lang w:val="en-US" w:eastAsia="zh-CN"/>
                    </w:rPr>
                    <w:t>恶臭污染物排放标准</w:t>
                  </w:r>
                  <w:r>
                    <w:rPr>
                      <w:rFonts w:hint="default"/>
                      <w:color w:val="auto"/>
                    </w:rPr>
                    <w:t>》（GB</w:t>
                  </w:r>
                  <w:r>
                    <w:rPr>
                      <w:rFonts w:hint="eastAsia"/>
                      <w:color w:val="auto"/>
                      <w:lang w:val="en-US" w:eastAsia="zh-CN"/>
                    </w:rPr>
                    <w:t>14554-93</w:t>
                  </w:r>
                  <w:r>
                    <w:rPr>
                      <w:rFonts w:hint="default"/>
                      <w:color w:val="auto"/>
                    </w:rPr>
                    <w:t>）</w:t>
                  </w:r>
                  <w:r>
                    <w:rPr>
                      <w:rFonts w:hint="eastAsia"/>
                      <w:color w:val="auto"/>
                      <w:lang w:val="en-US" w:eastAsia="zh-CN"/>
                    </w:rPr>
                    <w:t>中</w:t>
                  </w:r>
                  <w:r>
                    <w:rPr>
                      <w:rFonts w:hint="default"/>
                      <w:color w:val="auto"/>
                    </w:rPr>
                    <w:t>表</w:t>
                  </w:r>
                  <w:r>
                    <w:rPr>
                      <w:rFonts w:hint="eastAsia"/>
                      <w:color w:val="auto"/>
                      <w:lang w:val="en-US" w:eastAsia="zh-CN"/>
                    </w:rPr>
                    <w:t>1中相关标准限值</w:t>
                  </w:r>
                </w:p>
              </w:tc>
            </w:tr>
          </w:tbl>
          <w:p w14:paraId="0EE09F8B">
            <w:pPr>
              <w:pStyle w:val="3"/>
              <w:bidi w:val="0"/>
              <w:rPr>
                <w:color w:val="auto"/>
              </w:rPr>
            </w:pPr>
            <w:r>
              <w:rPr>
                <w:rFonts w:hint="eastAsia"/>
                <w:color w:val="auto"/>
                <w:lang w:val="en-US" w:eastAsia="zh-CN"/>
              </w:rPr>
              <w:t>4.6</w:t>
            </w:r>
            <w:r>
              <w:rPr>
                <w:rFonts w:hint="eastAsia"/>
                <w:color w:val="auto"/>
              </w:rPr>
              <w:t>、运营期废水环境影响保护措施</w:t>
            </w:r>
          </w:p>
          <w:p w14:paraId="2713E59D">
            <w:pPr>
              <w:pStyle w:val="4"/>
              <w:bidi w:val="0"/>
              <w:rPr>
                <w:rFonts w:hint="default"/>
                <w:color w:val="auto"/>
                <w:lang w:val="en-US"/>
              </w:rPr>
            </w:pPr>
            <w:r>
              <w:rPr>
                <w:rFonts w:hint="eastAsia"/>
                <w:color w:val="auto"/>
                <w:lang w:val="en-US" w:eastAsia="zh-CN"/>
              </w:rPr>
              <w:t>4.6.1</w:t>
            </w:r>
            <w:r>
              <w:rPr>
                <w:rFonts w:hint="default"/>
                <w:color w:val="auto"/>
                <w:lang w:val="en-US" w:eastAsia="zh-CN"/>
              </w:rPr>
              <w:t>废水</w:t>
            </w:r>
            <w:r>
              <w:rPr>
                <w:rFonts w:hint="eastAsia"/>
                <w:color w:val="auto"/>
                <w:lang w:val="en-US" w:eastAsia="zh-CN"/>
              </w:rPr>
              <w:t>污染物产排情况</w:t>
            </w:r>
          </w:p>
          <w:p w14:paraId="2D80A361">
            <w:pPr>
              <w:pStyle w:val="29"/>
              <w:bidi w:val="0"/>
              <w:rPr>
                <w:rFonts w:hint="default"/>
                <w:color w:val="auto"/>
                <w:lang w:val="en-US" w:eastAsia="zh-CN"/>
              </w:rPr>
            </w:pPr>
            <w:r>
              <w:rPr>
                <w:color w:val="auto"/>
              </w:rPr>
              <w:t>本项目不设食堂，因此无食堂废水产生；</w:t>
            </w:r>
            <w:r>
              <w:rPr>
                <w:rFonts w:hint="eastAsia"/>
                <w:color w:val="auto"/>
                <w:lang w:val="en-US" w:eastAsia="zh-CN"/>
              </w:rPr>
              <w:t>DR</w:t>
            </w:r>
            <w:r>
              <w:rPr>
                <w:color w:val="auto"/>
              </w:rPr>
              <w:t>室使用数字影像设备，不涉及显影液、定影液的使用，无洗印废水产生</w:t>
            </w:r>
            <w:r>
              <w:rPr>
                <w:rFonts w:hint="eastAsia"/>
                <w:color w:val="auto"/>
                <w:lang w:eastAsia="zh-CN"/>
              </w:rPr>
              <w:t>，</w:t>
            </w:r>
            <w:r>
              <w:rPr>
                <w:color w:val="auto"/>
              </w:rPr>
              <w:t>不涉及含汞废水的产生和排放。</w:t>
            </w:r>
            <w:r>
              <w:rPr>
                <w:rFonts w:hint="eastAsia"/>
                <w:color w:val="auto"/>
                <w:lang w:val="en-US" w:eastAsia="zh-CN"/>
              </w:rPr>
              <w:t>项目废水主要为生活污水、</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w:t>
            </w:r>
            <w:r>
              <w:rPr>
                <w:rFonts w:hint="eastAsia"/>
                <w:color w:val="auto"/>
                <w:lang w:val="en-US" w:eastAsia="zh-CN"/>
              </w:rPr>
              <w:t>及医疗废水。</w:t>
            </w:r>
          </w:p>
          <w:p w14:paraId="3AE8DA95">
            <w:pPr>
              <w:pStyle w:val="29"/>
              <w:bidi w:val="0"/>
              <w:rPr>
                <w:rFonts w:hint="default"/>
                <w:color w:val="auto"/>
                <w:lang w:val="en-US" w:eastAsia="zh-CN"/>
              </w:rPr>
            </w:pPr>
            <w:bookmarkStart w:id="15" w:name="OLE_LINK46"/>
            <w:r>
              <w:rPr>
                <w:rFonts w:hint="eastAsia"/>
                <w:color w:val="auto"/>
                <w:lang w:val="en-US" w:eastAsia="zh-CN"/>
              </w:rPr>
              <w:t>本项目</w:t>
            </w:r>
            <w:bookmarkStart w:id="16" w:name="OLE_LINK106"/>
            <w:r>
              <w:rPr>
                <w:rFonts w:hint="eastAsia"/>
                <w:color w:val="auto"/>
                <w:lang w:val="en-US" w:eastAsia="zh-CN"/>
              </w:rPr>
              <w:t>生活污水</w:t>
            </w:r>
            <w:r>
              <w:rPr>
                <w:rFonts w:hint="default"/>
                <w:color w:val="auto"/>
                <w:lang w:val="en-US" w:eastAsia="zh-CN"/>
              </w:rPr>
              <w:t>排入市政</w:t>
            </w:r>
            <w:r>
              <w:rPr>
                <w:rFonts w:hint="eastAsia"/>
                <w:color w:val="auto"/>
                <w:lang w:val="en-US" w:eastAsia="zh-CN"/>
              </w:rPr>
              <w:t>下水</w:t>
            </w:r>
            <w:r>
              <w:rPr>
                <w:rFonts w:hint="default"/>
                <w:color w:val="auto"/>
                <w:lang w:val="en-US" w:eastAsia="zh-CN"/>
              </w:rPr>
              <w:t>管网</w:t>
            </w:r>
            <w:bookmarkEnd w:id="16"/>
            <w:r>
              <w:rPr>
                <w:rFonts w:hint="default"/>
                <w:color w:val="auto"/>
                <w:lang w:val="en-US" w:eastAsia="zh-CN"/>
              </w:rPr>
              <w:t>，最终排入</w:t>
            </w:r>
            <w:r>
              <w:rPr>
                <w:rFonts w:hint="eastAsia"/>
                <w:color w:val="auto"/>
                <w:lang w:val="en-US" w:eastAsia="zh-CN"/>
              </w:rPr>
              <w:t>库尔勒市老城区污水处理厂</w:t>
            </w:r>
            <w:r>
              <w:rPr>
                <w:rFonts w:hint="default"/>
                <w:color w:val="auto"/>
                <w:lang w:val="en-US" w:eastAsia="zh-CN"/>
              </w:rPr>
              <w:t>。</w:t>
            </w:r>
          </w:p>
          <w:p w14:paraId="7A7E8AC5">
            <w:pPr>
              <w:pStyle w:val="29"/>
              <w:bidi w:val="0"/>
              <w:rPr>
                <w:rFonts w:hint="default"/>
                <w:color w:val="auto"/>
                <w:lang w:val="en-US" w:eastAsia="zh-CN"/>
              </w:rPr>
            </w:pPr>
            <w:bookmarkStart w:id="17" w:name="OLE_LINK105"/>
            <w:r>
              <w:rPr>
                <w:rFonts w:hint="eastAsia"/>
                <w:color w:val="auto"/>
                <w:lang w:val="en-US" w:eastAsia="zh-CN"/>
              </w:rPr>
              <w:t>医疗</w:t>
            </w:r>
            <w:r>
              <w:rPr>
                <w:rFonts w:hint="default"/>
                <w:color w:val="auto"/>
                <w:lang w:val="en-US" w:eastAsia="zh-CN"/>
              </w:rPr>
              <w:t>废水</w:t>
            </w:r>
            <w:bookmarkEnd w:id="15"/>
            <w:r>
              <w:rPr>
                <w:rFonts w:hint="eastAsia"/>
                <w:color w:val="auto"/>
                <w:lang w:val="en-US" w:eastAsia="zh-CN"/>
              </w:rPr>
              <w:t>及</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w:t>
            </w:r>
            <w:r>
              <w:rPr>
                <w:rFonts w:hint="default"/>
                <w:color w:val="auto"/>
                <w:lang w:val="en-US" w:eastAsia="zh-CN"/>
              </w:rPr>
              <w:t>单独收集，</w:t>
            </w:r>
            <w:bookmarkStart w:id="18" w:name="OLE_LINK59"/>
            <w:r>
              <w:rPr>
                <w:rFonts w:hint="eastAsia"/>
                <w:color w:val="auto"/>
                <w:lang w:val="en-US" w:eastAsia="zh-CN"/>
              </w:rPr>
              <w:t>经</w:t>
            </w:r>
            <w:r>
              <w:rPr>
                <w:rFonts w:hint="eastAsia"/>
                <w:color w:val="auto"/>
                <w:highlight w:val="none"/>
                <w:lang w:val="en-US" w:eastAsia="zh-CN"/>
              </w:rPr>
              <w:t>处置室</w:t>
            </w:r>
            <w:r>
              <w:rPr>
                <w:rFonts w:hint="eastAsia"/>
                <w:color w:val="auto"/>
                <w:lang w:val="en-US" w:eastAsia="zh-CN"/>
              </w:rPr>
              <w:t>的一体化污水处理设施</w:t>
            </w:r>
            <w:r>
              <w:rPr>
                <w:rFonts w:hint="eastAsia" w:ascii="Times New Roman" w:eastAsia="宋体"/>
                <w:color w:val="auto"/>
                <w:lang w:val="en-US" w:eastAsia="zh-CN"/>
              </w:rPr>
              <w:t>（处理规模为0.</w:t>
            </w:r>
            <w:r>
              <w:rPr>
                <w:rFonts w:hint="eastAsia"/>
                <w:color w:val="auto"/>
                <w:lang w:val="en-US" w:eastAsia="zh-CN"/>
              </w:rPr>
              <w:t>2</w:t>
            </w:r>
            <w:r>
              <w:rPr>
                <w:rFonts w:hint="eastAsia" w:ascii="Times New Roman" w:eastAsia="宋体"/>
                <w:color w:val="auto"/>
                <w:lang w:val="en-US" w:eastAsia="zh-CN"/>
              </w:rPr>
              <w:t>m</w:t>
            </w:r>
            <w:r>
              <w:rPr>
                <w:rFonts w:hint="eastAsia" w:ascii="Times New Roman" w:eastAsia="宋体"/>
                <w:color w:val="auto"/>
                <w:vertAlign w:val="superscript"/>
                <w:lang w:val="en-US" w:eastAsia="zh-CN"/>
              </w:rPr>
              <w:t>3</w:t>
            </w:r>
            <w:r>
              <w:rPr>
                <w:rFonts w:hint="eastAsia" w:ascii="Times New Roman" w:eastAsia="宋体"/>
                <w:color w:val="auto"/>
                <w:lang w:val="en-US" w:eastAsia="zh-CN"/>
              </w:rPr>
              <w:t>/d）</w:t>
            </w:r>
            <w:r>
              <w:rPr>
                <w:rFonts w:hint="eastAsia"/>
                <w:color w:val="auto"/>
                <w:lang w:val="en-US" w:eastAsia="zh-CN"/>
              </w:rPr>
              <w:t>过滤与消毒</w:t>
            </w:r>
            <w:r>
              <w:rPr>
                <w:rFonts w:hint="default"/>
                <w:color w:val="auto"/>
                <w:lang w:val="en-US" w:eastAsia="zh-CN"/>
              </w:rPr>
              <w:t>处理</w:t>
            </w:r>
            <w:bookmarkEnd w:id="18"/>
            <w:r>
              <w:rPr>
                <w:rFonts w:hint="eastAsia"/>
                <w:color w:val="auto"/>
                <w:lang w:val="en-US" w:eastAsia="zh-CN"/>
              </w:rPr>
              <w:t>达到</w:t>
            </w:r>
            <w:r>
              <w:rPr>
                <w:color w:val="auto"/>
                <w:lang w:val="en-US" w:eastAsia="zh-CN"/>
              </w:rPr>
              <w:t>《医疗机构水污染物排放标准》</w:t>
            </w:r>
            <w:r>
              <w:rPr>
                <w:rFonts w:hint="default"/>
                <w:color w:val="auto"/>
                <w:lang w:val="en-US" w:eastAsia="zh-CN"/>
              </w:rPr>
              <w:t>（GB18466-2005，含2026年修改单）</w:t>
            </w:r>
            <w:r>
              <w:rPr>
                <w:color w:val="auto"/>
                <w:lang w:val="en-US" w:eastAsia="zh-CN"/>
              </w:rPr>
              <w:t>中表</w:t>
            </w:r>
            <w:r>
              <w:rPr>
                <w:rFonts w:hint="eastAsia"/>
                <w:color w:val="auto"/>
                <w:lang w:val="en-US" w:eastAsia="zh-CN"/>
              </w:rPr>
              <w:t>2</w:t>
            </w:r>
            <w:r>
              <w:rPr>
                <w:color w:val="auto"/>
                <w:lang w:val="en-US" w:eastAsia="zh-CN"/>
              </w:rPr>
              <w:t>标准</w:t>
            </w:r>
            <w:r>
              <w:rPr>
                <w:rFonts w:hint="eastAsia"/>
                <w:color w:val="auto"/>
                <w:lang w:val="en-US" w:eastAsia="zh-CN"/>
              </w:rPr>
              <w:t>限值要求后</w:t>
            </w:r>
            <w:r>
              <w:rPr>
                <w:rFonts w:hint="default"/>
                <w:color w:val="auto"/>
                <w:lang w:val="en-US" w:eastAsia="zh-CN"/>
              </w:rPr>
              <w:t>与</w:t>
            </w:r>
            <w:r>
              <w:rPr>
                <w:rFonts w:hint="eastAsia"/>
                <w:color w:val="auto"/>
                <w:lang w:val="en-US" w:eastAsia="zh-CN"/>
              </w:rPr>
              <w:t>生活污水</w:t>
            </w:r>
            <w:bookmarkStart w:id="19" w:name="OLE_LINK90"/>
            <w:r>
              <w:rPr>
                <w:rFonts w:hint="default"/>
                <w:color w:val="auto"/>
                <w:lang w:val="en-US" w:eastAsia="zh-CN"/>
              </w:rPr>
              <w:t>一</w:t>
            </w:r>
            <w:r>
              <w:rPr>
                <w:rFonts w:hint="eastAsia"/>
                <w:color w:val="auto"/>
                <w:lang w:val="en-US" w:eastAsia="zh-CN"/>
              </w:rPr>
              <w:t>同</w:t>
            </w:r>
            <w:r>
              <w:rPr>
                <w:rFonts w:hint="default"/>
                <w:color w:val="auto"/>
                <w:lang w:val="en-US" w:eastAsia="zh-CN"/>
              </w:rPr>
              <w:t>排入市政</w:t>
            </w:r>
            <w:r>
              <w:rPr>
                <w:rFonts w:hint="eastAsia"/>
                <w:color w:val="auto"/>
                <w:lang w:val="en-US" w:eastAsia="zh-CN"/>
              </w:rPr>
              <w:t>下水</w:t>
            </w:r>
            <w:r>
              <w:rPr>
                <w:rFonts w:hint="default"/>
                <w:color w:val="auto"/>
                <w:lang w:val="en-US" w:eastAsia="zh-CN"/>
              </w:rPr>
              <w:t>管网，最终排入</w:t>
            </w:r>
            <w:r>
              <w:rPr>
                <w:rFonts w:hint="eastAsia"/>
                <w:color w:val="auto"/>
                <w:lang w:val="en-US" w:eastAsia="zh-CN"/>
              </w:rPr>
              <w:t>库尔勒市老城区污水处理厂</w:t>
            </w:r>
            <w:r>
              <w:rPr>
                <w:rFonts w:hint="default"/>
                <w:color w:val="auto"/>
                <w:lang w:val="en-US" w:eastAsia="zh-CN"/>
              </w:rPr>
              <w:t>处理。</w:t>
            </w:r>
            <w:bookmarkEnd w:id="17"/>
          </w:p>
          <w:bookmarkEnd w:id="19"/>
          <w:p w14:paraId="2C452250">
            <w:pPr>
              <w:pStyle w:val="29"/>
              <w:keepNext w:val="0"/>
              <w:keepLines w:val="0"/>
              <w:pageBreakBefore w:val="0"/>
              <w:widowControl/>
              <w:kinsoku/>
              <w:wordWrap/>
              <w:overflowPunct/>
              <w:topLinePunct w:val="0"/>
              <w:autoSpaceDE w:val="0"/>
              <w:autoSpaceDN w:val="0"/>
              <w:bidi w:val="0"/>
              <w:adjustRightInd/>
              <w:snapToGrid/>
              <w:textAlignment w:val="baseline"/>
              <w:rPr>
                <w:rFonts w:hint="default"/>
                <w:color w:val="auto"/>
              </w:rPr>
            </w:pPr>
            <w:r>
              <w:rPr>
                <w:rFonts w:hint="default"/>
                <w:color w:val="auto"/>
                <w:lang w:val="en-US" w:eastAsia="zh-CN"/>
              </w:rPr>
              <w:t>本项目</w:t>
            </w:r>
            <w:r>
              <w:rPr>
                <w:rFonts w:hint="eastAsia"/>
                <w:color w:val="auto"/>
                <w:lang w:val="en-US" w:eastAsia="zh-CN"/>
              </w:rPr>
              <w:t>医疗</w:t>
            </w:r>
            <w:r>
              <w:rPr>
                <w:rFonts w:hint="default"/>
                <w:color w:val="auto"/>
                <w:lang w:val="en-US" w:eastAsia="zh-CN"/>
              </w:rPr>
              <w:t>废水水质参照《医院污水处理工程技术规范》（HJ2029-2013）中经验数据进行分析。本次评价取值</w:t>
            </w:r>
            <w:r>
              <w:rPr>
                <w:rFonts w:hint="eastAsia"/>
                <w:color w:val="auto"/>
                <w:lang w:val="en-US" w:eastAsia="zh-CN"/>
              </w:rPr>
              <w:t>：COD：</w:t>
            </w:r>
            <w:r>
              <w:rPr>
                <w:rFonts w:hint="default"/>
                <w:color w:val="auto"/>
                <w:lang w:val="en-US" w:eastAsia="zh-CN"/>
              </w:rPr>
              <w:t>250</w:t>
            </w:r>
            <w:r>
              <w:rPr>
                <w:rFonts w:hint="eastAsia"/>
                <w:color w:val="auto"/>
                <w:lang w:val="en-US" w:eastAsia="zh-CN"/>
              </w:rPr>
              <w:t>mg/L</w:t>
            </w:r>
            <w:r>
              <w:rPr>
                <w:rFonts w:hint="default"/>
                <w:color w:val="auto"/>
                <w:lang w:val="en-US" w:eastAsia="zh-CN"/>
              </w:rPr>
              <w:t>；</w:t>
            </w:r>
            <w:r>
              <w:rPr>
                <w:rFonts w:hint="eastAsia"/>
                <w:color w:val="auto"/>
                <w:lang w:val="en-US" w:eastAsia="zh-CN"/>
              </w:rPr>
              <w:t>BOD5</w:t>
            </w:r>
            <w:r>
              <w:rPr>
                <w:rFonts w:hint="eastAsia" w:ascii="Times New Roman" w:eastAsia="宋体"/>
                <w:color w:val="auto"/>
                <w:lang w:val="en-US" w:eastAsia="zh-CN"/>
              </w:rPr>
              <w:t>：</w:t>
            </w:r>
            <w:r>
              <w:rPr>
                <w:rFonts w:hint="default"/>
                <w:color w:val="auto"/>
                <w:lang w:val="en-US" w:eastAsia="zh-CN"/>
              </w:rPr>
              <w:t>100</w:t>
            </w:r>
            <w:r>
              <w:rPr>
                <w:rFonts w:hint="eastAsia"/>
                <w:color w:val="auto"/>
                <w:lang w:val="en-US" w:eastAsia="zh-CN"/>
              </w:rPr>
              <w:t>mg/L</w:t>
            </w:r>
            <w:r>
              <w:rPr>
                <w:rFonts w:hint="default"/>
                <w:color w:val="auto"/>
                <w:lang w:val="en-US" w:eastAsia="zh-CN"/>
              </w:rPr>
              <w:t>；</w:t>
            </w:r>
            <w:r>
              <w:rPr>
                <w:rFonts w:hint="eastAsia"/>
                <w:color w:val="auto"/>
                <w:lang w:val="en-US" w:eastAsia="zh-CN"/>
              </w:rPr>
              <w:t>SS：</w:t>
            </w:r>
            <w:r>
              <w:rPr>
                <w:rFonts w:hint="default"/>
                <w:color w:val="auto"/>
                <w:lang w:val="en-US" w:eastAsia="zh-CN"/>
              </w:rPr>
              <w:t>80</w:t>
            </w:r>
            <w:r>
              <w:rPr>
                <w:rFonts w:hint="eastAsia"/>
                <w:color w:val="auto"/>
                <w:lang w:val="en-US" w:eastAsia="zh-CN"/>
              </w:rPr>
              <w:t>mg/L</w:t>
            </w:r>
            <w:r>
              <w:rPr>
                <w:rFonts w:hint="default"/>
                <w:color w:val="auto"/>
                <w:lang w:val="en-US" w:eastAsia="zh-CN"/>
              </w:rPr>
              <w:t>；</w:t>
            </w:r>
            <w:r>
              <w:rPr>
                <w:rFonts w:hint="eastAsia"/>
                <w:color w:val="auto"/>
                <w:lang w:val="en-US" w:eastAsia="zh-CN"/>
              </w:rPr>
              <w:t>氨氮：</w:t>
            </w:r>
            <w:r>
              <w:rPr>
                <w:rFonts w:hint="default"/>
                <w:color w:val="auto"/>
                <w:lang w:val="en-US" w:eastAsia="zh-CN"/>
              </w:rPr>
              <w:t>30</w:t>
            </w:r>
            <w:r>
              <w:rPr>
                <w:rFonts w:hint="eastAsia"/>
                <w:color w:val="auto"/>
                <w:lang w:val="en-US" w:eastAsia="zh-CN"/>
              </w:rPr>
              <w:t>mg/L</w:t>
            </w:r>
            <w:r>
              <w:rPr>
                <w:rFonts w:hint="default"/>
                <w:color w:val="auto"/>
                <w:lang w:val="en-US" w:eastAsia="zh-CN"/>
              </w:rPr>
              <w:t>；</w:t>
            </w:r>
            <w:r>
              <w:rPr>
                <w:rFonts w:hint="eastAsia"/>
                <w:color w:val="auto"/>
                <w:lang w:val="en-US" w:eastAsia="zh-CN"/>
              </w:rPr>
              <w:t>粪大肠菌群</w:t>
            </w:r>
            <w:bookmarkStart w:id="20" w:name="OLE_LINK98"/>
            <w:bookmarkStart w:id="21" w:name="OLE_LINK28"/>
            <w:r>
              <w:rPr>
                <w:rFonts w:hint="eastAsia"/>
                <w:color w:val="auto"/>
                <w:lang w:val="en-US" w:eastAsia="zh-CN"/>
              </w:rPr>
              <w:t>：1.6</w:t>
            </w:r>
            <w:r>
              <w:rPr>
                <w:rFonts w:hint="default"/>
                <w:color w:val="auto"/>
                <w:lang w:val="en-US" w:eastAsia="zh-CN"/>
              </w:rPr>
              <w:t>×</w:t>
            </w:r>
            <w:r>
              <w:rPr>
                <w:rFonts w:hint="eastAsia"/>
                <w:color w:val="auto"/>
                <w:lang w:val="en-US" w:eastAsia="zh-CN"/>
              </w:rPr>
              <w:t>10</w:t>
            </w:r>
            <w:r>
              <w:rPr>
                <w:rFonts w:hint="eastAsia"/>
                <w:color w:val="auto"/>
                <w:vertAlign w:val="superscript"/>
                <w:lang w:val="en-US" w:eastAsia="zh-CN"/>
              </w:rPr>
              <w:t>8</w:t>
            </w:r>
            <w:bookmarkEnd w:id="20"/>
            <w:r>
              <w:rPr>
                <w:rFonts w:hint="eastAsia"/>
                <w:color w:val="auto"/>
                <w:lang w:val="en-US" w:eastAsia="zh-CN"/>
              </w:rPr>
              <w:t>个/L</w:t>
            </w:r>
            <w:bookmarkEnd w:id="21"/>
            <w:r>
              <w:rPr>
                <w:rFonts w:hint="default"/>
                <w:color w:val="auto"/>
                <w:lang w:val="en-US" w:eastAsia="zh-CN"/>
              </w:rPr>
              <w:t>。</w:t>
            </w:r>
          </w:p>
          <w:p w14:paraId="18E8DB62">
            <w:pPr>
              <w:pStyle w:val="29"/>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废水的产生浓度参照《医院污水处理工程技术规范》(HJ2029-2013)中经验数据同时参考同类其他动物医院</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废水产生浓度，确定污染物浓度源强为COD≤</w:t>
            </w:r>
            <w:r>
              <w:rPr>
                <w:rFonts w:hint="eastAsia" w:cs="Times New Roman"/>
                <w:color w:val="auto"/>
                <w:highlight w:val="none"/>
                <w:lang w:val="en-US" w:eastAsia="zh-CN"/>
              </w:rPr>
              <w:t>190</w:t>
            </w:r>
            <w:r>
              <w:rPr>
                <w:rFonts w:hint="default" w:ascii="Times New Roman" w:hAnsi="Times New Roman" w:cs="Times New Roman"/>
                <w:color w:val="auto"/>
                <w:highlight w:val="none"/>
                <w:lang w:val="en-US" w:eastAsia="zh-CN"/>
              </w:rPr>
              <w:t>mg/L、BOD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90</w:t>
            </w:r>
            <w:r>
              <w:rPr>
                <w:rFonts w:hint="default" w:ascii="Times New Roman" w:hAnsi="Times New Roman" w:cs="Times New Roman"/>
                <w:color w:val="auto"/>
                <w:highlight w:val="none"/>
                <w:lang w:val="en-US" w:eastAsia="zh-CN"/>
              </w:rPr>
              <w:t>mg/L、SS≤</w:t>
            </w:r>
            <w:r>
              <w:rPr>
                <w:rFonts w:hint="eastAsia" w:cs="Times New Roman"/>
                <w:color w:val="auto"/>
                <w:highlight w:val="none"/>
                <w:lang w:val="en-US" w:eastAsia="zh-CN"/>
              </w:rPr>
              <w:t>60</w:t>
            </w:r>
            <w:r>
              <w:rPr>
                <w:rFonts w:hint="default" w:ascii="Times New Roman" w:hAnsi="Times New Roman" w:cs="Times New Roman"/>
                <w:color w:val="auto"/>
                <w:highlight w:val="none"/>
                <w:lang w:val="en-US" w:eastAsia="zh-CN"/>
              </w:rPr>
              <w:t>mg/L、氨氮≤</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mg/L、粪大肠菌群≤</w:t>
            </w:r>
            <w:r>
              <w:rPr>
                <w:rFonts w:hint="eastAsia" w:cs="Times New Roman"/>
                <w:color w:val="auto"/>
                <w:highlight w:val="none"/>
                <w:lang w:val="en-US" w:eastAsia="zh-CN"/>
              </w:rPr>
              <w:t>7600</w:t>
            </w:r>
            <w:r>
              <w:rPr>
                <w:rFonts w:hint="default" w:ascii="Times New Roman" w:hAnsi="Times New Roman" w:cs="Times New Roman"/>
                <w:color w:val="auto"/>
                <w:highlight w:val="none"/>
                <w:lang w:val="en-US" w:eastAsia="zh-CN"/>
              </w:rPr>
              <w:t>个/L。</w:t>
            </w:r>
          </w:p>
          <w:p w14:paraId="5D9C9C4C">
            <w:pPr>
              <w:pStyle w:val="29"/>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bCs/>
                <w:color w:val="auto"/>
                <w:kern w:val="21"/>
                <w:sz w:val="24"/>
                <w:lang w:val="en-US" w:eastAsia="zh-CN"/>
              </w:rPr>
              <w:t>类比典型生活污水水质</w:t>
            </w:r>
            <w:r>
              <w:rPr>
                <w:rFonts w:hint="default"/>
                <w:color w:val="auto"/>
                <w:lang w:val="en-US" w:eastAsia="zh-CN"/>
              </w:rPr>
              <w:t>。</w:t>
            </w:r>
            <w:r>
              <w:rPr>
                <w:rFonts w:hint="eastAsia"/>
                <w:color w:val="auto"/>
                <w:lang w:val="en-US" w:eastAsia="zh-CN"/>
              </w:rPr>
              <w:t>本项目</w:t>
            </w:r>
            <w:r>
              <w:rPr>
                <w:rFonts w:hint="eastAsia" w:ascii="Times New Roman" w:hAnsi="Times New Roman" w:eastAsia="宋体" w:cs="Times New Roman"/>
                <w:color w:val="auto"/>
                <w:lang w:val="en-US" w:eastAsia="zh-CN"/>
              </w:rPr>
              <w:t>生活污水</w:t>
            </w:r>
            <w:r>
              <w:rPr>
                <w:rFonts w:hint="default" w:ascii="Times New Roman" w:hAnsi="Times New Roman" w:eastAsia="宋体" w:cs="Times New Roman"/>
                <w:color w:val="auto"/>
                <w:lang w:val="en-US" w:eastAsia="zh-CN"/>
              </w:rPr>
              <w:t>排放浓度取值</w:t>
            </w:r>
            <w:r>
              <w:rPr>
                <w:rFonts w:hint="eastAsia" w:ascii="Times New Roman" w:hAnsi="Times New Roman" w:eastAsia="宋体" w:cs="Times New Roman"/>
                <w:color w:val="auto"/>
                <w:lang w:val="en-US" w:eastAsia="zh-CN"/>
              </w:rPr>
              <w:t>：COD：</w:t>
            </w:r>
            <w:r>
              <w:rPr>
                <w:rFonts w:hint="default" w:ascii="Times New Roman" w:hAnsi="Times New Roman" w:eastAsia="宋体" w:cs="Times New Roman"/>
                <w:color w:val="auto"/>
                <w:lang w:val="en-US" w:eastAsia="zh-CN"/>
              </w:rPr>
              <w:t>4</w:t>
            </w:r>
            <w:r>
              <w:rPr>
                <w:rFonts w:hint="eastAsia" w:cs="Times New Roman"/>
                <w:color w:val="auto"/>
                <w:lang w:val="en-US" w:eastAsia="zh-CN"/>
              </w:rPr>
              <w:t>6</w:t>
            </w:r>
            <w:r>
              <w:rPr>
                <w:rFonts w:hint="default" w:ascii="Times New Roman" w:hAnsi="Times New Roman" w:eastAsia="宋体" w:cs="Times New Roman"/>
                <w:color w:val="auto"/>
                <w:lang w:val="en-US" w:eastAsia="zh-CN"/>
              </w:rPr>
              <w:t>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BOD</w:t>
            </w:r>
            <w:r>
              <w:rPr>
                <w:rFonts w:hint="eastAsia" w:ascii="Times New Roman" w:hAnsi="Times New Roman" w:eastAsia="宋体" w:cs="Times New Roman"/>
                <w:color w:val="auto"/>
                <w:vertAlign w:val="subscript"/>
                <w:lang w:val="en-US" w:eastAsia="zh-CN"/>
              </w:rPr>
              <w:t>5</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200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氨氮：3</w:t>
            </w:r>
            <w:r>
              <w:rPr>
                <w:rFonts w:hint="eastAsia" w:cs="Times New Roman"/>
                <w:color w:val="auto"/>
                <w:lang w:val="en-US" w:eastAsia="zh-CN"/>
              </w:rPr>
              <w:t>5</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SS：</w:t>
            </w:r>
            <w:r>
              <w:rPr>
                <w:rFonts w:hint="default" w:ascii="Times New Roman" w:hAnsi="Times New Roman" w:eastAsia="宋体" w:cs="Times New Roman"/>
                <w:color w:val="auto"/>
                <w:lang w:val="en-US" w:eastAsia="zh-CN"/>
              </w:rPr>
              <w:t>2</w:t>
            </w:r>
            <w:r>
              <w:rPr>
                <w:rFonts w:hint="eastAsia" w:cs="Times New Roman"/>
                <w:color w:val="auto"/>
                <w:lang w:val="en-US" w:eastAsia="zh-CN"/>
              </w:rPr>
              <w:t>0</w:t>
            </w:r>
            <w:r>
              <w:rPr>
                <w:rFonts w:hint="default" w:ascii="Times New Roman" w:hAnsi="Times New Roman" w:eastAsia="宋体" w:cs="Times New Roman"/>
                <w:color w:val="auto"/>
                <w:lang w:val="en-US" w:eastAsia="zh-CN"/>
              </w:rPr>
              <w:t>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p>
          <w:p w14:paraId="5CF0A140">
            <w:pPr>
              <w:pStyle w:val="29"/>
              <w:bidi w:val="0"/>
              <w:rPr>
                <w:rFonts w:hint="default"/>
                <w:color w:val="auto"/>
                <w:highlight w:val="none"/>
              </w:rPr>
            </w:pPr>
            <w:r>
              <w:rPr>
                <w:rFonts w:hint="default"/>
                <w:color w:val="auto"/>
                <w:highlight w:val="none"/>
                <w:lang w:val="en-US" w:eastAsia="zh-CN"/>
              </w:rPr>
              <w:t>本项目运营期</w:t>
            </w:r>
            <w:r>
              <w:rPr>
                <w:rFonts w:hint="eastAsia"/>
                <w:color w:val="auto"/>
                <w:highlight w:val="none"/>
                <w:lang w:val="en-US" w:eastAsia="zh-CN"/>
              </w:rPr>
              <w:t>各类</w:t>
            </w:r>
            <w:r>
              <w:rPr>
                <w:rFonts w:hint="default"/>
                <w:color w:val="auto"/>
                <w:highlight w:val="none"/>
                <w:lang w:val="en-US" w:eastAsia="zh-CN"/>
              </w:rPr>
              <w:t>废水水质及排放统计情况见下表。</w:t>
            </w:r>
          </w:p>
          <w:p w14:paraId="446CE1FE">
            <w:pPr>
              <w:pStyle w:val="22"/>
              <w:bidi w:val="0"/>
              <w:ind w:left="0" w:leftChars="0" w:firstLine="0" w:firstLineChars="0"/>
              <w:jc w:val="center"/>
              <w:rPr>
                <w:rFonts w:hint="default"/>
                <w:color w:val="auto"/>
                <w:highlight w:val="none"/>
                <w:lang w:val="en-US" w:eastAsia="zh-CN"/>
              </w:rPr>
            </w:pPr>
            <w:r>
              <w:rPr>
                <w:rFonts w:hint="default"/>
                <w:color w:val="auto"/>
                <w:highlight w:val="none"/>
                <w:lang w:val="en-US" w:eastAsia="zh-CN"/>
              </w:rPr>
              <w:t>表4-</w:t>
            </w:r>
            <w:r>
              <w:rPr>
                <w:rFonts w:hint="eastAsia"/>
                <w:color w:val="auto"/>
                <w:highlight w:val="none"/>
                <w:lang w:val="en-US" w:eastAsia="zh-CN"/>
              </w:rPr>
              <w:t>3</w:t>
            </w:r>
            <w:r>
              <w:rPr>
                <w:rFonts w:hint="default"/>
                <w:color w:val="auto"/>
                <w:highlight w:val="none"/>
                <w:lang w:val="en-US" w:eastAsia="zh-CN"/>
              </w:rPr>
              <w:t xml:space="preserve">  项目水污染物产生及排放情况统计表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
              <w:gridCol w:w="487"/>
              <w:gridCol w:w="973"/>
              <w:gridCol w:w="842"/>
              <w:gridCol w:w="1060"/>
              <w:gridCol w:w="1170"/>
              <w:gridCol w:w="1111"/>
              <w:gridCol w:w="1069"/>
              <w:gridCol w:w="1037"/>
            </w:tblGrid>
            <w:tr w14:paraId="3199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pct"/>
                  <w:gridSpan w:val="3"/>
                  <w:noWrap w:val="0"/>
                  <w:vAlign w:val="center"/>
                </w:tcPr>
                <w:p w14:paraId="23602E80">
                  <w:pPr>
                    <w:pStyle w:val="28"/>
                    <w:widowControl w:val="0"/>
                    <w:bidi w:val="0"/>
                    <w:rPr>
                      <w:rFonts w:hint="default"/>
                      <w:color w:val="auto"/>
                      <w:highlight w:val="none"/>
                      <w:lang w:val="en-US" w:eastAsia="zh-CN"/>
                    </w:rPr>
                  </w:pPr>
                  <w:r>
                    <w:rPr>
                      <w:rFonts w:hint="default"/>
                      <w:color w:val="auto"/>
                      <w:highlight w:val="none"/>
                      <w:lang w:val="en-US" w:eastAsia="zh-CN"/>
                    </w:rPr>
                    <w:t>废水性质</w:t>
                  </w:r>
                </w:p>
              </w:tc>
              <w:tc>
                <w:tcPr>
                  <w:tcW w:w="517" w:type="pct"/>
                  <w:noWrap w:val="0"/>
                  <w:vAlign w:val="center"/>
                </w:tcPr>
                <w:p w14:paraId="19AAA9D6">
                  <w:pPr>
                    <w:pStyle w:val="28"/>
                    <w:widowControl w:val="0"/>
                    <w:bidi w:val="0"/>
                    <w:rPr>
                      <w:rFonts w:hint="default"/>
                      <w:color w:val="auto"/>
                      <w:highlight w:val="none"/>
                      <w:lang w:val="en-US" w:eastAsia="zh-CN"/>
                    </w:rPr>
                  </w:pPr>
                  <w:r>
                    <w:rPr>
                      <w:rFonts w:hint="default"/>
                      <w:color w:val="auto"/>
                      <w:highlight w:val="none"/>
                      <w:lang w:val="en-US" w:eastAsia="zh-CN"/>
                    </w:rPr>
                    <w:t>排水量</w:t>
                  </w:r>
                  <w:r>
                    <w:rPr>
                      <w:rFonts w:hint="eastAsia"/>
                      <w:color w:val="auto"/>
                      <w:highlight w:val="none"/>
                      <w:lang w:val="en-US" w:eastAsia="zh-CN"/>
                    </w:rPr>
                    <w:t>m</w:t>
                  </w:r>
                  <w:r>
                    <w:rPr>
                      <w:rFonts w:hint="eastAsia"/>
                      <w:color w:val="auto"/>
                      <w:highlight w:val="none"/>
                      <w:vertAlign w:val="superscript"/>
                      <w:lang w:val="en-US" w:eastAsia="zh-CN"/>
                    </w:rPr>
                    <w:t>3</w:t>
                  </w:r>
                  <w:r>
                    <w:rPr>
                      <w:rFonts w:hint="eastAsia"/>
                      <w:color w:val="auto"/>
                      <w:highlight w:val="none"/>
                      <w:lang w:val="en-US" w:eastAsia="zh-CN"/>
                    </w:rPr>
                    <w:t>/a</w:t>
                  </w:r>
                </w:p>
              </w:tc>
              <w:tc>
                <w:tcPr>
                  <w:tcW w:w="651" w:type="pct"/>
                  <w:noWrap w:val="0"/>
                  <w:vAlign w:val="center"/>
                </w:tcPr>
                <w:p w14:paraId="4AD8D168">
                  <w:pPr>
                    <w:pStyle w:val="28"/>
                    <w:widowControl w:val="0"/>
                    <w:bidi w:val="0"/>
                    <w:rPr>
                      <w:rFonts w:hint="default"/>
                      <w:color w:val="auto"/>
                      <w:highlight w:val="none"/>
                      <w:lang w:val="en-US" w:eastAsia="zh-CN"/>
                    </w:rPr>
                  </w:pPr>
                  <w:r>
                    <w:rPr>
                      <w:rFonts w:hint="default"/>
                      <w:color w:val="auto"/>
                      <w:highlight w:val="none"/>
                      <w:lang w:val="en-US" w:eastAsia="zh-CN"/>
                    </w:rPr>
                    <w:t>COD</w:t>
                  </w:r>
                </w:p>
              </w:tc>
              <w:tc>
                <w:tcPr>
                  <w:tcW w:w="719" w:type="pct"/>
                  <w:noWrap w:val="0"/>
                  <w:vAlign w:val="center"/>
                </w:tcPr>
                <w:p w14:paraId="2F2303FB">
                  <w:pPr>
                    <w:pStyle w:val="28"/>
                    <w:widowControl w:val="0"/>
                    <w:bidi w:val="0"/>
                    <w:rPr>
                      <w:rFonts w:hint="default"/>
                      <w:color w:val="auto"/>
                      <w:highlight w:val="none"/>
                      <w:lang w:val="en-US" w:eastAsia="zh-CN"/>
                    </w:rPr>
                  </w:pPr>
                  <w:r>
                    <w:rPr>
                      <w:rFonts w:hint="default"/>
                      <w:color w:val="auto"/>
                      <w:highlight w:val="none"/>
                      <w:lang w:val="en-US" w:eastAsia="zh-CN"/>
                    </w:rPr>
                    <w:t>BOD</w:t>
                  </w:r>
                  <w:r>
                    <w:rPr>
                      <w:rFonts w:hint="default"/>
                      <w:color w:val="auto"/>
                      <w:highlight w:val="none"/>
                      <w:vertAlign w:val="subscript"/>
                      <w:lang w:val="en-US" w:eastAsia="zh-CN"/>
                    </w:rPr>
                    <w:t>5</w:t>
                  </w:r>
                </w:p>
              </w:tc>
              <w:tc>
                <w:tcPr>
                  <w:tcW w:w="682" w:type="pct"/>
                  <w:noWrap w:val="0"/>
                  <w:vAlign w:val="center"/>
                </w:tcPr>
                <w:p w14:paraId="4FC21EBF">
                  <w:pPr>
                    <w:pStyle w:val="28"/>
                    <w:widowControl w:val="0"/>
                    <w:bidi w:val="0"/>
                    <w:rPr>
                      <w:rFonts w:hint="default"/>
                      <w:color w:val="auto"/>
                      <w:highlight w:val="none"/>
                      <w:lang w:val="en-US" w:eastAsia="zh-CN"/>
                    </w:rPr>
                  </w:pPr>
                  <w:r>
                    <w:rPr>
                      <w:rFonts w:hint="default"/>
                      <w:color w:val="auto"/>
                      <w:highlight w:val="none"/>
                      <w:lang w:val="en-US" w:eastAsia="zh-CN"/>
                    </w:rPr>
                    <w:t>SS</w:t>
                  </w:r>
                </w:p>
              </w:tc>
              <w:tc>
                <w:tcPr>
                  <w:tcW w:w="657" w:type="pct"/>
                  <w:noWrap w:val="0"/>
                  <w:vAlign w:val="center"/>
                </w:tcPr>
                <w:p w14:paraId="7D645D7F">
                  <w:pPr>
                    <w:pStyle w:val="28"/>
                    <w:widowControl w:val="0"/>
                    <w:bidi w:val="0"/>
                    <w:rPr>
                      <w:rFonts w:hint="default"/>
                      <w:color w:val="auto"/>
                      <w:highlight w:val="none"/>
                      <w:lang w:val="en-US" w:eastAsia="zh-CN"/>
                    </w:rPr>
                  </w:pPr>
                  <w:r>
                    <w:rPr>
                      <w:rFonts w:hint="eastAsia"/>
                      <w:color w:val="auto"/>
                      <w:highlight w:val="none"/>
                      <w:lang w:val="en-US" w:eastAsia="zh-CN"/>
                    </w:rPr>
                    <w:t>氨氮</w:t>
                  </w:r>
                </w:p>
              </w:tc>
              <w:tc>
                <w:tcPr>
                  <w:tcW w:w="637" w:type="pct"/>
                  <w:noWrap w:val="0"/>
                  <w:vAlign w:val="center"/>
                </w:tcPr>
                <w:p w14:paraId="274FDDB1">
                  <w:pPr>
                    <w:pStyle w:val="28"/>
                    <w:widowControl w:val="0"/>
                    <w:bidi w:val="0"/>
                    <w:rPr>
                      <w:rFonts w:hint="default"/>
                      <w:color w:val="auto"/>
                      <w:highlight w:val="none"/>
                      <w:lang w:val="en-US" w:eastAsia="zh-CN"/>
                    </w:rPr>
                  </w:pPr>
                  <w:bookmarkStart w:id="22" w:name="OLE_LINK99"/>
                  <w:r>
                    <w:rPr>
                      <w:rFonts w:hint="default"/>
                      <w:color w:val="auto"/>
                      <w:highlight w:val="none"/>
                      <w:lang w:val="en-US" w:eastAsia="zh-CN"/>
                    </w:rPr>
                    <w:t>粪大肠</w:t>
                  </w:r>
                  <w:r>
                    <w:rPr>
                      <w:rFonts w:hint="eastAsia"/>
                      <w:color w:val="auto"/>
                      <w:highlight w:val="none"/>
                      <w:lang w:val="en-US" w:eastAsia="zh-CN"/>
                    </w:rPr>
                    <w:t>菌群</w:t>
                  </w:r>
                  <w:bookmarkEnd w:id="22"/>
                  <w:r>
                    <w:rPr>
                      <w:rFonts w:hint="eastAsia"/>
                      <w:color w:val="auto"/>
                      <w:highlight w:val="none"/>
                      <w:lang w:val="en-US" w:eastAsia="zh-CN"/>
                    </w:rPr>
                    <w:t>（个/L）</w:t>
                  </w:r>
                </w:p>
              </w:tc>
            </w:tr>
            <w:tr w14:paraId="755E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restart"/>
                  <w:noWrap w:val="0"/>
                  <w:vAlign w:val="center"/>
                </w:tcPr>
                <w:p w14:paraId="1DE93B2A">
                  <w:pPr>
                    <w:pStyle w:val="28"/>
                    <w:widowControl w:val="0"/>
                    <w:bidi w:val="0"/>
                    <w:rPr>
                      <w:rFonts w:hint="default"/>
                      <w:color w:val="auto"/>
                      <w:highlight w:val="none"/>
                      <w:lang w:val="en-US" w:eastAsia="zh-CN"/>
                    </w:rPr>
                  </w:pPr>
                  <w:bookmarkStart w:id="23" w:name="OLE_LINK22" w:colFirst="2" w:colLast="2"/>
                  <w:r>
                    <w:rPr>
                      <w:rFonts w:hint="eastAsia"/>
                      <w:color w:val="auto"/>
                      <w:highlight w:val="none"/>
                      <w:lang w:val="en-US" w:eastAsia="zh-CN"/>
                    </w:rPr>
                    <w:t>医疗</w:t>
                  </w:r>
                  <w:r>
                    <w:rPr>
                      <w:rFonts w:hint="default"/>
                      <w:color w:val="auto"/>
                      <w:highlight w:val="none"/>
                      <w:lang w:val="en-US" w:eastAsia="zh-CN"/>
                    </w:rPr>
                    <w:t>废水</w:t>
                  </w:r>
                </w:p>
              </w:tc>
              <w:tc>
                <w:tcPr>
                  <w:tcW w:w="299" w:type="pct"/>
                  <w:vMerge w:val="restart"/>
                  <w:noWrap w:val="0"/>
                  <w:vAlign w:val="center"/>
                </w:tcPr>
                <w:p w14:paraId="3993863F">
                  <w:pPr>
                    <w:pStyle w:val="28"/>
                    <w:widowControl w:val="0"/>
                    <w:bidi w:val="0"/>
                    <w:rPr>
                      <w:rFonts w:hint="default"/>
                      <w:color w:val="auto"/>
                      <w:highlight w:val="none"/>
                      <w:lang w:val="en-US" w:eastAsia="zh-CN"/>
                    </w:rPr>
                  </w:pPr>
                  <w:r>
                    <w:rPr>
                      <w:rFonts w:hint="default"/>
                      <w:color w:val="auto"/>
                      <w:highlight w:val="none"/>
                      <w:lang w:val="en-US" w:eastAsia="zh-CN"/>
                    </w:rPr>
                    <w:t>处理前</w:t>
                  </w:r>
                </w:p>
              </w:tc>
              <w:tc>
                <w:tcPr>
                  <w:tcW w:w="598" w:type="pct"/>
                  <w:noWrap w:val="0"/>
                  <w:vAlign w:val="center"/>
                </w:tcPr>
                <w:p w14:paraId="185E3038">
                  <w:pPr>
                    <w:pStyle w:val="28"/>
                    <w:widowControl w:val="0"/>
                    <w:bidi w:val="0"/>
                    <w:rPr>
                      <w:rFonts w:hint="default"/>
                      <w:color w:val="auto"/>
                      <w:highlight w:val="none"/>
                      <w:lang w:val="en-US" w:eastAsia="zh-CN"/>
                    </w:rPr>
                  </w:pPr>
                  <w:r>
                    <w:rPr>
                      <w:rFonts w:hint="default"/>
                      <w:color w:val="auto"/>
                      <w:highlight w:val="none"/>
                      <w:lang w:val="en-US" w:eastAsia="zh-CN"/>
                    </w:rPr>
                    <w:t>浓度</w:t>
                  </w:r>
                  <w:r>
                    <w:rPr>
                      <w:rFonts w:hint="eastAsia"/>
                      <w:color w:val="auto"/>
                      <w:highlight w:val="none"/>
                      <w:lang w:val="en-US" w:eastAsia="zh-CN"/>
                    </w:rPr>
                    <w:t>mg/L</w:t>
                  </w:r>
                </w:p>
              </w:tc>
              <w:tc>
                <w:tcPr>
                  <w:tcW w:w="517" w:type="pct"/>
                  <w:vMerge w:val="restart"/>
                  <w:noWrap w:val="0"/>
                  <w:vAlign w:val="center"/>
                </w:tcPr>
                <w:p w14:paraId="4FFFC3B7">
                  <w:pPr>
                    <w:pStyle w:val="28"/>
                    <w:widowControl w:val="0"/>
                    <w:bidi w:val="0"/>
                    <w:rPr>
                      <w:rFonts w:hint="default"/>
                      <w:color w:val="auto"/>
                      <w:highlight w:val="none"/>
                      <w:lang w:val="en-US" w:eastAsia="zh-CN"/>
                    </w:rPr>
                  </w:pPr>
                  <w:r>
                    <w:rPr>
                      <w:rFonts w:hint="eastAsia"/>
                      <w:color w:val="auto"/>
                      <w:highlight w:val="none"/>
                      <w:lang w:val="en-US" w:eastAsia="zh-CN"/>
                    </w:rPr>
                    <w:t>24.53</w:t>
                  </w:r>
                </w:p>
              </w:tc>
              <w:tc>
                <w:tcPr>
                  <w:tcW w:w="651" w:type="pct"/>
                  <w:noWrap w:val="0"/>
                  <w:vAlign w:val="center"/>
                </w:tcPr>
                <w:p w14:paraId="6847678E">
                  <w:pPr>
                    <w:pStyle w:val="28"/>
                    <w:widowControl w:val="0"/>
                    <w:bidi w:val="0"/>
                    <w:rPr>
                      <w:rFonts w:hint="default"/>
                      <w:color w:val="auto"/>
                      <w:highlight w:val="none"/>
                      <w:lang w:val="en-US" w:eastAsia="zh-CN"/>
                    </w:rPr>
                  </w:pPr>
                  <w:r>
                    <w:rPr>
                      <w:rFonts w:hint="default"/>
                      <w:color w:val="auto"/>
                      <w:highlight w:val="none"/>
                      <w:lang w:val="en-US" w:eastAsia="zh-CN"/>
                    </w:rPr>
                    <w:t>250</w:t>
                  </w:r>
                </w:p>
              </w:tc>
              <w:tc>
                <w:tcPr>
                  <w:tcW w:w="719" w:type="pct"/>
                  <w:noWrap w:val="0"/>
                  <w:vAlign w:val="center"/>
                </w:tcPr>
                <w:p w14:paraId="07AC368B">
                  <w:pPr>
                    <w:pStyle w:val="28"/>
                    <w:widowControl w:val="0"/>
                    <w:bidi w:val="0"/>
                    <w:rPr>
                      <w:rFonts w:hint="default"/>
                      <w:color w:val="auto"/>
                      <w:highlight w:val="none"/>
                      <w:lang w:val="en-US" w:eastAsia="zh-CN"/>
                    </w:rPr>
                  </w:pPr>
                  <w:r>
                    <w:rPr>
                      <w:rFonts w:hint="default"/>
                      <w:color w:val="auto"/>
                      <w:highlight w:val="none"/>
                      <w:lang w:val="en-US" w:eastAsia="zh-CN"/>
                    </w:rPr>
                    <w:t>100</w:t>
                  </w:r>
                </w:p>
              </w:tc>
              <w:tc>
                <w:tcPr>
                  <w:tcW w:w="682" w:type="pct"/>
                  <w:noWrap w:val="0"/>
                  <w:vAlign w:val="center"/>
                </w:tcPr>
                <w:p w14:paraId="5FEA0C49">
                  <w:pPr>
                    <w:pStyle w:val="28"/>
                    <w:widowControl w:val="0"/>
                    <w:bidi w:val="0"/>
                    <w:rPr>
                      <w:rFonts w:hint="default"/>
                      <w:color w:val="auto"/>
                      <w:highlight w:val="none"/>
                      <w:lang w:val="en-US" w:eastAsia="zh-CN"/>
                    </w:rPr>
                  </w:pPr>
                  <w:r>
                    <w:rPr>
                      <w:rFonts w:hint="default"/>
                      <w:color w:val="auto"/>
                      <w:highlight w:val="none"/>
                      <w:lang w:val="en-US" w:eastAsia="zh-CN"/>
                    </w:rPr>
                    <w:t>80</w:t>
                  </w:r>
                </w:p>
              </w:tc>
              <w:tc>
                <w:tcPr>
                  <w:tcW w:w="657" w:type="pct"/>
                  <w:noWrap w:val="0"/>
                  <w:vAlign w:val="center"/>
                </w:tcPr>
                <w:p w14:paraId="717C8F94">
                  <w:pPr>
                    <w:pStyle w:val="28"/>
                    <w:widowControl w:val="0"/>
                    <w:bidi w:val="0"/>
                    <w:rPr>
                      <w:rFonts w:hint="default"/>
                      <w:color w:val="auto"/>
                      <w:highlight w:val="none"/>
                      <w:lang w:val="en-US" w:eastAsia="zh-CN"/>
                    </w:rPr>
                  </w:pPr>
                  <w:r>
                    <w:rPr>
                      <w:rFonts w:hint="eastAsia"/>
                      <w:color w:val="auto"/>
                      <w:highlight w:val="none"/>
                      <w:lang w:val="en-US" w:eastAsia="zh-CN"/>
                    </w:rPr>
                    <w:t>30</w:t>
                  </w:r>
                </w:p>
              </w:tc>
              <w:tc>
                <w:tcPr>
                  <w:tcW w:w="637" w:type="pct"/>
                  <w:noWrap w:val="0"/>
                  <w:vAlign w:val="center"/>
                </w:tcPr>
                <w:p w14:paraId="67BF0C4C">
                  <w:pPr>
                    <w:pStyle w:val="28"/>
                    <w:widowControl w:val="0"/>
                    <w:bidi w:val="0"/>
                    <w:rPr>
                      <w:rFonts w:hint="default"/>
                      <w:color w:val="auto"/>
                      <w:highlight w:val="none"/>
                      <w:lang w:val="en-US" w:eastAsia="zh-CN"/>
                    </w:rPr>
                  </w:pPr>
                  <w:r>
                    <w:rPr>
                      <w:rFonts w:hint="eastAsia"/>
                      <w:color w:val="auto"/>
                      <w:highlight w:val="none"/>
                      <w:lang w:val="en-US" w:eastAsia="zh-CN"/>
                    </w:rPr>
                    <w:t>1.6</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8</w:t>
                  </w:r>
                </w:p>
              </w:tc>
            </w:tr>
            <w:tr w14:paraId="27EB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continue"/>
                  <w:noWrap w:val="0"/>
                  <w:vAlign w:val="center"/>
                </w:tcPr>
                <w:p w14:paraId="414C2450">
                  <w:pPr>
                    <w:pStyle w:val="28"/>
                    <w:widowControl w:val="0"/>
                    <w:bidi w:val="0"/>
                    <w:rPr>
                      <w:rFonts w:hint="default"/>
                      <w:color w:val="auto"/>
                      <w:highlight w:val="none"/>
                      <w:lang w:val="en-US" w:eastAsia="zh-CN"/>
                    </w:rPr>
                  </w:pPr>
                  <w:bookmarkStart w:id="24" w:name="OLE_LINK32" w:colFirst="4" w:colLast="5"/>
                </w:p>
              </w:tc>
              <w:tc>
                <w:tcPr>
                  <w:tcW w:w="299" w:type="pct"/>
                  <w:vMerge w:val="continue"/>
                  <w:noWrap w:val="0"/>
                  <w:vAlign w:val="center"/>
                </w:tcPr>
                <w:p w14:paraId="273847F1">
                  <w:pPr>
                    <w:pStyle w:val="28"/>
                    <w:widowControl w:val="0"/>
                    <w:bidi w:val="0"/>
                    <w:rPr>
                      <w:rFonts w:hint="default"/>
                      <w:color w:val="auto"/>
                      <w:highlight w:val="none"/>
                      <w:lang w:val="en-US" w:eastAsia="zh-CN"/>
                    </w:rPr>
                  </w:pPr>
                </w:p>
              </w:tc>
              <w:tc>
                <w:tcPr>
                  <w:tcW w:w="598" w:type="pct"/>
                  <w:noWrap w:val="0"/>
                  <w:vAlign w:val="center"/>
                </w:tcPr>
                <w:p w14:paraId="4E8E2026">
                  <w:pPr>
                    <w:pStyle w:val="28"/>
                    <w:widowControl w:val="0"/>
                    <w:bidi w:val="0"/>
                    <w:rPr>
                      <w:rFonts w:hint="default"/>
                      <w:color w:val="auto"/>
                      <w:highlight w:val="none"/>
                      <w:lang w:val="en-US" w:eastAsia="zh-CN"/>
                    </w:rPr>
                  </w:pPr>
                  <w:r>
                    <w:rPr>
                      <w:rFonts w:hint="default"/>
                      <w:color w:val="auto"/>
                      <w:highlight w:val="none"/>
                      <w:lang w:val="en-US" w:eastAsia="zh-CN"/>
                    </w:rPr>
                    <w:t>产生量</w:t>
                  </w:r>
                  <w:r>
                    <w:rPr>
                      <w:rFonts w:hint="eastAsia"/>
                      <w:color w:val="auto"/>
                      <w:highlight w:val="none"/>
                      <w:lang w:val="en-US" w:eastAsia="zh-CN"/>
                    </w:rPr>
                    <w:t>t/a</w:t>
                  </w:r>
                </w:p>
              </w:tc>
              <w:tc>
                <w:tcPr>
                  <w:tcW w:w="517" w:type="pct"/>
                  <w:vMerge w:val="continue"/>
                  <w:noWrap w:val="0"/>
                  <w:vAlign w:val="center"/>
                </w:tcPr>
                <w:p w14:paraId="60F7DA06">
                  <w:pPr>
                    <w:pStyle w:val="28"/>
                    <w:widowControl w:val="0"/>
                    <w:bidi w:val="0"/>
                    <w:rPr>
                      <w:rFonts w:hint="default"/>
                      <w:color w:val="auto"/>
                      <w:highlight w:val="none"/>
                      <w:lang w:val="en-US" w:eastAsia="zh-CN"/>
                    </w:rPr>
                  </w:pPr>
                </w:p>
              </w:tc>
              <w:tc>
                <w:tcPr>
                  <w:tcW w:w="651" w:type="pct"/>
                  <w:noWrap w:val="0"/>
                  <w:vAlign w:val="center"/>
                </w:tcPr>
                <w:p w14:paraId="31EB7DC0">
                  <w:pPr>
                    <w:pStyle w:val="28"/>
                    <w:widowControl w:val="0"/>
                    <w:bidi w:val="0"/>
                    <w:rPr>
                      <w:rFonts w:hint="default"/>
                      <w:color w:val="auto"/>
                      <w:highlight w:val="none"/>
                      <w:lang w:val="en-US" w:eastAsia="zh-CN"/>
                    </w:rPr>
                  </w:pPr>
                  <w:r>
                    <w:rPr>
                      <w:rFonts w:hint="eastAsia"/>
                      <w:color w:val="auto"/>
                      <w:highlight w:val="none"/>
                      <w:lang w:val="en-US" w:eastAsia="zh-CN"/>
                    </w:rPr>
                    <w:t>0.00613</w:t>
                  </w:r>
                </w:p>
              </w:tc>
              <w:tc>
                <w:tcPr>
                  <w:tcW w:w="719" w:type="pct"/>
                  <w:noWrap w:val="0"/>
                  <w:vAlign w:val="center"/>
                </w:tcPr>
                <w:p w14:paraId="70156AC8">
                  <w:pPr>
                    <w:pStyle w:val="28"/>
                    <w:widowControl w:val="0"/>
                    <w:bidi w:val="0"/>
                    <w:rPr>
                      <w:rFonts w:hint="default"/>
                      <w:color w:val="auto"/>
                      <w:highlight w:val="none"/>
                      <w:lang w:val="en-US" w:eastAsia="zh-CN"/>
                    </w:rPr>
                  </w:pPr>
                  <w:r>
                    <w:rPr>
                      <w:rFonts w:hint="eastAsia"/>
                      <w:color w:val="auto"/>
                      <w:highlight w:val="none"/>
                      <w:lang w:val="en-US" w:eastAsia="zh-CN"/>
                    </w:rPr>
                    <w:t>0.00245</w:t>
                  </w:r>
                </w:p>
              </w:tc>
              <w:tc>
                <w:tcPr>
                  <w:tcW w:w="682" w:type="pct"/>
                  <w:noWrap w:val="0"/>
                  <w:vAlign w:val="center"/>
                </w:tcPr>
                <w:p w14:paraId="2503932C">
                  <w:pPr>
                    <w:pStyle w:val="28"/>
                    <w:widowControl w:val="0"/>
                    <w:bidi w:val="0"/>
                    <w:rPr>
                      <w:rFonts w:hint="default"/>
                      <w:color w:val="auto"/>
                      <w:highlight w:val="none"/>
                      <w:lang w:val="en-US" w:eastAsia="zh-CN"/>
                    </w:rPr>
                  </w:pPr>
                  <w:r>
                    <w:rPr>
                      <w:rFonts w:hint="eastAsia"/>
                      <w:color w:val="auto"/>
                      <w:highlight w:val="none"/>
                      <w:lang w:val="en-US" w:eastAsia="zh-CN"/>
                    </w:rPr>
                    <w:t>0.00196</w:t>
                  </w:r>
                </w:p>
              </w:tc>
              <w:tc>
                <w:tcPr>
                  <w:tcW w:w="657" w:type="pct"/>
                  <w:noWrap w:val="0"/>
                  <w:vAlign w:val="center"/>
                </w:tcPr>
                <w:p w14:paraId="14573A12">
                  <w:pPr>
                    <w:pStyle w:val="28"/>
                    <w:widowControl w:val="0"/>
                    <w:bidi w:val="0"/>
                    <w:rPr>
                      <w:rFonts w:hint="default"/>
                      <w:color w:val="auto"/>
                      <w:highlight w:val="none"/>
                      <w:lang w:val="en-US" w:eastAsia="zh-CN"/>
                    </w:rPr>
                  </w:pPr>
                  <w:r>
                    <w:rPr>
                      <w:rFonts w:hint="eastAsia"/>
                      <w:color w:val="auto"/>
                      <w:highlight w:val="none"/>
                      <w:lang w:val="en-US" w:eastAsia="zh-CN"/>
                    </w:rPr>
                    <w:t>0.00074</w:t>
                  </w:r>
                </w:p>
              </w:tc>
              <w:tc>
                <w:tcPr>
                  <w:tcW w:w="637" w:type="pct"/>
                  <w:noWrap w:val="0"/>
                  <w:vAlign w:val="center"/>
                </w:tcPr>
                <w:p w14:paraId="4A168ECB">
                  <w:pPr>
                    <w:pStyle w:val="28"/>
                    <w:widowControl w:val="0"/>
                    <w:bidi w:val="0"/>
                    <w:rPr>
                      <w:rFonts w:hint="default"/>
                      <w:color w:val="auto"/>
                      <w:highlight w:val="none"/>
                      <w:lang w:val="en-US" w:eastAsia="zh-CN"/>
                    </w:rPr>
                  </w:pPr>
                  <w:r>
                    <w:rPr>
                      <w:rFonts w:hint="default"/>
                      <w:color w:val="auto"/>
                      <w:highlight w:val="none"/>
                      <w:lang w:val="en-US" w:eastAsia="zh-CN"/>
                    </w:rPr>
                    <w:t>/</w:t>
                  </w:r>
                </w:p>
              </w:tc>
            </w:tr>
            <w:tr w14:paraId="0A2E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6" w:type="pct"/>
                  <w:vMerge w:val="restart"/>
                  <w:noWrap w:val="0"/>
                  <w:vAlign w:val="center"/>
                </w:tcPr>
                <w:p w14:paraId="0685739C">
                  <w:pPr>
                    <w:pStyle w:val="28"/>
                    <w:widowControl w:val="0"/>
                    <w:bidi w:val="0"/>
                    <w:rPr>
                      <w:rFonts w:hint="default"/>
                      <w:color w:val="auto"/>
                      <w:highlight w:val="none"/>
                      <w:lang w:val="en-US" w:eastAsia="zh-CN"/>
                    </w:rPr>
                  </w:pPr>
                  <w:bookmarkStart w:id="25" w:name="OLE_LINK26" w:colFirst="3" w:colLast="7"/>
                  <w:r>
                    <w:rPr>
                      <w:rFonts w:hint="eastAsia" w:cs="Times New Roman"/>
                      <w:color w:val="auto"/>
                      <w:highlight w:val="none"/>
                      <w:lang w:val="en-US" w:eastAsia="zh-CN"/>
                    </w:rPr>
                    <w:t>清洗消毒废水</w:t>
                  </w:r>
                </w:p>
              </w:tc>
              <w:tc>
                <w:tcPr>
                  <w:tcW w:w="299" w:type="pct"/>
                  <w:vMerge w:val="restart"/>
                  <w:noWrap w:val="0"/>
                  <w:vAlign w:val="center"/>
                </w:tcPr>
                <w:p w14:paraId="713BE5E7">
                  <w:pPr>
                    <w:pStyle w:val="28"/>
                    <w:widowControl w:val="0"/>
                    <w:bidi w:val="0"/>
                    <w:rPr>
                      <w:rFonts w:hint="default"/>
                      <w:color w:val="auto"/>
                      <w:highlight w:val="none"/>
                      <w:lang w:val="en-US" w:eastAsia="zh-CN"/>
                    </w:rPr>
                  </w:pPr>
                  <w:r>
                    <w:rPr>
                      <w:rFonts w:hint="default" w:ascii="Times New Roman" w:hAnsi="Times New Roman" w:cs="Times New Roman"/>
                      <w:color w:val="auto"/>
                      <w:highlight w:val="none"/>
                      <w:lang w:val="en-US" w:eastAsia="zh-CN"/>
                    </w:rPr>
                    <w:t>处理前</w:t>
                  </w:r>
                </w:p>
              </w:tc>
              <w:tc>
                <w:tcPr>
                  <w:tcW w:w="598" w:type="pct"/>
                  <w:noWrap w:val="0"/>
                  <w:vAlign w:val="center"/>
                </w:tcPr>
                <w:p w14:paraId="7550DB51">
                  <w:pPr>
                    <w:pStyle w:val="28"/>
                    <w:widowControl w:val="0"/>
                    <w:bidi w:val="0"/>
                    <w:rPr>
                      <w:rFonts w:hint="default"/>
                      <w:color w:val="auto"/>
                      <w:highlight w:val="none"/>
                      <w:lang w:val="en-US" w:eastAsia="zh-CN"/>
                    </w:rPr>
                  </w:pPr>
                  <w:r>
                    <w:rPr>
                      <w:rFonts w:hint="default" w:ascii="Times New Roman" w:hAnsi="Times New Roman" w:cs="Times New Roman"/>
                      <w:color w:val="auto"/>
                      <w:highlight w:val="none"/>
                      <w:lang w:val="en-US" w:eastAsia="zh-CN"/>
                    </w:rPr>
                    <w:t>浓度mg/L</w:t>
                  </w:r>
                </w:p>
              </w:tc>
              <w:tc>
                <w:tcPr>
                  <w:tcW w:w="517" w:type="pct"/>
                  <w:vMerge w:val="restart"/>
                  <w:noWrap w:val="0"/>
                  <w:vAlign w:val="center"/>
                </w:tcPr>
                <w:p w14:paraId="0082591C">
                  <w:pPr>
                    <w:pStyle w:val="28"/>
                    <w:widowControl w:val="0"/>
                    <w:bidi w:val="0"/>
                    <w:rPr>
                      <w:rFonts w:hint="default"/>
                      <w:color w:val="auto"/>
                      <w:highlight w:val="none"/>
                      <w:lang w:val="en-US" w:eastAsia="zh-CN"/>
                    </w:rPr>
                  </w:pPr>
                  <w:r>
                    <w:rPr>
                      <w:rFonts w:hint="eastAsia"/>
                      <w:color w:val="auto"/>
                      <w:highlight w:val="none"/>
                      <w:lang w:val="en-US" w:eastAsia="zh-CN"/>
                    </w:rPr>
                    <w:t>14.6</w:t>
                  </w:r>
                </w:p>
              </w:tc>
              <w:tc>
                <w:tcPr>
                  <w:tcW w:w="651" w:type="pct"/>
                  <w:noWrap w:val="0"/>
                  <w:vAlign w:val="center"/>
                </w:tcPr>
                <w:p w14:paraId="55954379">
                  <w:pPr>
                    <w:pStyle w:val="28"/>
                    <w:widowControl w:val="0"/>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190</w:t>
                  </w:r>
                </w:p>
              </w:tc>
              <w:tc>
                <w:tcPr>
                  <w:tcW w:w="719" w:type="pct"/>
                  <w:noWrap w:val="0"/>
                  <w:vAlign w:val="center"/>
                </w:tcPr>
                <w:p w14:paraId="021CF9D2">
                  <w:pPr>
                    <w:pStyle w:val="28"/>
                    <w:widowControl w:val="0"/>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90</w:t>
                  </w:r>
                </w:p>
              </w:tc>
              <w:tc>
                <w:tcPr>
                  <w:tcW w:w="682" w:type="pct"/>
                  <w:noWrap w:val="0"/>
                  <w:vAlign w:val="center"/>
                </w:tcPr>
                <w:p w14:paraId="4FA37381">
                  <w:pPr>
                    <w:pStyle w:val="28"/>
                    <w:widowControl w:val="0"/>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60</w:t>
                  </w:r>
                </w:p>
              </w:tc>
              <w:tc>
                <w:tcPr>
                  <w:tcW w:w="657" w:type="pct"/>
                  <w:noWrap w:val="0"/>
                  <w:vAlign w:val="center"/>
                </w:tcPr>
                <w:p w14:paraId="20C68015">
                  <w:pPr>
                    <w:pStyle w:val="28"/>
                    <w:widowControl w:val="0"/>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0</w:t>
                  </w:r>
                </w:p>
              </w:tc>
              <w:tc>
                <w:tcPr>
                  <w:tcW w:w="637" w:type="pct"/>
                  <w:noWrap w:val="0"/>
                  <w:vAlign w:val="center"/>
                </w:tcPr>
                <w:p w14:paraId="04F4C445">
                  <w:pPr>
                    <w:pStyle w:val="28"/>
                    <w:widowControl w:val="0"/>
                    <w:bidi w:val="0"/>
                    <w:rPr>
                      <w:rFonts w:hint="default"/>
                      <w:color w:val="auto"/>
                      <w:highlight w:val="none"/>
                      <w:lang w:val="en-US" w:eastAsia="zh-CN"/>
                    </w:rPr>
                  </w:pPr>
                  <w:r>
                    <w:rPr>
                      <w:rFonts w:hint="eastAsia" w:cs="Times New Roman"/>
                      <w:color w:val="auto"/>
                      <w:highlight w:val="none"/>
                      <w:lang w:val="en-US" w:eastAsia="zh-CN"/>
                    </w:rPr>
                    <w:t>7600</w:t>
                  </w:r>
                </w:p>
              </w:tc>
            </w:tr>
            <w:tr w14:paraId="760B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36" w:type="pct"/>
                  <w:vMerge w:val="continue"/>
                  <w:noWrap w:val="0"/>
                  <w:vAlign w:val="center"/>
                </w:tcPr>
                <w:p w14:paraId="61B4B0D7">
                  <w:pPr>
                    <w:pStyle w:val="28"/>
                    <w:widowControl w:val="0"/>
                    <w:bidi w:val="0"/>
                    <w:rPr>
                      <w:rFonts w:hint="default"/>
                      <w:color w:val="auto"/>
                      <w:highlight w:val="none"/>
                      <w:lang w:val="en-US" w:eastAsia="zh-CN"/>
                    </w:rPr>
                  </w:pPr>
                </w:p>
              </w:tc>
              <w:tc>
                <w:tcPr>
                  <w:tcW w:w="299" w:type="pct"/>
                  <w:vMerge w:val="continue"/>
                  <w:noWrap w:val="0"/>
                  <w:vAlign w:val="center"/>
                </w:tcPr>
                <w:p w14:paraId="581BD01C">
                  <w:pPr>
                    <w:pStyle w:val="28"/>
                    <w:widowControl w:val="0"/>
                    <w:bidi w:val="0"/>
                    <w:rPr>
                      <w:rFonts w:hint="default"/>
                      <w:color w:val="auto"/>
                      <w:highlight w:val="none"/>
                      <w:lang w:val="en-US" w:eastAsia="zh-CN"/>
                    </w:rPr>
                  </w:pPr>
                </w:p>
              </w:tc>
              <w:tc>
                <w:tcPr>
                  <w:tcW w:w="598" w:type="pct"/>
                  <w:noWrap w:val="0"/>
                  <w:vAlign w:val="center"/>
                </w:tcPr>
                <w:p w14:paraId="60094AA7">
                  <w:pPr>
                    <w:pStyle w:val="28"/>
                    <w:widowControl w:val="0"/>
                    <w:bidi w:val="0"/>
                    <w:rPr>
                      <w:rFonts w:hint="default"/>
                      <w:color w:val="auto"/>
                      <w:highlight w:val="none"/>
                      <w:lang w:val="en-US" w:eastAsia="zh-CN"/>
                    </w:rPr>
                  </w:pPr>
                  <w:r>
                    <w:rPr>
                      <w:rFonts w:hint="default" w:ascii="Times New Roman" w:hAnsi="Times New Roman" w:cs="Times New Roman"/>
                      <w:color w:val="auto"/>
                      <w:highlight w:val="none"/>
                      <w:lang w:val="en-US" w:eastAsia="zh-CN"/>
                    </w:rPr>
                    <w:t>产生量t/a</w:t>
                  </w:r>
                </w:p>
              </w:tc>
              <w:tc>
                <w:tcPr>
                  <w:tcW w:w="517" w:type="pct"/>
                  <w:vMerge w:val="continue"/>
                  <w:noWrap w:val="0"/>
                  <w:vAlign w:val="center"/>
                </w:tcPr>
                <w:p w14:paraId="7B5F79E1">
                  <w:pPr>
                    <w:pStyle w:val="28"/>
                    <w:widowControl w:val="0"/>
                    <w:bidi w:val="0"/>
                    <w:rPr>
                      <w:rFonts w:hint="default"/>
                      <w:color w:val="auto"/>
                      <w:highlight w:val="none"/>
                      <w:lang w:val="en-US" w:eastAsia="zh-CN"/>
                    </w:rPr>
                  </w:pPr>
                </w:p>
              </w:tc>
              <w:tc>
                <w:tcPr>
                  <w:tcW w:w="651" w:type="pct"/>
                  <w:noWrap w:val="0"/>
                  <w:vAlign w:val="center"/>
                </w:tcPr>
                <w:p w14:paraId="33BD6B08">
                  <w:pPr>
                    <w:pStyle w:val="28"/>
                    <w:widowControl w:val="0"/>
                    <w:bidi w:val="0"/>
                    <w:rPr>
                      <w:rFonts w:hint="default"/>
                      <w:color w:val="auto"/>
                      <w:highlight w:val="none"/>
                      <w:lang w:val="en-US" w:eastAsia="zh-CN"/>
                    </w:rPr>
                  </w:pPr>
                  <w:r>
                    <w:rPr>
                      <w:rFonts w:hint="eastAsia" w:ascii="Times New Roman" w:hAnsi="Times New Roman" w:cs="Times New Roman"/>
                      <w:color w:val="auto"/>
                      <w:highlight w:val="none"/>
                      <w:lang w:val="en-US" w:eastAsia="zh-CN"/>
                    </w:rPr>
                    <w:t>0.00</w:t>
                  </w:r>
                  <w:r>
                    <w:rPr>
                      <w:rFonts w:hint="eastAsia" w:cs="Times New Roman"/>
                      <w:color w:val="auto"/>
                      <w:highlight w:val="none"/>
                      <w:lang w:val="en-US" w:eastAsia="zh-CN"/>
                    </w:rPr>
                    <w:t>277</w:t>
                  </w:r>
                </w:p>
              </w:tc>
              <w:tc>
                <w:tcPr>
                  <w:tcW w:w="719" w:type="pct"/>
                  <w:noWrap w:val="0"/>
                  <w:vAlign w:val="center"/>
                </w:tcPr>
                <w:p w14:paraId="32198B16">
                  <w:pPr>
                    <w:pStyle w:val="28"/>
                    <w:widowControl w:val="0"/>
                    <w:bidi w:val="0"/>
                    <w:rPr>
                      <w:rFonts w:hint="default"/>
                      <w:color w:val="auto"/>
                      <w:highlight w:val="none"/>
                      <w:lang w:val="en-US" w:eastAsia="zh-CN"/>
                    </w:rPr>
                  </w:pPr>
                  <w:r>
                    <w:rPr>
                      <w:rFonts w:hint="eastAsia" w:ascii="Times New Roman" w:hAnsi="Times New Roman" w:cs="Times New Roman"/>
                      <w:color w:val="auto"/>
                      <w:highlight w:val="none"/>
                      <w:lang w:val="en-US" w:eastAsia="zh-CN"/>
                    </w:rPr>
                    <w:t>0.0013</w:t>
                  </w:r>
                  <w:r>
                    <w:rPr>
                      <w:rFonts w:hint="eastAsia" w:cs="Times New Roman"/>
                      <w:color w:val="auto"/>
                      <w:highlight w:val="none"/>
                      <w:lang w:val="en-US" w:eastAsia="zh-CN"/>
                    </w:rPr>
                    <w:t>1</w:t>
                  </w:r>
                </w:p>
              </w:tc>
              <w:tc>
                <w:tcPr>
                  <w:tcW w:w="682" w:type="pct"/>
                  <w:noWrap w:val="0"/>
                  <w:vAlign w:val="center"/>
                </w:tcPr>
                <w:p w14:paraId="15F5CE81">
                  <w:pPr>
                    <w:pStyle w:val="28"/>
                    <w:widowControl w:val="0"/>
                    <w:bidi w:val="0"/>
                    <w:rPr>
                      <w:rFonts w:hint="default"/>
                      <w:color w:val="auto"/>
                      <w:highlight w:val="none"/>
                      <w:lang w:val="en-US" w:eastAsia="zh-CN"/>
                    </w:rPr>
                  </w:pPr>
                  <w:r>
                    <w:rPr>
                      <w:rFonts w:hint="eastAsia" w:ascii="Times New Roman" w:hAnsi="Times New Roman" w:cs="Times New Roman"/>
                      <w:color w:val="auto"/>
                      <w:highlight w:val="none"/>
                      <w:lang w:val="en-US" w:eastAsia="zh-CN"/>
                    </w:rPr>
                    <w:t>0.000</w:t>
                  </w:r>
                  <w:r>
                    <w:rPr>
                      <w:rFonts w:hint="eastAsia" w:cs="Times New Roman"/>
                      <w:color w:val="auto"/>
                      <w:highlight w:val="none"/>
                      <w:lang w:val="en-US" w:eastAsia="zh-CN"/>
                    </w:rPr>
                    <w:t>88</w:t>
                  </w:r>
                </w:p>
              </w:tc>
              <w:tc>
                <w:tcPr>
                  <w:tcW w:w="657" w:type="pct"/>
                  <w:noWrap w:val="0"/>
                  <w:vAlign w:val="center"/>
                </w:tcPr>
                <w:p w14:paraId="5AF421B4">
                  <w:pPr>
                    <w:pStyle w:val="28"/>
                    <w:widowControl w:val="0"/>
                    <w:bidi w:val="0"/>
                    <w:rPr>
                      <w:rFonts w:hint="default"/>
                      <w:color w:val="auto"/>
                      <w:highlight w:val="none"/>
                      <w:lang w:val="en-US" w:eastAsia="zh-CN"/>
                    </w:rPr>
                  </w:pPr>
                  <w:r>
                    <w:rPr>
                      <w:rFonts w:hint="eastAsia" w:ascii="Times New Roman" w:hAnsi="Times New Roman" w:cs="Times New Roman"/>
                      <w:color w:val="auto"/>
                      <w:highlight w:val="none"/>
                      <w:lang w:val="en-US" w:eastAsia="zh-CN"/>
                    </w:rPr>
                    <w:t>0.000</w:t>
                  </w:r>
                  <w:r>
                    <w:rPr>
                      <w:rFonts w:hint="eastAsia" w:cs="Times New Roman"/>
                      <w:color w:val="auto"/>
                      <w:highlight w:val="none"/>
                      <w:lang w:val="en-US" w:eastAsia="zh-CN"/>
                    </w:rPr>
                    <w:t>15</w:t>
                  </w:r>
                </w:p>
              </w:tc>
              <w:tc>
                <w:tcPr>
                  <w:tcW w:w="637" w:type="pct"/>
                  <w:noWrap w:val="0"/>
                  <w:vAlign w:val="center"/>
                </w:tcPr>
                <w:p w14:paraId="3AA7F9A8">
                  <w:pPr>
                    <w:pStyle w:val="28"/>
                    <w:widowControl w:val="0"/>
                    <w:bidi w:val="0"/>
                    <w:rPr>
                      <w:rFonts w:hint="default"/>
                      <w:color w:val="auto"/>
                      <w:highlight w:val="none"/>
                      <w:lang w:val="en-US" w:eastAsia="zh-CN"/>
                    </w:rPr>
                  </w:pPr>
                  <w:r>
                    <w:rPr>
                      <w:rFonts w:hint="eastAsia" w:cs="Times New Roman"/>
                      <w:color w:val="auto"/>
                      <w:highlight w:val="none"/>
                      <w:lang w:val="en-US" w:eastAsia="zh-CN"/>
                    </w:rPr>
                    <w:t>/</w:t>
                  </w:r>
                </w:p>
              </w:tc>
            </w:tr>
            <w:bookmarkEnd w:id="23"/>
            <w:bookmarkEnd w:id="24"/>
            <w:tr w14:paraId="21C8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6" w:type="pct"/>
                  <w:vMerge w:val="restart"/>
                  <w:noWrap w:val="0"/>
                  <w:vAlign w:val="center"/>
                </w:tcPr>
                <w:p w14:paraId="78D78145">
                  <w:pPr>
                    <w:pStyle w:val="28"/>
                    <w:widowControl w:val="0"/>
                    <w:bidi w:val="0"/>
                    <w:rPr>
                      <w:rFonts w:hint="default"/>
                      <w:color w:val="auto"/>
                      <w:highlight w:val="none"/>
                      <w:lang w:val="en-US" w:eastAsia="zh-CN"/>
                    </w:rPr>
                  </w:pPr>
                  <w:r>
                    <w:rPr>
                      <w:rFonts w:hint="eastAsia" w:cs="Times New Roman"/>
                      <w:color w:val="auto"/>
                      <w:highlight w:val="none"/>
                      <w:lang w:val="en-US" w:eastAsia="zh-CN"/>
                    </w:rPr>
                    <w:t>综合排放</w:t>
                  </w:r>
                </w:p>
              </w:tc>
              <w:tc>
                <w:tcPr>
                  <w:tcW w:w="897" w:type="pct"/>
                  <w:gridSpan w:val="2"/>
                  <w:noWrap w:val="0"/>
                  <w:vAlign w:val="center"/>
                </w:tcPr>
                <w:p w14:paraId="1EBC7AAB">
                  <w:pPr>
                    <w:pStyle w:val="28"/>
                    <w:widowControl w:val="0"/>
                    <w:bidi w:val="0"/>
                    <w:rPr>
                      <w:rFonts w:hint="default"/>
                      <w:color w:val="auto"/>
                      <w:highlight w:val="none"/>
                      <w:lang w:val="en-US" w:eastAsia="zh-CN"/>
                    </w:rPr>
                  </w:pPr>
                  <w:bookmarkStart w:id="26" w:name="OLE_LINK21"/>
                  <w:r>
                    <w:rPr>
                      <w:rFonts w:hint="default"/>
                      <w:color w:val="auto"/>
                      <w:highlight w:val="none"/>
                      <w:lang w:val="en-US" w:eastAsia="zh-CN"/>
                    </w:rPr>
                    <w:t>处理效率%</w:t>
                  </w:r>
                  <w:bookmarkEnd w:id="26"/>
                </w:p>
              </w:tc>
              <w:tc>
                <w:tcPr>
                  <w:tcW w:w="517" w:type="pct"/>
                  <w:vMerge w:val="restart"/>
                  <w:noWrap w:val="0"/>
                  <w:vAlign w:val="center"/>
                </w:tcPr>
                <w:p w14:paraId="4C1680E4">
                  <w:pPr>
                    <w:pStyle w:val="28"/>
                    <w:widowControl w:val="0"/>
                    <w:bidi w:val="0"/>
                    <w:rPr>
                      <w:rFonts w:hint="default"/>
                      <w:color w:val="auto"/>
                      <w:highlight w:val="none"/>
                      <w:lang w:val="en-US" w:eastAsia="zh-CN"/>
                    </w:rPr>
                  </w:pPr>
                  <w:r>
                    <w:rPr>
                      <w:rFonts w:hint="eastAsia"/>
                      <w:color w:val="auto"/>
                      <w:highlight w:val="none"/>
                      <w:lang w:val="en-US" w:eastAsia="zh-CN"/>
                    </w:rPr>
                    <w:t>39.13</w:t>
                  </w:r>
                </w:p>
              </w:tc>
              <w:tc>
                <w:tcPr>
                  <w:tcW w:w="651" w:type="pct"/>
                  <w:noWrap w:val="0"/>
                  <w:vAlign w:val="center"/>
                </w:tcPr>
                <w:p w14:paraId="11B38E44">
                  <w:pPr>
                    <w:pStyle w:val="28"/>
                    <w:widowControl w:val="0"/>
                    <w:bidi w:val="0"/>
                    <w:rPr>
                      <w:rFonts w:hint="default"/>
                      <w:color w:val="auto"/>
                      <w:highlight w:val="none"/>
                      <w:lang w:val="en-US" w:eastAsia="zh-CN"/>
                    </w:rPr>
                  </w:pPr>
                  <w:r>
                    <w:rPr>
                      <w:rFonts w:hint="eastAsia"/>
                      <w:color w:val="auto"/>
                      <w:highlight w:val="none"/>
                      <w:lang w:val="en-US" w:eastAsia="zh-CN"/>
                    </w:rPr>
                    <w:t>0</w:t>
                  </w:r>
                </w:p>
              </w:tc>
              <w:tc>
                <w:tcPr>
                  <w:tcW w:w="719" w:type="pct"/>
                  <w:noWrap w:val="0"/>
                  <w:vAlign w:val="center"/>
                </w:tcPr>
                <w:p w14:paraId="1BD12663">
                  <w:pPr>
                    <w:pStyle w:val="28"/>
                    <w:widowControl w:val="0"/>
                    <w:bidi w:val="0"/>
                    <w:rPr>
                      <w:rFonts w:hint="default"/>
                      <w:color w:val="auto"/>
                      <w:highlight w:val="none"/>
                      <w:lang w:val="en-US" w:eastAsia="zh-CN"/>
                    </w:rPr>
                  </w:pPr>
                  <w:r>
                    <w:rPr>
                      <w:rFonts w:hint="eastAsia"/>
                      <w:color w:val="auto"/>
                      <w:highlight w:val="none"/>
                      <w:lang w:val="en-US" w:eastAsia="zh-CN"/>
                    </w:rPr>
                    <w:t>0</w:t>
                  </w:r>
                </w:p>
              </w:tc>
              <w:tc>
                <w:tcPr>
                  <w:tcW w:w="682" w:type="pct"/>
                  <w:noWrap w:val="0"/>
                  <w:vAlign w:val="center"/>
                </w:tcPr>
                <w:p w14:paraId="4AE24BA9">
                  <w:pPr>
                    <w:pStyle w:val="28"/>
                    <w:widowControl w:val="0"/>
                    <w:bidi w:val="0"/>
                    <w:rPr>
                      <w:rFonts w:hint="default"/>
                      <w:color w:val="auto"/>
                      <w:highlight w:val="none"/>
                      <w:lang w:val="en-US" w:eastAsia="zh-CN"/>
                    </w:rPr>
                  </w:pPr>
                  <w:r>
                    <w:rPr>
                      <w:rFonts w:hint="eastAsia"/>
                      <w:color w:val="auto"/>
                      <w:highlight w:val="none"/>
                      <w:lang w:val="en-US" w:eastAsia="zh-CN"/>
                    </w:rPr>
                    <w:t>25</w:t>
                  </w:r>
                </w:p>
              </w:tc>
              <w:tc>
                <w:tcPr>
                  <w:tcW w:w="657" w:type="pct"/>
                  <w:noWrap w:val="0"/>
                  <w:vAlign w:val="center"/>
                </w:tcPr>
                <w:p w14:paraId="3A635281">
                  <w:pPr>
                    <w:pStyle w:val="28"/>
                    <w:widowControl w:val="0"/>
                    <w:bidi w:val="0"/>
                    <w:rPr>
                      <w:rFonts w:hint="default"/>
                      <w:color w:val="auto"/>
                      <w:highlight w:val="none"/>
                      <w:lang w:val="en-US" w:eastAsia="zh-CN"/>
                    </w:rPr>
                  </w:pPr>
                  <w:r>
                    <w:rPr>
                      <w:rFonts w:hint="eastAsia"/>
                      <w:color w:val="auto"/>
                      <w:highlight w:val="none"/>
                      <w:lang w:val="en-US" w:eastAsia="zh-CN"/>
                    </w:rPr>
                    <w:t>0</w:t>
                  </w:r>
                </w:p>
              </w:tc>
              <w:tc>
                <w:tcPr>
                  <w:tcW w:w="637" w:type="pct"/>
                  <w:noWrap w:val="0"/>
                  <w:vAlign w:val="center"/>
                </w:tcPr>
                <w:p w14:paraId="3056FBF9">
                  <w:pPr>
                    <w:pStyle w:val="28"/>
                    <w:widowControl w:val="0"/>
                    <w:bidi w:val="0"/>
                    <w:rPr>
                      <w:rFonts w:hint="default"/>
                      <w:color w:val="auto"/>
                      <w:highlight w:val="none"/>
                      <w:lang w:val="en-US" w:eastAsia="zh-CN"/>
                    </w:rPr>
                  </w:pPr>
                  <w:r>
                    <w:rPr>
                      <w:rFonts w:hint="default"/>
                      <w:color w:val="auto"/>
                      <w:highlight w:val="none"/>
                      <w:lang w:val="en-US" w:eastAsia="zh-CN"/>
                    </w:rPr>
                    <w:t>&gt;</w:t>
                  </w:r>
                  <w:r>
                    <w:rPr>
                      <w:rFonts w:hint="eastAsia"/>
                      <w:color w:val="auto"/>
                      <w:highlight w:val="none"/>
                      <w:lang w:val="en-US" w:eastAsia="zh-CN"/>
                    </w:rPr>
                    <w:t>99.99</w:t>
                  </w:r>
                </w:p>
              </w:tc>
            </w:tr>
            <w:bookmarkEnd w:id="25"/>
            <w:tr w14:paraId="06A5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continue"/>
                  <w:noWrap w:val="0"/>
                  <w:vAlign w:val="center"/>
                </w:tcPr>
                <w:p w14:paraId="0BC6DC79">
                  <w:pPr>
                    <w:pStyle w:val="28"/>
                    <w:widowControl w:val="0"/>
                    <w:bidi w:val="0"/>
                    <w:rPr>
                      <w:rFonts w:hint="default"/>
                      <w:color w:val="auto"/>
                      <w:highlight w:val="none"/>
                      <w:lang w:val="en-US" w:eastAsia="zh-CN"/>
                    </w:rPr>
                  </w:pPr>
                  <w:bookmarkStart w:id="27" w:name="OLE_LINK23" w:colFirst="2" w:colLast="2"/>
                </w:p>
              </w:tc>
              <w:tc>
                <w:tcPr>
                  <w:tcW w:w="299" w:type="pct"/>
                  <w:vMerge w:val="restart"/>
                  <w:noWrap w:val="0"/>
                  <w:vAlign w:val="center"/>
                </w:tcPr>
                <w:p w14:paraId="226E0674">
                  <w:pPr>
                    <w:pStyle w:val="28"/>
                    <w:widowControl w:val="0"/>
                    <w:bidi w:val="0"/>
                    <w:rPr>
                      <w:rFonts w:hint="default"/>
                      <w:color w:val="auto"/>
                      <w:highlight w:val="none"/>
                      <w:lang w:val="en-US" w:eastAsia="zh-CN"/>
                    </w:rPr>
                  </w:pPr>
                  <w:r>
                    <w:rPr>
                      <w:rFonts w:hint="default"/>
                      <w:color w:val="auto"/>
                      <w:highlight w:val="none"/>
                      <w:lang w:val="en-US" w:eastAsia="zh-CN"/>
                    </w:rPr>
                    <w:t>处理后</w:t>
                  </w:r>
                </w:p>
              </w:tc>
              <w:tc>
                <w:tcPr>
                  <w:tcW w:w="598" w:type="pct"/>
                  <w:noWrap w:val="0"/>
                  <w:vAlign w:val="center"/>
                </w:tcPr>
                <w:p w14:paraId="34431C4F">
                  <w:pPr>
                    <w:pStyle w:val="28"/>
                    <w:widowControl w:val="0"/>
                    <w:bidi w:val="0"/>
                    <w:rPr>
                      <w:rFonts w:hint="default"/>
                      <w:color w:val="auto"/>
                      <w:highlight w:val="none"/>
                      <w:lang w:val="en-US" w:eastAsia="zh-CN"/>
                    </w:rPr>
                  </w:pPr>
                  <w:r>
                    <w:rPr>
                      <w:rFonts w:hint="default"/>
                      <w:color w:val="auto"/>
                      <w:highlight w:val="none"/>
                      <w:lang w:val="en-US" w:eastAsia="zh-CN"/>
                    </w:rPr>
                    <w:t>浓度</w:t>
                  </w:r>
                  <w:r>
                    <w:rPr>
                      <w:rFonts w:hint="eastAsia"/>
                      <w:color w:val="auto"/>
                      <w:highlight w:val="none"/>
                      <w:lang w:val="en-US" w:eastAsia="zh-CN"/>
                    </w:rPr>
                    <w:t>mg/L</w:t>
                  </w:r>
                </w:p>
              </w:tc>
              <w:tc>
                <w:tcPr>
                  <w:tcW w:w="517" w:type="pct"/>
                  <w:vMerge w:val="continue"/>
                  <w:noWrap w:val="0"/>
                  <w:vAlign w:val="center"/>
                </w:tcPr>
                <w:p w14:paraId="54028BD0">
                  <w:pPr>
                    <w:pStyle w:val="28"/>
                    <w:widowControl w:val="0"/>
                    <w:bidi w:val="0"/>
                    <w:rPr>
                      <w:rFonts w:hint="default"/>
                      <w:color w:val="auto"/>
                      <w:highlight w:val="none"/>
                      <w:lang w:val="en-US" w:eastAsia="zh-CN"/>
                    </w:rPr>
                  </w:pPr>
                </w:p>
              </w:tc>
              <w:tc>
                <w:tcPr>
                  <w:tcW w:w="651" w:type="pct"/>
                  <w:noWrap w:val="0"/>
                  <w:vAlign w:val="center"/>
                </w:tcPr>
                <w:p w14:paraId="3F526676">
                  <w:pPr>
                    <w:pStyle w:val="28"/>
                    <w:widowControl w:val="0"/>
                    <w:bidi w:val="0"/>
                    <w:rPr>
                      <w:rFonts w:hint="default"/>
                      <w:color w:val="auto"/>
                      <w:highlight w:val="none"/>
                      <w:lang w:val="en-US" w:eastAsia="zh-CN"/>
                    </w:rPr>
                  </w:pPr>
                  <w:r>
                    <w:rPr>
                      <w:rFonts w:hint="eastAsia"/>
                      <w:color w:val="auto"/>
                      <w:highlight w:val="none"/>
                      <w:lang w:val="en-US" w:eastAsia="zh-CN"/>
                    </w:rPr>
                    <w:t>227.4</w:t>
                  </w:r>
                </w:p>
              </w:tc>
              <w:tc>
                <w:tcPr>
                  <w:tcW w:w="719" w:type="pct"/>
                  <w:noWrap w:val="0"/>
                  <w:vAlign w:val="center"/>
                </w:tcPr>
                <w:p w14:paraId="2B0C2EBE">
                  <w:pPr>
                    <w:pStyle w:val="28"/>
                    <w:widowControl w:val="0"/>
                    <w:bidi w:val="0"/>
                    <w:rPr>
                      <w:rFonts w:hint="default"/>
                      <w:color w:val="auto"/>
                      <w:highlight w:val="none"/>
                      <w:lang w:val="en-US" w:eastAsia="zh-CN"/>
                    </w:rPr>
                  </w:pPr>
                  <w:r>
                    <w:rPr>
                      <w:rFonts w:hint="eastAsia"/>
                      <w:color w:val="auto"/>
                      <w:highlight w:val="none"/>
                      <w:lang w:val="en-US" w:eastAsia="zh-CN"/>
                    </w:rPr>
                    <w:t>96.1</w:t>
                  </w:r>
                </w:p>
              </w:tc>
              <w:tc>
                <w:tcPr>
                  <w:tcW w:w="682" w:type="pct"/>
                  <w:noWrap w:val="0"/>
                  <w:vAlign w:val="center"/>
                </w:tcPr>
                <w:p w14:paraId="110E8015">
                  <w:pPr>
                    <w:pStyle w:val="28"/>
                    <w:widowControl w:val="0"/>
                    <w:bidi w:val="0"/>
                    <w:rPr>
                      <w:rFonts w:hint="default"/>
                      <w:color w:val="auto"/>
                      <w:highlight w:val="none"/>
                      <w:lang w:val="en-US" w:eastAsia="zh-CN"/>
                    </w:rPr>
                  </w:pPr>
                  <w:r>
                    <w:rPr>
                      <w:rFonts w:hint="eastAsia"/>
                      <w:color w:val="auto"/>
                      <w:highlight w:val="none"/>
                      <w:lang w:val="en-US" w:eastAsia="zh-CN"/>
                    </w:rPr>
                    <w:t>72.6</w:t>
                  </w:r>
                </w:p>
              </w:tc>
              <w:tc>
                <w:tcPr>
                  <w:tcW w:w="657" w:type="pct"/>
                  <w:noWrap w:val="0"/>
                  <w:vAlign w:val="center"/>
                </w:tcPr>
                <w:p w14:paraId="78AC7176">
                  <w:pPr>
                    <w:pStyle w:val="28"/>
                    <w:widowControl w:val="0"/>
                    <w:bidi w:val="0"/>
                    <w:rPr>
                      <w:rFonts w:hint="default"/>
                      <w:color w:val="auto"/>
                      <w:highlight w:val="none"/>
                      <w:lang w:val="en-US" w:eastAsia="zh-CN"/>
                    </w:rPr>
                  </w:pPr>
                  <w:r>
                    <w:rPr>
                      <w:rFonts w:hint="eastAsia"/>
                      <w:color w:val="auto"/>
                      <w:highlight w:val="none"/>
                      <w:lang w:val="en-US" w:eastAsia="zh-CN"/>
                    </w:rPr>
                    <w:t>22.7</w:t>
                  </w:r>
                </w:p>
              </w:tc>
              <w:tc>
                <w:tcPr>
                  <w:tcW w:w="637" w:type="pct"/>
                  <w:noWrap w:val="0"/>
                  <w:vAlign w:val="center"/>
                </w:tcPr>
                <w:p w14:paraId="012B3402">
                  <w:pPr>
                    <w:pStyle w:val="28"/>
                    <w:widowControl w:val="0"/>
                    <w:bidi w:val="0"/>
                    <w:rPr>
                      <w:rFonts w:hint="default"/>
                      <w:color w:val="auto"/>
                      <w:highlight w:val="none"/>
                      <w:lang w:val="en-US" w:eastAsia="zh-CN"/>
                    </w:rPr>
                  </w:pPr>
                  <w:r>
                    <w:rPr>
                      <w:rFonts w:hint="default"/>
                      <w:color w:val="auto"/>
                      <w:highlight w:val="none"/>
                      <w:lang w:val="en-US" w:eastAsia="zh-CN"/>
                    </w:rPr>
                    <w:t>&lt;</w:t>
                  </w:r>
                  <w:r>
                    <w:rPr>
                      <w:rFonts w:hint="eastAsia"/>
                      <w:color w:val="auto"/>
                      <w:highlight w:val="none"/>
                      <w:lang w:val="en-US" w:eastAsia="zh-CN"/>
                    </w:rPr>
                    <w:t>5000</w:t>
                  </w:r>
                </w:p>
              </w:tc>
            </w:tr>
            <w:tr w14:paraId="057A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36" w:type="pct"/>
                  <w:vMerge w:val="continue"/>
                  <w:noWrap w:val="0"/>
                  <w:vAlign w:val="center"/>
                </w:tcPr>
                <w:p w14:paraId="77185809">
                  <w:pPr>
                    <w:pStyle w:val="28"/>
                    <w:widowControl w:val="0"/>
                    <w:bidi w:val="0"/>
                    <w:rPr>
                      <w:rFonts w:hint="default"/>
                      <w:color w:val="auto"/>
                      <w:highlight w:val="none"/>
                      <w:lang w:val="en-US" w:eastAsia="zh-CN"/>
                    </w:rPr>
                  </w:pPr>
                </w:p>
              </w:tc>
              <w:tc>
                <w:tcPr>
                  <w:tcW w:w="299" w:type="pct"/>
                  <w:vMerge w:val="continue"/>
                  <w:noWrap w:val="0"/>
                  <w:vAlign w:val="center"/>
                </w:tcPr>
                <w:p w14:paraId="6FA5455F">
                  <w:pPr>
                    <w:pStyle w:val="28"/>
                    <w:widowControl w:val="0"/>
                    <w:bidi w:val="0"/>
                    <w:rPr>
                      <w:rFonts w:hint="default"/>
                      <w:color w:val="auto"/>
                      <w:highlight w:val="none"/>
                      <w:lang w:val="en-US" w:eastAsia="zh-CN"/>
                    </w:rPr>
                  </w:pPr>
                </w:p>
              </w:tc>
              <w:tc>
                <w:tcPr>
                  <w:tcW w:w="598" w:type="pct"/>
                  <w:noWrap w:val="0"/>
                  <w:vAlign w:val="center"/>
                </w:tcPr>
                <w:p w14:paraId="0C41DD90">
                  <w:pPr>
                    <w:pStyle w:val="28"/>
                    <w:widowControl w:val="0"/>
                    <w:bidi w:val="0"/>
                    <w:rPr>
                      <w:rFonts w:hint="default"/>
                      <w:color w:val="auto"/>
                      <w:highlight w:val="none"/>
                      <w:lang w:val="en-US" w:eastAsia="zh-CN"/>
                    </w:rPr>
                  </w:pPr>
                  <w:r>
                    <w:rPr>
                      <w:rFonts w:hint="default"/>
                      <w:color w:val="auto"/>
                      <w:highlight w:val="none"/>
                      <w:lang w:val="en-US" w:eastAsia="zh-CN"/>
                    </w:rPr>
                    <w:t>排放量</w:t>
                  </w:r>
                  <w:r>
                    <w:rPr>
                      <w:rFonts w:hint="eastAsia"/>
                      <w:color w:val="auto"/>
                      <w:highlight w:val="none"/>
                      <w:lang w:val="en-US" w:eastAsia="zh-CN"/>
                    </w:rPr>
                    <w:t>t/a</w:t>
                  </w:r>
                </w:p>
              </w:tc>
              <w:tc>
                <w:tcPr>
                  <w:tcW w:w="517" w:type="pct"/>
                  <w:vMerge w:val="continue"/>
                  <w:noWrap w:val="0"/>
                  <w:vAlign w:val="center"/>
                </w:tcPr>
                <w:p w14:paraId="15D6ED03">
                  <w:pPr>
                    <w:pStyle w:val="28"/>
                    <w:widowControl w:val="0"/>
                    <w:bidi w:val="0"/>
                    <w:rPr>
                      <w:rFonts w:hint="default"/>
                      <w:color w:val="auto"/>
                      <w:highlight w:val="none"/>
                      <w:lang w:val="en-US" w:eastAsia="zh-CN"/>
                    </w:rPr>
                  </w:pPr>
                </w:p>
              </w:tc>
              <w:tc>
                <w:tcPr>
                  <w:tcW w:w="651" w:type="pct"/>
                  <w:noWrap w:val="0"/>
                  <w:vAlign w:val="center"/>
                </w:tcPr>
                <w:p w14:paraId="617D81F4">
                  <w:pPr>
                    <w:pStyle w:val="28"/>
                    <w:widowControl w:val="0"/>
                    <w:bidi w:val="0"/>
                    <w:rPr>
                      <w:rFonts w:hint="default"/>
                      <w:color w:val="auto"/>
                      <w:highlight w:val="none"/>
                      <w:lang w:val="en-US" w:eastAsia="zh-CN"/>
                    </w:rPr>
                  </w:pPr>
                  <w:r>
                    <w:rPr>
                      <w:rFonts w:hint="eastAsia"/>
                      <w:color w:val="auto"/>
                      <w:highlight w:val="none"/>
                      <w:lang w:val="en-US" w:eastAsia="zh-CN"/>
                    </w:rPr>
                    <w:t>0.00890</w:t>
                  </w:r>
                </w:p>
              </w:tc>
              <w:tc>
                <w:tcPr>
                  <w:tcW w:w="719" w:type="pct"/>
                  <w:noWrap w:val="0"/>
                  <w:vAlign w:val="center"/>
                </w:tcPr>
                <w:p w14:paraId="278D516F">
                  <w:pPr>
                    <w:pStyle w:val="28"/>
                    <w:widowControl w:val="0"/>
                    <w:bidi w:val="0"/>
                    <w:rPr>
                      <w:rFonts w:hint="default"/>
                      <w:color w:val="auto"/>
                      <w:highlight w:val="none"/>
                      <w:lang w:val="en-US" w:eastAsia="zh-CN"/>
                    </w:rPr>
                  </w:pPr>
                  <w:r>
                    <w:rPr>
                      <w:rFonts w:hint="eastAsia"/>
                      <w:color w:val="auto"/>
                      <w:highlight w:val="none"/>
                      <w:lang w:val="en-US" w:eastAsia="zh-CN"/>
                    </w:rPr>
                    <w:t>0.00376</w:t>
                  </w:r>
                </w:p>
              </w:tc>
              <w:tc>
                <w:tcPr>
                  <w:tcW w:w="682" w:type="pct"/>
                  <w:noWrap w:val="0"/>
                  <w:vAlign w:val="center"/>
                </w:tcPr>
                <w:p w14:paraId="5EE0A8E3">
                  <w:pPr>
                    <w:pStyle w:val="28"/>
                    <w:widowControl w:val="0"/>
                    <w:bidi w:val="0"/>
                    <w:rPr>
                      <w:rFonts w:hint="default"/>
                      <w:color w:val="auto"/>
                      <w:highlight w:val="none"/>
                      <w:lang w:val="en-US" w:eastAsia="zh-CN"/>
                    </w:rPr>
                  </w:pPr>
                  <w:r>
                    <w:rPr>
                      <w:rFonts w:hint="eastAsia"/>
                      <w:color w:val="auto"/>
                      <w:highlight w:val="none"/>
                      <w:lang w:val="en-US" w:eastAsia="zh-CN"/>
                    </w:rPr>
                    <w:t>0.00284</w:t>
                  </w:r>
                </w:p>
              </w:tc>
              <w:tc>
                <w:tcPr>
                  <w:tcW w:w="657" w:type="pct"/>
                  <w:noWrap w:val="0"/>
                  <w:vAlign w:val="center"/>
                </w:tcPr>
                <w:p w14:paraId="522F133E">
                  <w:pPr>
                    <w:pStyle w:val="28"/>
                    <w:widowControl w:val="0"/>
                    <w:bidi w:val="0"/>
                    <w:rPr>
                      <w:rFonts w:hint="default"/>
                      <w:color w:val="auto"/>
                      <w:highlight w:val="none"/>
                      <w:lang w:val="en-US" w:eastAsia="zh-CN"/>
                    </w:rPr>
                  </w:pPr>
                  <w:r>
                    <w:rPr>
                      <w:rFonts w:hint="eastAsia"/>
                      <w:color w:val="auto"/>
                      <w:highlight w:val="none"/>
                      <w:lang w:val="en-US" w:eastAsia="zh-CN"/>
                    </w:rPr>
                    <w:t>0.00089</w:t>
                  </w:r>
                </w:p>
              </w:tc>
              <w:tc>
                <w:tcPr>
                  <w:tcW w:w="637" w:type="pct"/>
                  <w:noWrap w:val="0"/>
                  <w:vAlign w:val="center"/>
                </w:tcPr>
                <w:p w14:paraId="10FEA89A">
                  <w:pPr>
                    <w:pStyle w:val="28"/>
                    <w:widowControl w:val="0"/>
                    <w:bidi w:val="0"/>
                    <w:rPr>
                      <w:rFonts w:hint="default"/>
                      <w:color w:val="auto"/>
                      <w:highlight w:val="none"/>
                      <w:lang w:val="en-US" w:eastAsia="zh-CN"/>
                    </w:rPr>
                  </w:pPr>
                  <w:r>
                    <w:rPr>
                      <w:rFonts w:hint="default"/>
                      <w:color w:val="auto"/>
                      <w:highlight w:val="none"/>
                      <w:lang w:val="en-US" w:eastAsia="zh-CN"/>
                    </w:rPr>
                    <w:t>/</w:t>
                  </w:r>
                </w:p>
              </w:tc>
            </w:tr>
            <w:bookmarkEnd w:id="27"/>
            <w:tr w14:paraId="4C81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1" w:type="pct"/>
                  <w:gridSpan w:val="4"/>
                  <w:noWrap w:val="0"/>
                  <w:vAlign w:val="center"/>
                </w:tcPr>
                <w:p w14:paraId="57CDBE3F">
                  <w:pPr>
                    <w:pStyle w:val="28"/>
                    <w:widowControl w:val="0"/>
                    <w:bidi w:val="0"/>
                    <w:rPr>
                      <w:rFonts w:hint="default"/>
                      <w:color w:val="auto"/>
                      <w:highlight w:val="none"/>
                      <w:lang w:val="en-US" w:eastAsia="zh-CN"/>
                    </w:rPr>
                  </w:pPr>
                  <w:bookmarkStart w:id="28" w:name="OLE_LINK24"/>
                  <w:bookmarkStart w:id="29" w:name="OLE_LINK25" w:colFirst="1" w:colLast="5"/>
                  <w:r>
                    <w:rPr>
                      <w:rFonts w:hint="default"/>
                      <w:color w:val="auto"/>
                      <w:highlight w:val="none"/>
                      <w:lang w:val="en-US" w:eastAsia="zh-CN"/>
                    </w:rPr>
                    <w:t>《医疗机构水污染物排放标准》（GB18466-2005，含2026年修改单）</w:t>
                  </w:r>
                </w:p>
                <w:p w14:paraId="2CFF578F">
                  <w:pPr>
                    <w:pStyle w:val="28"/>
                    <w:widowControl w:val="0"/>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mg/L</w:t>
                  </w:r>
                  <w:r>
                    <w:rPr>
                      <w:rFonts w:hint="default"/>
                      <w:color w:val="auto"/>
                      <w:highlight w:val="none"/>
                      <w:lang w:val="en-US" w:eastAsia="zh-CN"/>
                    </w:rPr>
                    <w:t>）</w:t>
                  </w:r>
                  <w:bookmarkEnd w:id="28"/>
                </w:p>
              </w:tc>
              <w:tc>
                <w:tcPr>
                  <w:tcW w:w="651" w:type="pct"/>
                  <w:noWrap w:val="0"/>
                  <w:vAlign w:val="center"/>
                </w:tcPr>
                <w:p w14:paraId="0400B1DB">
                  <w:pPr>
                    <w:pStyle w:val="28"/>
                    <w:widowControl w:val="0"/>
                    <w:bidi w:val="0"/>
                    <w:rPr>
                      <w:rFonts w:hint="default"/>
                      <w:color w:val="auto"/>
                      <w:highlight w:val="none"/>
                      <w:lang w:val="en-US" w:eastAsia="zh-CN"/>
                    </w:rPr>
                  </w:pPr>
                  <w:r>
                    <w:rPr>
                      <w:rFonts w:hint="eastAsia"/>
                      <w:color w:val="auto"/>
                      <w:highlight w:val="none"/>
                      <w:lang w:val="en-US" w:eastAsia="zh-CN"/>
                    </w:rPr>
                    <w:t>250</w:t>
                  </w:r>
                </w:p>
              </w:tc>
              <w:tc>
                <w:tcPr>
                  <w:tcW w:w="719" w:type="pct"/>
                  <w:noWrap w:val="0"/>
                  <w:vAlign w:val="center"/>
                </w:tcPr>
                <w:p w14:paraId="25E4F247">
                  <w:pPr>
                    <w:pStyle w:val="28"/>
                    <w:widowControl w:val="0"/>
                    <w:bidi w:val="0"/>
                    <w:rPr>
                      <w:rFonts w:hint="default"/>
                      <w:color w:val="auto"/>
                      <w:highlight w:val="none"/>
                      <w:lang w:val="en-US" w:eastAsia="zh-CN"/>
                    </w:rPr>
                  </w:pPr>
                  <w:r>
                    <w:rPr>
                      <w:rFonts w:hint="eastAsia"/>
                      <w:color w:val="auto"/>
                      <w:highlight w:val="none"/>
                      <w:lang w:val="en-US" w:eastAsia="zh-CN"/>
                    </w:rPr>
                    <w:t>100</w:t>
                  </w:r>
                </w:p>
              </w:tc>
              <w:tc>
                <w:tcPr>
                  <w:tcW w:w="682" w:type="pct"/>
                  <w:noWrap w:val="0"/>
                  <w:vAlign w:val="center"/>
                </w:tcPr>
                <w:p w14:paraId="575A19D3">
                  <w:pPr>
                    <w:pStyle w:val="28"/>
                    <w:widowControl w:val="0"/>
                    <w:bidi w:val="0"/>
                    <w:rPr>
                      <w:rFonts w:hint="default"/>
                      <w:color w:val="auto"/>
                      <w:highlight w:val="none"/>
                      <w:lang w:val="en-US" w:eastAsia="zh-CN"/>
                    </w:rPr>
                  </w:pPr>
                  <w:r>
                    <w:rPr>
                      <w:rFonts w:hint="eastAsia"/>
                      <w:color w:val="auto"/>
                      <w:highlight w:val="none"/>
                      <w:lang w:val="en-US" w:eastAsia="zh-CN"/>
                    </w:rPr>
                    <w:t>60</w:t>
                  </w:r>
                </w:p>
              </w:tc>
              <w:tc>
                <w:tcPr>
                  <w:tcW w:w="657" w:type="pct"/>
                  <w:noWrap w:val="0"/>
                  <w:vAlign w:val="center"/>
                </w:tcPr>
                <w:p w14:paraId="14BC96E8">
                  <w:pPr>
                    <w:pStyle w:val="28"/>
                    <w:widowControl w:val="0"/>
                    <w:bidi w:val="0"/>
                    <w:rPr>
                      <w:rFonts w:hint="default"/>
                      <w:color w:val="auto"/>
                      <w:highlight w:val="none"/>
                      <w:lang w:val="en-US" w:eastAsia="zh-CN"/>
                    </w:rPr>
                  </w:pPr>
                  <w:r>
                    <w:rPr>
                      <w:rFonts w:hint="eastAsia"/>
                      <w:color w:val="auto"/>
                      <w:highlight w:val="none"/>
                      <w:lang w:val="en-US" w:eastAsia="zh-CN"/>
                    </w:rPr>
                    <w:t>45</w:t>
                  </w:r>
                </w:p>
              </w:tc>
              <w:tc>
                <w:tcPr>
                  <w:tcW w:w="637" w:type="pct"/>
                  <w:noWrap w:val="0"/>
                  <w:vAlign w:val="center"/>
                </w:tcPr>
                <w:p w14:paraId="498CC4C6">
                  <w:pPr>
                    <w:pStyle w:val="28"/>
                    <w:widowControl w:val="0"/>
                    <w:bidi w:val="0"/>
                    <w:rPr>
                      <w:rFonts w:hint="default"/>
                      <w:color w:val="auto"/>
                      <w:highlight w:val="none"/>
                      <w:lang w:val="en-US" w:eastAsia="zh-CN"/>
                    </w:rPr>
                  </w:pPr>
                  <w:r>
                    <w:rPr>
                      <w:rFonts w:hint="eastAsia"/>
                      <w:color w:val="auto"/>
                      <w:highlight w:val="none"/>
                      <w:lang w:val="en-US" w:eastAsia="zh-CN"/>
                    </w:rPr>
                    <w:t>5000</w:t>
                  </w:r>
                </w:p>
              </w:tc>
            </w:tr>
            <w:bookmarkEnd w:id="29"/>
            <w:tr w14:paraId="596C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restart"/>
                  <w:noWrap w:val="0"/>
                  <w:vAlign w:val="center"/>
                </w:tcPr>
                <w:p w14:paraId="02E903EB">
                  <w:pPr>
                    <w:pStyle w:val="28"/>
                    <w:widowControl w:val="0"/>
                    <w:bidi w:val="0"/>
                    <w:rPr>
                      <w:rFonts w:hint="default"/>
                      <w:color w:val="auto"/>
                      <w:highlight w:val="none"/>
                      <w:lang w:val="en-US" w:eastAsia="zh-CN"/>
                    </w:rPr>
                  </w:pPr>
                  <w:bookmarkStart w:id="30" w:name="OLE_LINK27" w:colFirst="4" w:colLast="7"/>
                  <w:r>
                    <w:rPr>
                      <w:rFonts w:hint="eastAsia"/>
                      <w:color w:val="auto"/>
                      <w:highlight w:val="none"/>
                      <w:lang w:val="en-US" w:eastAsia="zh-CN"/>
                    </w:rPr>
                    <w:t>生活废</w:t>
                  </w:r>
                  <w:r>
                    <w:rPr>
                      <w:rFonts w:hint="default"/>
                      <w:color w:val="auto"/>
                      <w:highlight w:val="none"/>
                      <w:lang w:val="en-US" w:eastAsia="zh-CN"/>
                    </w:rPr>
                    <w:t>水</w:t>
                  </w:r>
                </w:p>
              </w:tc>
              <w:tc>
                <w:tcPr>
                  <w:tcW w:w="299" w:type="pct"/>
                  <w:vMerge w:val="restart"/>
                  <w:shd w:val="clear" w:color="auto" w:fill="auto"/>
                  <w:noWrap w:val="0"/>
                  <w:vAlign w:val="center"/>
                </w:tcPr>
                <w:p w14:paraId="35A00826">
                  <w:pPr>
                    <w:pStyle w:val="28"/>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cs="Times New Roman"/>
                      <w:color w:val="auto"/>
                      <w:highlight w:val="none"/>
                      <w:lang w:val="en-US" w:eastAsia="zh-CN"/>
                    </w:rPr>
                    <w:t>处理前</w:t>
                  </w:r>
                </w:p>
                <w:p w14:paraId="121605BB">
                  <w:pPr>
                    <w:pStyle w:val="28"/>
                    <w:widowControl w:val="0"/>
                    <w:bidi w:val="0"/>
                    <w:rPr>
                      <w:rFonts w:hint="default"/>
                      <w:color w:val="auto"/>
                      <w:highlight w:val="none"/>
                      <w:lang w:val="en-US" w:eastAsia="zh-CN"/>
                    </w:rPr>
                  </w:pPr>
                </w:p>
              </w:tc>
              <w:tc>
                <w:tcPr>
                  <w:tcW w:w="598" w:type="pct"/>
                  <w:shd w:val="clear" w:color="auto" w:fill="auto"/>
                  <w:noWrap w:val="0"/>
                  <w:vAlign w:val="center"/>
                </w:tcPr>
                <w:p w14:paraId="7BF7AA20">
                  <w:pPr>
                    <w:pStyle w:val="28"/>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cs="Times New Roman"/>
                      <w:color w:val="auto"/>
                      <w:highlight w:val="none"/>
                      <w:lang w:val="en-US" w:eastAsia="zh-CN"/>
                    </w:rPr>
                    <w:t>浓度mg/L</w:t>
                  </w:r>
                </w:p>
              </w:tc>
              <w:tc>
                <w:tcPr>
                  <w:tcW w:w="517" w:type="pct"/>
                  <w:vMerge w:val="restart"/>
                  <w:noWrap w:val="0"/>
                  <w:vAlign w:val="center"/>
                </w:tcPr>
                <w:p w14:paraId="4C16AF00">
                  <w:pPr>
                    <w:pStyle w:val="28"/>
                    <w:widowControl w:val="0"/>
                    <w:bidi w:val="0"/>
                    <w:rPr>
                      <w:rFonts w:hint="default"/>
                      <w:color w:val="auto"/>
                      <w:highlight w:val="none"/>
                      <w:lang w:val="en-US" w:eastAsia="zh-CN"/>
                    </w:rPr>
                  </w:pPr>
                  <w:r>
                    <w:rPr>
                      <w:rFonts w:hint="eastAsia"/>
                      <w:color w:val="auto"/>
                      <w:highlight w:val="none"/>
                      <w:lang w:val="en-US" w:eastAsia="zh-CN"/>
                    </w:rPr>
                    <w:t>160.6</w:t>
                  </w:r>
                </w:p>
              </w:tc>
              <w:tc>
                <w:tcPr>
                  <w:tcW w:w="651" w:type="pct"/>
                  <w:noWrap w:val="0"/>
                  <w:vAlign w:val="center"/>
                </w:tcPr>
                <w:p w14:paraId="08D09C6B">
                  <w:pPr>
                    <w:pStyle w:val="28"/>
                    <w:widowControl w:val="0"/>
                    <w:bidi w:val="0"/>
                    <w:rPr>
                      <w:rFonts w:hint="default"/>
                      <w:color w:val="auto"/>
                      <w:highlight w:val="none"/>
                      <w:lang w:val="en-US" w:eastAsia="zh-CN"/>
                    </w:rPr>
                  </w:pPr>
                  <w:r>
                    <w:rPr>
                      <w:rFonts w:hint="eastAsia"/>
                      <w:color w:val="auto"/>
                      <w:highlight w:val="none"/>
                      <w:lang w:val="en-US" w:eastAsia="zh-CN"/>
                    </w:rPr>
                    <w:t>460</w:t>
                  </w:r>
                </w:p>
              </w:tc>
              <w:tc>
                <w:tcPr>
                  <w:tcW w:w="719" w:type="pct"/>
                  <w:noWrap w:val="0"/>
                  <w:vAlign w:val="center"/>
                </w:tcPr>
                <w:p w14:paraId="44FF557C">
                  <w:pPr>
                    <w:pStyle w:val="28"/>
                    <w:widowControl w:val="0"/>
                    <w:bidi w:val="0"/>
                    <w:rPr>
                      <w:rFonts w:hint="default"/>
                      <w:color w:val="auto"/>
                      <w:highlight w:val="none"/>
                      <w:lang w:val="en-US" w:eastAsia="zh-CN"/>
                    </w:rPr>
                  </w:pPr>
                  <w:r>
                    <w:rPr>
                      <w:rFonts w:hint="default"/>
                      <w:color w:val="auto"/>
                      <w:highlight w:val="none"/>
                      <w:lang w:val="en-US" w:eastAsia="zh-CN"/>
                    </w:rPr>
                    <w:t>200</w:t>
                  </w:r>
                </w:p>
              </w:tc>
              <w:tc>
                <w:tcPr>
                  <w:tcW w:w="682" w:type="pct"/>
                  <w:noWrap w:val="0"/>
                  <w:vAlign w:val="center"/>
                </w:tcPr>
                <w:p w14:paraId="3AD0F7B4">
                  <w:pPr>
                    <w:pStyle w:val="28"/>
                    <w:widowControl w:val="0"/>
                    <w:bidi w:val="0"/>
                    <w:rPr>
                      <w:rFonts w:hint="default"/>
                      <w:color w:val="auto"/>
                      <w:highlight w:val="none"/>
                      <w:lang w:val="en-US" w:eastAsia="zh-CN"/>
                    </w:rPr>
                  </w:pPr>
                  <w:r>
                    <w:rPr>
                      <w:rFonts w:hint="default"/>
                      <w:color w:val="auto"/>
                      <w:highlight w:val="none"/>
                      <w:lang w:val="en-US" w:eastAsia="zh-CN"/>
                    </w:rPr>
                    <w:t>200</w:t>
                  </w:r>
                </w:p>
              </w:tc>
              <w:tc>
                <w:tcPr>
                  <w:tcW w:w="657" w:type="pct"/>
                  <w:noWrap w:val="0"/>
                  <w:vAlign w:val="center"/>
                </w:tcPr>
                <w:p w14:paraId="5C36266D">
                  <w:pPr>
                    <w:pStyle w:val="28"/>
                    <w:widowControl w:val="0"/>
                    <w:bidi w:val="0"/>
                    <w:rPr>
                      <w:rFonts w:hint="default"/>
                      <w:color w:val="auto"/>
                      <w:highlight w:val="none"/>
                      <w:lang w:val="en-US" w:eastAsia="zh-CN"/>
                    </w:rPr>
                  </w:pPr>
                  <w:r>
                    <w:rPr>
                      <w:rFonts w:hint="eastAsia"/>
                      <w:color w:val="auto"/>
                      <w:highlight w:val="none"/>
                      <w:lang w:val="en-US" w:eastAsia="zh-CN"/>
                    </w:rPr>
                    <w:t>35</w:t>
                  </w:r>
                </w:p>
              </w:tc>
              <w:tc>
                <w:tcPr>
                  <w:tcW w:w="637" w:type="pct"/>
                  <w:noWrap w:val="0"/>
                  <w:vAlign w:val="center"/>
                </w:tcPr>
                <w:p w14:paraId="28BB61F7">
                  <w:pPr>
                    <w:pStyle w:val="28"/>
                    <w:widowControl w:val="0"/>
                    <w:bidi w:val="0"/>
                    <w:rPr>
                      <w:rFonts w:hint="default"/>
                      <w:color w:val="auto"/>
                      <w:highlight w:val="none"/>
                      <w:lang w:val="en-US" w:eastAsia="zh-CN"/>
                    </w:rPr>
                  </w:pPr>
                  <w:r>
                    <w:rPr>
                      <w:rFonts w:hint="default"/>
                      <w:color w:val="auto"/>
                      <w:highlight w:val="none"/>
                      <w:lang w:val="en-US" w:eastAsia="zh-CN"/>
                    </w:rPr>
                    <w:t>/</w:t>
                  </w:r>
                </w:p>
              </w:tc>
            </w:tr>
            <w:bookmarkEnd w:id="30"/>
            <w:tr w14:paraId="59D1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6" w:type="pct"/>
                  <w:vMerge w:val="continue"/>
                  <w:noWrap w:val="0"/>
                  <w:vAlign w:val="center"/>
                </w:tcPr>
                <w:p w14:paraId="68205896">
                  <w:pPr>
                    <w:pStyle w:val="28"/>
                    <w:widowControl w:val="0"/>
                    <w:bidi w:val="0"/>
                    <w:rPr>
                      <w:rFonts w:hint="default"/>
                      <w:color w:val="auto"/>
                      <w:highlight w:val="none"/>
                      <w:lang w:val="en-US" w:eastAsia="zh-CN"/>
                    </w:rPr>
                  </w:pPr>
                  <w:bookmarkStart w:id="31" w:name="OLE_LINK36" w:colFirst="4" w:colLast="7"/>
                </w:p>
              </w:tc>
              <w:tc>
                <w:tcPr>
                  <w:tcW w:w="299" w:type="pct"/>
                  <w:vMerge w:val="continue"/>
                  <w:noWrap w:val="0"/>
                  <w:vAlign w:val="center"/>
                </w:tcPr>
                <w:p w14:paraId="11152B41">
                  <w:pPr>
                    <w:pStyle w:val="28"/>
                    <w:widowControl w:val="0"/>
                    <w:bidi w:val="0"/>
                    <w:rPr>
                      <w:rFonts w:hint="default"/>
                      <w:color w:val="auto"/>
                      <w:highlight w:val="none"/>
                      <w:lang w:val="en-US" w:eastAsia="zh-CN"/>
                    </w:rPr>
                  </w:pPr>
                </w:p>
              </w:tc>
              <w:tc>
                <w:tcPr>
                  <w:tcW w:w="598" w:type="pct"/>
                  <w:shd w:val="clear" w:color="auto" w:fill="auto"/>
                  <w:noWrap w:val="0"/>
                  <w:vAlign w:val="center"/>
                </w:tcPr>
                <w:p w14:paraId="5A6B42C8">
                  <w:pPr>
                    <w:pStyle w:val="28"/>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cs="Times New Roman"/>
                      <w:color w:val="auto"/>
                      <w:highlight w:val="none"/>
                      <w:lang w:val="en-US" w:eastAsia="zh-CN"/>
                    </w:rPr>
                    <w:t>产生量t/a</w:t>
                  </w:r>
                </w:p>
              </w:tc>
              <w:tc>
                <w:tcPr>
                  <w:tcW w:w="517" w:type="pct"/>
                  <w:vMerge w:val="continue"/>
                  <w:noWrap w:val="0"/>
                  <w:vAlign w:val="center"/>
                </w:tcPr>
                <w:p w14:paraId="2C361416">
                  <w:pPr>
                    <w:pStyle w:val="28"/>
                    <w:widowControl w:val="0"/>
                    <w:bidi w:val="0"/>
                    <w:rPr>
                      <w:rFonts w:hint="default"/>
                      <w:color w:val="auto"/>
                      <w:highlight w:val="none"/>
                      <w:lang w:val="en-US" w:eastAsia="zh-CN"/>
                    </w:rPr>
                  </w:pPr>
                </w:p>
              </w:tc>
              <w:tc>
                <w:tcPr>
                  <w:tcW w:w="651" w:type="pct"/>
                  <w:noWrap w:val="0"/>
                  <w:vAlign w:val="center"/>
                </w:tcPr>
                <w:p w14:paraId="1748D478">
                  <w:pPr>
                    <w:pStyle w:val="28"/>
                    <w:widowControl w:val="0"/>
                    <w:bidi w:val="0"/>
                    <w:rPr>
                      <w:rFonts w:hint="default"/>
                      <w:color w:val="auto"/>
                      <w:highlight w:val="none"/>
                      <w:lang w:val="en-US" w:eastAsia="zh-CN"/>
                    </w:rPr>
                  </w:pPr>
                  <w:r>
                    <w:rPr>
                      <w:rFonts w:hint="eastAsia"/>
                      <w:color w:val="auto"/>
                      <w:highlight w:val="none"/>
                      <w:lang w:val="en-US" w:eastAsia="zh-CN"/>
                    </w:rPr>
                    <w:t>0.07388</w:t>
                  </w:r>
                </w:p>
              </w:tc>
              <w:tc>
                <w:tcPr>
                  <w:tcW w:w="719" w:type="pct"/>
                  <w:noWrap w:val="0"/>
                  <w:vAlign w:val="center"/>
                </w:tcPr>
                <w:p w14:paraId="308E78A3">
                  <w:pPr>
                    <w:pStyle w:val="28"/>
                    <w:widowControl w:val="0"/>
                    <w:bidi w:val="0"/>
                    <w:rPr>
                      <w:rFonts w:hint="default"/>
                      <w:color w:val="auto"/>
                      <w:highlight w:val="none"/>
                      <w:lang w:val="en-US" w:eastAsia="zh-CN"/>
                    </w:rPr>
                  </w:pPr>
                  <w:r>
                    <w:rPr>
                      <w:rFonts w:hint="eastAsia"/>
                      <w:color w:val="auto"/>
                      <w:highlight w:val="none"/>
                      <w:lang w:val="en-US" w:eastAsia="zh-CN"/>
                    </w:rPr>
                    <w:t>0.03212</w:t>
                  </w:r>
                </w:p>
              </w:tc>
              <w:tc>
                <w:tcPr>
                  <w:tcW w:w="682" w:type="pct"/>
                  <w:noWrap w:val="0"/>
                  <w:vAlign w:val="center"/>
                </w:tcPr>
                <w:p w14:paraId="21B9FDF9">
                  <w:pPr>
                    <w:pStyle w:val="28"/>
                    <w:widowControl w:val="0"/>
                    <w:bidi w:val="0"/>
                    <w:rPr>
                      <w:rFonts w:hint="default"/>
                      <w:color w:val="auto"/>
                      <w:highlight w:val="none"/>
                      <w:lang w:val="en-US" w:eastAsia="zh-CN"/>
                    </w:rPr>
                  </w:pPr>
                  <w:r>
                    <w:rPr>
                      <w:rFonts w:hint="eastAsia"/>
                      <w:color w:val="auto"/>
                      <w:highlight w:val="none"/>
                      <w:lang w:val="en-US" w:eastAsia="zh-CN"/>
                    </w:rPr>
                    <w:t>0.03212</w:t>
                  </w:r>
                </w:p>
              </w:tc>
              <w:tc>
                <w:tcPr>
                  <w:tcW w:w="657" w:type="pct"/>
                  <w:noWrap w:val="0"/>
                  <w:vAlign w:val="center"/>
                </w:tcPr>
                <w:p w14:paraId="08292911">
                  <w:pPr>
                    <w:pStyle w:val="28"/>
                    <w:widowControl w:val="0"/>
                    <w:bidi w:val="0"/>
                    <w:rPr>
                      <w:rFonts w:hint="default"/>
                      <w:color w:val="auto"/>
                      <w:highlight w:val="none"/>
                      <w:lang w:val="en-US" w:eastAsia="zh-CN"/>
                    </w:rPr>
                  </w:pPr>
                  <w:r>
                    <w:rPr>
                      <w:rFonts w:hint="eastAsia"/>
                      <w:color w:val="auto"/>
                      <w:highlight w:val="none"/>
                      <w:lang w:val="en-US" w:eastAsia="zh-CN"/>
                    </w:rPr>
                    <w:t>0.00562</w:t>
                  </w:r>
                </w:p>
              </w:tc>
              <w:tc>
                <w:tcPr>
                  <w:tcW w:w="637" w:type="pct"/>
                  <w:noWrap w:val="0"/>
                  <w:vAlign w:val="center"/>
                </w:tcPr>
                <w:p w14:paraId="62D9B92C">
                  <w:pPr>
                    <w:pStyle w:val="28"/>
                    <w:widowControl w:val="0"/>
                    <w:bidi w:val="0"/>
                    <w:rPr>
                      <w:rFonts w:hint="default"/>
                      <w:color w:val="auto"/>
                      <w:highlight w:val="none"/>
                      <w:lang w:val="en-US" w:eastAsia="zh-CN"/>
                    </w:rPr>
                  </w:pPr>
                  <w:r>
                    <w:rPr>
                      <w:rFonts w:hint="default"/>
                      <w:color w:val="auto"/>
                      <w:highlight w:val="none"/>
                      <w:lang w:val="en-US" w:eastAsia="zh-CN"/>
                    </w:rPr>
                    <w:t>/</w:t>
                  </w:r>
                </w:p>
              </w:tc>
            </w:tr>
            <w:bookmarkEnd w:id="31"/>
            <w:tr w14:paraId="02B5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36" w:type="pct"/>
                  <w:vMerge w:val="restart"/>
                  <w:noWrap w:val="0"/>
                  <w:vAlign w:val="center"/>
                </w:tcPr>
                <w:p w14:paraId="5AB19E64">
                  <w:pPr>
                    <w:pStyle w:val="28"/>
                    <w:widowControl w:val="0"/>
                    <w:bidi w:val="0"/>
                    <w:rPr>
                      <w:rFonts w:hint="default"/>
                      <w:color w:val="auto"/>
                      <w:highlight w:val="none"/>
                      <w:lang w:val="en-US" w:eastAsia="zh-CN"/>
                    </w:rPr>
                  </w:pPr>
                  <w:r>
                    <w:rPr>
                      <w:rFonts w:hint="eastAsia"/>
                      <w:color w:val="auto"/>
                      <w:highlight w:val="none"/>
                      <w:lang w:val="en-US" w:eastAsia="zh-CN"/>
                    </w:rPr>
                    <w:t>全厂</w:t>
                  </w:r>
                  <w:r>
                    <w:rPr>
                      <w:rFonts w:hint="default"/>
                      <w:color w:val="auto"/>
                      <w:highlight w:val="none"/>
                      <w:lang w:val="en-US" w:eastAsia="zh-CN"/>
                    </w:rPr>
                    <w:t>综合排放</w:t>
                  </w:r>
                </w:p>
              </w:tc>
              <w:tc>
                <w:tcPr>
                  <w:tcW w:w="299" w:type="pct"/>
                  <w:vMerge w:val="restart"/>
                  <w:noWrap w:val="0"/>
                  <w:vAlign w:val="center"/>
                </w:tcPr>
                <w:p w14:paraId="07F1A009">
                  <w:pPr>
                    <w:pStyle w:val="28"/>
                    <w:widowControl w:val="0"/>
                    <w:bidi w:val="0"/>
                    <w:rPr>
                      <w:rFonts w:hint="default"/>
                      <w:color w:val="auto"/>
                      <w:highlight w:val="none"/>
                      <w:lang w:val="en-US" w:eastAsia="zh-CN"/>
                    </w:rPr>
                  </w:pPr>
                  <w:r>
                    <w:rPr>
                      <w:rFonts w:hint="default"/>
                      <w:color w:val="auto"/>
                      <w:highlight w:val="none"/>
                      <w:lang w:val="en-US" w:eastAsia="zh-CN"/>
                    </w:rPr>
                    <w:t>处理后</w:t>
                  </w:r>
                </w:p>
              </w:tc>
              <w:tc>
                <w:tcPr>
                  <w:tcW w:w="598" w:type="pct"/>
                  <w:noWrap w:val="0"/>
                  <w:vAlign w:val="center"/>
                </w:tcPr>
                <w:p w14:paraId="27EEDAF7">
                  <w:pPr>
                    <w:pStyle w:val="28"/>
                    <w:widowControl w:val="0"/>
                    <w:bidi w:val="0"/>
                    <w:rPr>
                      <w:rFonts w:hint="default"/>
                      <w:color w:val="auto"/>
                      <w:highlight w:val="none"/>
                      <w:lang w:val="en-US" w:eastAsia="zh-CN"/>
                    </w:rPr>
                  </w:pPr>
                  <w:r>
                    <w:rPr>
                      <w:rFonts w:hint="default"/>
                      <w:color w:val="auto"/>
                      <w:highlight w:val="none"/>
                      <w:lang w:val="en-US" w:eastAsia="zh-CN"/>
                    </w:rPr>
                    <w:t>浓度</w:t>
                  </w:r>
                  <w:r>
                    <w:rPr>
                      <w:rFonts w:hint="eastAsia"/>
                      <w:color w:val="auto"/>
                      <w:highlight w:val="none"/>
                      <w:lang w:val="en-US" w:eastAsia="zh-CN"/>
                    </w:rPr>
                    <w:t>mg/L</w:t>
                  </w:r>
                </w:p>
              </w:tc>
              <w:tc>
                <w:tcPr>
                  <w:tcW w:w="517" w:type="pct"/>
                  <w:vMerge w:val="restart"/>
                  <w:noWrap w:val="0"/>
                  <w:vAlign w:val="center"/>
                </w:tcPr>
                <w:p w14:paraId="6E95AFEE">
                  <w:pPr>
                    <w:pStyle w:val="28"/>
                    <w:widowControl w:val="0"/>
                    <w:bidi w:val="0"/>
                    <w:rPr>
                      <w:rFonts w:hint="default"/>
                      <w:color w:val="auto"/>
                      <w:highlight w:val="none"/>
                      <w:lang w:val="en-US" w:eastAsia="zh-CN"/>
                    </w:rPr>
                  </w:pPr>
                  <w:r>
                    <w:rPr>
                      <w:rFonts w:hint="eastAsia"/>
                      <w:color w:val="auto"/>
                      <w:highlight w:val="none"/>
                      <w:lang w:val="en-US" w:eastAsia="zh-CN"/>
                    </w:rPr>
                    <w:t xml:space="preserve">199.73 </w:t>
                  </w:r>
                </w:p>
              </w:tc>
              <w:tc>
                <w:tcPr>
                  <w:tcW w:w="651" w:type="pct"/>
                  <w:noWrap w:val="0"/>
                  <w:vAlign w:val="center"/>
                </w:tcPr>
                <w:p w14:paraId="7491CFC5">
                  <w:pPr>
                    <w:pStyle w:val="28"/>
                    <w:widowControl w:val="0"/>
                    <w:bidi w:val="0"/>
                    <w:rPr>
                      <w:rFonts w:hint="default"/>
                      <w:color w:val="auto"/>
                      <w:highlight w:val="none"/>
                      <w:lang w:val="en-US" w:eastAsia="zh-CN"/>
                    </w:rPr>
                  </w:pPr>
                  <w:r>
                    <w:rPr>
                      <w:rFonts w:hint="eastAsia"/>
                      <w:color w:val="auto"/>
                      <w:highlight w:val="none"/>
                      <w:lang w:val="en-US" w:eastAsia="zh-CN"/>
                    </w:rPr>
                    <w:t>414.5</w:t>
                  </w:r>
                </w:p>
              </w:tc>
              <w:tc>
                <w:tcPr>
                  <w:tcW w:w="719" w:type="pct"/>
                  <w:noWrap w:val="0"/>
                  <w:vAlign w:val="center"/>
                </w:tcPr>
                <w:p w14:paraId="7F2EBC18">
                  <w:pPr>
                    <w:pStyle w:val="28"/>
                    <w:widowControl w:val="0"/>
                    <w:bidi w:val="0"/>
                    <w:rPr>
                      <w:rFonts w:hint="default"/>
                      <w:color w:val="auto"/>
                      <w:highlight w:val="none"/>
                      <w:lang w:val="en-US" w:eastAsia="zh-CN"/>
                    </w:rPr>
                  </w:pPr>
                  <w:r>
                    <w:rPr>
                      <w:rFonts w:hint="eastAsia"/>
                      <w:color w:val="auto"/>
                      <w:highlight w:val="none"/>
                      <w:lang w:val="en-US" w:eastAsia="zh-CN"/>
                    </w:rPr>
                    <w:t>179.6</w:t>
                  </w:r>
                </w:p>
              </w:tc>
              <w:tc>
                <w:tcPr>
                  <w:tcW w:w="682" w:type="pct"/>
                  <w:noWrap w:val="0"/>
                  <w:vAlign w:val="center"/>
                </w:tcPr>
                <w:p w14:paraId="7D8E3CAC">
                  <w:pPr>
                    <w:pStyle w:val="28"/>
                    <w:widowControl w:val="0"/>
                    <w:bidi w:val="0"/>
                    <w:rPr>
                      <w:rFonts w:hint="default"/>
                      <w:color w:val="auto"/>
                      <w:highlight w:val="none"/>
                      <w:lang w:val="en-US" w:eastAsia="zh-CN"/>
                    </w:rPr>
                  </w:pPr>
                  <w:r>
                    <w:rPr>
                      <w:rFonts w:hint="eastAsia"/>
                      <w:color w:val="auto"/>
                      <w:highlight w:val="none"/>
                      <w:lang w:val="en-US" w:eastAsia="zh-CN"/>
                    </w:rPr>
                    <w:t>175.0</w:t>
                  </w:r>
                </w:p>
              </w:tc>
              <w:tc>
                <w:tcPr>
                  <w:tcW w:w="657" w:type="pct"/>
                  <w:noWrap w:val="0"/>
                  <w:vAlign w:val="center"/>
                </w:tcPr>
                <w:p w14:paraId="0806D7D1">
                  <w:pPr>
                    <w:pStyle w:val="28"/>
                    <w:widowControl w:val="0"/>
                    <w:bidi w:val="0"/>
                    <w:rPr>
                      <w:rFonts w:hint="default"/>
                      <w:color w:val="auto"/>
                      <w:highlight w:val="none"/>
                      <w:lang w:val="en-US" w:eastAsia="zh-CN"/>
                    </w:rPr>
                  </w:pPr>
                  <w:r>
                    <w:rPr>
                      <w:rFonts w:hint="eastAsia"/>
                      <w:color w:val="auto"/>
                      <w:highlight w:val="none"/>
                      <w:lang w:val="en-US" w:eastAsia="zh-CN"/>
                    </w:rPr>
                    <w:t>32.6</w:t>
                  </w:r>
                </w:p>
              </w:tc>
              <w:tc>
                <w:tcPr>
                  <w:tcW w:w="637" w:type="pct"/>
                  <w:noWrap w:val="0"/>
                  <w:vAlign w:val="center"/>
                </w:tcPr>
                <w:p w14:paraId="36C84F97">
                  <w:pPr>
                    <w:pStyle w:val="28"/>
                    <w:widowControl w:val="0"/>
                    <w:bidi w:val="0"/>
                    <w:rPr>
                      <w:rFonts w:hint="default"/>
                      <w:color w:val="auto"/>
                      <w:highlight w:val="none"/>
                      <w:lang w:val="en-US" w:eastAsia="zh-CN"/>
                    </w:rPr>
                  </w:pPr>
                  <w:r>
                    <w:rPr>
                      <w:rFonts w:hint="default"/>
                      <w:color w:val="auto"/>
                      <w:highlight w:val="none"/>
                      <w:lang w:val="en-US" w:eastAsia="zh-CN"/>
                    </w:rPr>
                    <w:t>&lt;</w:t>
                  </w:r>
                  <w:r>
                    <w:rPr>
                      <w:rFonts w:hint="eastAsia"/>
                      <w:color w:val="auto"/>
                      <w:highlight w:val="none"/>
                      <w:lang w:val="en-US" w:eastAsia="zh-CN"/>
                    </w:rPr>
                    <w:t>5000</w:t>
                  </w:r>
                </w:p>
              </w:tc>
            </w:tr>
            <w:tr w14:paraId="053B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continue"/>
                  <w:noWrap w:val="0"/>
                  <w:vAlign w:val="center"/>
                </w:tcPr>
                <w:p w14:paraId="6E8808A5">
                  <w:pPr>
                    <w:pStyle w:val="28"/>
                    <w:widowControl w:val="0"/>
                    <w:bidi w:val="0"/>
                    <w:rPr>
                      <w:rFonts w:hint="default"/>
                      <w:color w:val="auto"/>
                      <w:highlight w:val="none"/>
                      <w:lang w:val="en-US" w:eastAsia="zh-CN"/>
                    </w:rPr>
                  </w:pPr>
                </w:p>
              </w:tc>
              <w:tc>
                <w:tcPr>
                  <w:tcW w:w="299" w:type="pct"/>
                  <w:vMerge w:val="continue"/>
                  <w:noWrap w:val="0"/>
                  <w:vAlign w:val="center"/>
                </w:tcPr>
                <w:p w14:paraId="7A605AAF">
                  <w:pPr>
                    <w:pStyle w:val="28"/>
                    <w:widowControl w:val="0"/>
                    <w:bidi w:val="0"/>
                    <w:rPr>
                      <w:rFonts w:hint="default"/>
                      <w:color w:val="auto"/>
                      <w:highlight w:val="none"/>
                      <w:lang w:val="en-US" w:eastAsia="zh-CN"/>
                    </w:rPr>
                  </w:pPr>
                </w:p>
              </w:tc>
              <w:tc>
                <w:tcPr>
                  <w:tcW w:w="598" w:type="pct"/>
                  <w:noWrap w:val="0"/>
                  <w:vAlign w:val="center"/>
                </w:tcPr>
                <w:p w14:paraId="3566A1CB">
                  <w:pPr>
                    <w:pStyle w:val="28"/>
                    <w:widowControl w:val="0"/>
                    <w:bidi w:val="0"/>
                    <w:rPr>
                      <w:rFonts w:hint="default"/>
                      <w:color w:val="auto"/>
                      <w:highlight w:val="none"/>
                      <w:lang w:val="en-US" w:eastAsia="zh-CN"/>
                    </w:rPr>
                  </w:pPr>
                  <w:r>
                    <w:rPr>
                      <w:rFonts w:hint="default"/>
                      <w:color w:val="auto"/>
                      <w:highlight w:val="none"/>
                      <w:lang w:val="en-US" w:eastAsia="zh-CN"/>
                    </w:rPr>
                    <w:t>排放量</w:t>
                  </w:r>
                  <w:r>
                    <w:rPr>
                      <w:rFonts w:hint="eastAsia"/>
                      <w:color w:val="auto"/>
                      <w:highlight w:val="none"/>
                      <w:lang w:val="en-US" w:eastAsia="zh-CN"/>
                    </w:rPr>
                    <w:t>t/a</w:t>
                  </w:r>
                </w:p>
              </w:tc>
              <w:tc>
                <w:tcPr>
                  <w:tcW w:w="517" w:type="pct"/>
                  <w:vMerge w:val="continue"/>
                  <w:noWrap w:val="0"/>
                  <w:vAlign w:val="center"/>
                </w:tcPr>
                <w:p w14:paraId="4114BAC0">
                  <w:pPr>
                    <w:pStyle w:val="28"/>
                    <w:widowControl w:val="0"/>
                    <w:bidi w:val="0"/>
                    <w:rPr>
                      <w:rFonts w:hint="default"/>
                      <w:color w:val="auto"/>
                      <w:highlight w:val="none"/>
                      <w:lang w:val="en-US" w:eastAsia="zh-CN"/>
                    </w:rPr>
                  </w:pPr>
                </w:p>
              </w:tc>
              <w:tc>
                <w:tcPr>
                  <w:tcW w:w="651" w:type="pct"/>
                  <w:noWrap w:val="0"/>
                  <w:vAlign w:val="center"/>
                </w:tcPr>
                <w:p w14:paraId="4CD35C56">
                  <w:pPr>
                    <w:pStyle w:val="28"/>
                    <w:widowControl w:val="0"/>
                    <w:bidi w:val="0"/>
                    <w:rPr>
                      <w:rFonts w:hint="default"/>
                      <w:color w:val="auto"/>
                      <w:highlight w:val="none"/>
                      <w:lang w:val="en-US" w:eastAsia="zh-CN"/>
                    </w:rPr>
                  </w:pPr>
                  <w:r>
                    <w:rPr>
                      <w:rFonts w:hint="eastAsia"/>
                      <w:color w:val="auto"/>
                      <w:highlight w:val="none"/>
                      <w:lang w:val="en-US" w:eastAsia="zh-CN"/>
                    </w:rPr>
                    <w:t>0.08278</w:t>
                  </w:r>
                </w:p>
              </w:tc>
              <w:tc>
                <w:tcPr>
                  <w:tcW w:w="719" w:type="pct"/>
                  <w:noWrap w:val="0"/>
                  <w:vAlign w:val="center"/>
                </w:tcPr>
                <w:p w14:paraId="6142D2D8">
                  <w:pPr>
                    <w:pStyle w:val="28"/>
                    <w:widowControl w:val="0"/>
                    <w:bidi w:val="0"/>
                    <w:rPr>
                      <w:rFonts w:hint="default"/>
                      <w:color w:val="auto"/>
                      <w:highlight w:val="none"/>
                      <w:lang w:val="en-US" w:eastAsia="zh-CN"/>
                    </w:rPr>
                  </w:pPr>
                  <w:r>
                    <w:rPr>
                      <w:rFonts w:hint="eastAsia"/>
                      <w:color w:val="auto"/>
                      <w:highlight w:val="none"/>
                      <w:lang w:val="en-US" w:eastAsia="zh-CN"/>
                    </w:rPr>
                    <w:t>0.03588</w:t>
                  </w:r>
                </w:p>
              </w:tc>
              <w:tc>
                <w:tcPr>
                  <w:tcW w:w="682" w:type="pct"/>
                  <w:noWrap w:val="0"/>
                  <w:vAlign w:val="center"/>
                </w:tcPr>
                <w:p w14:paraId="4F93B631">
                  <w:pPr>
                    <w:pStyle w:val="28"/>
                    <w:widowControl w:val="0"/>
                    <w:bidi w:val="0"/>
                    <w:rPr>
                      <w:rFonts w:hint="default"/>
                      <w:color w:val="auto"/>
                      <w:highlight w:val="none"/>
                      <w:lang w:val="en-US" w:eastAsia="zh-CN"/>
                    </w:rPr>
                  </w:pPr>
                  <w:r>
                    <w:rPr>
                      <w:rFonts w:hint="eastAsia"/>
                      <w:color w:val="auto"/>
                      <w:highlight w:val="none"/>
                      <w:lang w:val="en-US" w:eastAsia="zh-CN"/>
                    </w:rPr>
                    <w:t>0.03496</w:t>
                  </w:r>
                </w:p>
              </w:tc>
              <w:tc>
                <w:tcPr>
                  <w:tcW w:w="657" w:type="pct"/>
                  <w:noWrap w:val="0"/>
                  <w:vAlign w:val="center"/>
                </w:tcPr>
                <w:p w14:paraId="417C6B92">
                  <w:pPr>
                    <w:pStyle w:val="28"/>
                    <w:widowControl w:val="0"/>
                    <w:bidi w:val="0"/>
                    <w:rPr>
                      <w:rFonts w:hint="default"/>
                      <w:color w:val="auto"/>
                      <w:highlight w:val="none"/>
                      <w:lang w:val="en-US" w:eastAsia="zh-CN"/>
                    </w:rPr>
                  </w:pPr>
                  <w:r>
                    <w:rPr>
                      <w:rFonts w:hint="eastAsia"/>
                      <w:color w:val="auto"/>
                      <w:highlight w:val="none"/>
                      <w:lang w:val="en-US" w:eastAsia="zh-CN"/>
                    </w:rPr>
                    <w:t>0.00651</w:t>
                  </w:r>
                </w:p>
              </w:tc>
              <w:tc>
                <w:tcPr>
                  <w:tcW w:w="637" w:type="pct"/>
                  <w:noWrap w:val="0"/>
                  <w:vAlign w:val="center"/>
                </w:tcPr>
                <w:p w14:paraId="5D3C96A7">
                  <w:pPr>
                    <w:pStyle w:val="28"/>
                    <w:widowControl w:val="0"/>
                    <w:bidi w:val="0"/>
                    <w:rPr>
                      <w:rFonts w:hint="default"/>
                      <w:color w:val="auto"/>
                      <w:highlight w:val="none"/>
                      <w:lang w:val="en-US" w:eastAsia="zh-CN"/>
                    </w:rPr>
                  </w:pPr>
                  <w:r>
                    <w:rPr>
                      <w:rFonts w:hint="default"/>
                      <w:color w:val="auto"/>
                      <w:highlight w:val="none"/>
                      <w:lang w:val="en-US" w:eastAsia="zh-CN"/>
                    </w:rPr>
                    <w:t>/</w:t>
                  </w:r>
                </w:p>
              </w:tc>
            </w:tr>
            <w:tr w14:paraId="21B4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1" w:type="pct"/>
                  <w:gridSpan w:val="4"/>
                  <w:noWrap w:val="0"/>
                  <w:vAlign w:val="center"/>
                </w:tcPr>
                <w:p w14:paraId="625220D2">
                  <w:pPr>
                    <w:pStyle w:val="28"/>
                    <w:widowControl w:val="0"/>
                    <w:bidi w:val="0"/>
                    <w:rPr>
                      <w:rFonts w:hint="default"/>
                      <w:color w:val="auto"/>
                      <w:highlight w:val="none"/>
                      <w:lang w:val="en-US" w:eastAsia="zh-CN"/>
                    </w:rPr>
                  </w:pPr>
                  <w:bookmarkStart w:id="32" w:name="OLE_LINK31" w:colFirst="1" w:colLast="5"/>
                  <w:r>
                    <w:rPr>
                      <w:rFonts w:hint="eastAsia"/>
                      <w:color w:val="auto"/>
                      <w:highlight w:val="none"/>
                      <w:lang w:val="en-US" w:eastAsia="zh-CN"/>
                    </w:rPr>
                    <w:t>《污水综合排放标准》（GB8978-1996）</w:t>
                  </w:r>
                  <w:r>
                    <w:rPr>
                      <w:rFonts w:hint="default"/>
                      <w:color w:val="auto"/>
                      <w:highlight w:val="none"/>
                      <w:lang w:val="en-US" w:eastAsia="zh-CN"/>
                    </w:rPr>
                    <w:t>（</w:t>
                  </w:r>
                  <w:r>
                    <w:rPr>
                      <w:rFonts w:hint="eastAsia"/>
                      <w:color w:val="auto"/>
                      <w:highlight w:val="none"/>
                      <w:lang w:val="en-US" w:eastAsia="zh-CN"/>
                    </w:rPr>
                    <w:t>mg/L</w:t>
                  </w:r>
                  <w:r>
                    <w:rPr>
                      <w:rFonts w:hint="default"/>
                      <w:color w:val="auto"/>
                      <w:highlight w:val="none"/>
                      <w:lang w:val="en-US" w:eastAsia="zh-CN"/>
                    </w:rPr>
                    <w:t>）</w:t>
                  </w:r>
                </w:p>
              </w:tc>
              <w:tc>
                <w:tcPr>
                  <w:tcW w:w="651" w:type="pct"/>
                  <w:noWrap w:val="0"/>
                  <w:vAlign w:val="center"/>
                </w:tcPr>
                <w:p w14:paraId="73F46A2F">
                  <w:pPr>
                    <w:pStyle w:val="28"/>
                    <w:widowControl w:val="0"/>
                    <w:bidi w:val="0"/>
                    <w:rPr>
                      <w:rFonts w:hint="default"/>
                      <w:color w:val="auto"/>
                      <w:highlight w:val="none"/>
                      <w:lang w:val="en-US" w:eastAsia="zh-CN"/>
                    </w:rPr>
                  </w:pPr>
                  <w:r>
                    <w:rPr>
                      <w:rFonts w:hint="eastAsia"/>
                      <w:color w:val="auto"/>
                      <w:highlight w:val="none"/>
                      <w:lang w:val="en-US" w:eastAsia="zh-CN"/>
                    </w:rPr>
                    <w:t>500</w:t>
                  </w:r>
                </w:p>
              </w:tc>
              <w:tc>
                <w:tcPr>
                  <w:tcW w:w="719" w:type="pct"/>
                  <w:noWrap w:val="0"/>
                  <w:vAlign w:val="center"/>
                </w:tcPr>
                <w:p w14:paraId="562384B3">
                  <w:pPr>
                    <w:pStyle w:val="28"/>
                    <w:widowControl w:val="0"/>
                    <w:bidi w:val="0"/>
                    <w:rPr>
                      <w:rFonts w:hint="default"/>
                      <w:color w:val="auto"/>
                      <w:highlight w:val="none"/>
                      <w:lang w:val="en-US" w:eastAsia="zh-CN"/>
                    </w:rPr>
                  </w:pPr>
                  <w:r>
                    <w:rPr>
                      <w:rFonts w:hint="eastAsia"/>
                      <w:color w:val="auto"/>
                      <w:highlight w:val="none"/>
                      <w:lang w:val="en-US" w:eastAsia="zh-CN"/>
                    </w:rPr>
                    <w:t>300</w:t>
                  </w:r>
                </w:p>
              </w:tc>
              <w:tc>
                <w:tcPr>
                  <w:tcW w:w="682" w:type="pct"/>
                  <w:noWrap w:val="0"/>
                  <w:vAlign w:val="center"/>
                </w:tcPr>
                <w:p w14:paraId="723452E1">
                  <w:pPr>
                    <w:pStyle w:val="28"/>
                    <w:widowControl w:val="0"/>
                    <w:bidi w:val="0"/>
                    <w:rPr>
                      <w:rFonts w:hint="default"/>
                      <w:color w:val="auto"/>
                      <w:highlight w:val="none"/>
                      <w:lang w:val="en-US" w:eastAsia="zh-CN"/>
                    </w:rPr>
                  </w:pPr>
                  <w:r>
                    <w:rPr>
                      <w:rFonts w:hint="eastAsia"/>
                      <w:color w:val="auto"/>
                      <w:highlight w:val="none"/>
                      <w:lang w:val="en-US" w:eastAsia="zh-CN"/>
                    </w:rPr>
                    <w:t>400</w:t>
                  </w:r>
                </w:p>
              </w:tc>
              <w:tc>
                <w:tcPr>
                  <w:tcW w:w="657" w:type="pct"/>
                  <w:noWrap w:val="0"/>
                  <w:vAlign w:val="center"/>
                </w:tcPr>
                <w:p w14:paraId="6265247B">
                  <w:pPr>
                    <w:pStyle w:val="28"/>
                    <w:widowControl w:val="0"/>
                    <w:bidi w:val="0"/>
                    <w:rPr>
                      <w:rFonts w:hint="default"/>
                      <w:color w:val="auto"/>
                      <w:highlight w:val="none"/>
                      <w:lang w:val="en-US" w:eastAsia="zh-CN"/>
                    </w:rPr>
                  </w:pPr>
                  <w:r>
                    <w:rPr>
                      <w:rFonts w:hint="eastAsia"/>
                      <w:color w:val="auto"/>
                      <w:highlight w:val="none"/>
                      <w:lang w:val="en-US" w:eastAsia="zh-CN"/>
                    </w:rPr>
                    <w:t>45</w:t>
                  </w:r>
                </w:p>
              </w:tc>
              <w:tc>
                <w:tcPr>
                  <w:tcW w:w="637" w:type="pct"/>
                  <w:noWrap w:val="0"/>
                  <w:vAlign w:val="center"/>
                </w:tcPr>
                <w:p w14:paraId="20F7F6A8">
                  <w:pPr>
                    <w:pStyle w:val="28"/>
                    <w:widowControl w:val="0"/>
                    <w:bidi w:val="0"/>
                    <w:rPr>
                      <w:rFonts w:hint="default"/>
                      <w:color w:val="auto"/>
                      <w:highlight w:val="none"/>
                      <w:lang w:val="en-US" w:eastAsia="zh-CN"/>
                    </w:rPr>
                  </w:pPr>
                  <w:r>
                    <w:rPr>
                      <w:rFonts w:hint="eastAsia"/>
                      <w:color w:val="auto"/>
                      <w:highlight w:val="none"/>
                      <w:lang w:val="en-US" w:eastAsia="zh-CN"/>
                    </w:rPr>
                    <w:t>5000</w:t>
                  </w:r>
                </w:p>
              </w:tc>
            </w:tr>
            <w:bookmarkEnd w:id="32"/>
          </w:tbl>
          <w:p w14:paraId="605BD2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
                <w:bCs/>
                <w:color w:val="auto"/>
                <w:highlight w:val="none"/>
                <w:lang w:val="en-US" w:eastAsia="zh-CN"/>
              </w:rPr>
            </w:pPr>
            <w:r>
              <w:rPr>
                <w:rFonts w:ascii="宋体" w:hAnsi="宋体" w:eastAsia="宋体" w:cs="宋体"/>
                <w:color w:val="auto"/>
                <w:sz w:val="24"/>
                <w:szCs w:val="24"/>
                <w:highlight w:val="none"/>
              </w:rPr>
              <w:t>从</w:t>
            </w:r>
            <w:r>
              <w:rPr>
                <w:rFonts w:hint="eastAsia" w:ascii="宋体" w:hAnsi="宋体" w:cs="宋体"/>
                <w:color w:val="auto"/>
                <w:sz w:val="24"/>
                <w:szCs w:val="24"/>
                <w:highlight w:val="none"/>
                <w:lang w:val="en-US" w:eastAsia="zh-CN"/>
              </w:rPr>
              <w:t>上表</w:t>
            </w:r>
            <w:r>
              <w:rPr>
                <w:rFonts w:ascii="宋体" w:hAnsi="宋体" w:eastAsia="宋体" w:cs="宋体"/>
                <w:color w:val="auto"/>
                <w:sz w:val="24"/>
                <w:szCs w:val="24"/>
                <w:highlight w:val="none"/>
              </w:rPr>
              <w:t>可以看出，本项目</w:t>
            </w:r>
            <w:r>
              <w:rPr>
                <w:rFonts w:hint="eastAsia" w:ascii="宋体" w:hAnsi="宋体" w:cs="宋体"/>
                <w:color w:val="auto"/>
                <w:sz w:val="24"/>
                <w:szCs w:val="24"/>
                <w:highlight w:val="none"/>
                <w:lang w:val="en-US" w:eastAsia="zh-CN"/>
              </w:rPr>
              <w:t>医疗废水及</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w:t>
            </w:r>
            <w:r>
              <w:rPr>
                <w:rFonts w:hint="eastAsia" w:cs="Times New Roman"/>
                <w:color w:val="auto"/>
                <w:highlight w:val="none"/>
                <w:lang w:val="en-US" w:eastAsia="zh-CN"/>
              </w:rPr>
              <w:t>预处理后</w:t>
            </w:r>
            <w:r>
              <w:rPr>
                <w:rFonts w:hint="eastAsia" w:ascii="宋体" w:hAnsi="宋体" w:cs="宋体"/>
                <w:color w:val="auto"/>
                <w:sz w:val="24"/>
                <w:szCs w:val="24"/>
                <w:highlight w:val="none"/>
                <w:lang w:val="en-US" w:eastAsia="zh-CN"/>
              </w:rPr>
              <w:t>可满足</w:t>
            </w:r>
            <w:r>
              <w:rPr>
                <w:rFonts w:hint="eastAsia" w:cs="Times New Roman"/>
                <w:color w:val="auto"/>
                <w:lang w:eastAsia="zh-CN"/>
              </w:rPr>
              <w:t>《医疗机构水污染物排放标准》（GB 18466-2005，含2026年修改单）</w:t>
            </w:r>
            <w:r>
              <w:rPr>
                <w:color w:val="auto"/>
                <w:lang w:val="en-US" w:eastAsia="zh-CN"/>
              </w:rPr>
              <w:t>中表</w:t>
            </w:r>
            <w:r>
              <w:rPr>
                <w:rFonts w:hint="eastAsia"/>
                <w:color w:val="auto"/>
                <w:lang w:val="en-US" w:eastAsia="zh-CN"/>
              </w:rPr>
              <w:t>2</w:t>
            </w:r>
            <w:r>
              <w:rPr>
                <w:color w:val="auto"/>
                <w:lang w:val="en-US" w:eastAsia="zh-CN"/>
              </w:rPr>
              <w:t>标准</w:t>
            </w:r>
            <w:r>
              <w:rPr>
                <w:rFonts w:hint="eastAsia"/>
                <w:color w:val="auto"/>
                <w:lang w:val="en-US" w:eastAsia="zh-CN"/>
              </w:rPr>
              <w:t>限值；</w:t>
            </w:r>
            <w:r>
              <w:rPr>
                <w:rFonts w:ascii="宋体" w:hAnsi="宋体" w:eastAsia="宋体" w:cs="宋体"/>
                <w:color w:val="auto"/>
                <w:sz w:val="24"/>
                <w:szCs w:val="24"/>
                <w:highlight w:val="none"/>
              </w:rPr>
              <w:t>外排废水能够满足</w:t>
            </w:r>
            <w:r>
              <w:rPr>
                <w:rFonts w:hint="eastAsia" w:ascii="宋体" w:hAnsi="宋体" w:cs="宋体"/>
                <w:color w:val="auto"/>
                <w:sz w:val="24"/>
                <w:szCs w:val="24"/>
                <w:highlight w:val="none"/>
                <w:lang w:eastAsia="zh-CN"/>
              </w:rPr>
              <w:t>《</w:t>
            </w:r>
            <w:r>
              <w:rPr>
                <w:rFonts w:hint="eastAsia" w:cs="Times New Roman"/>
                <w:color w:val="auto"/>
                <w:sz w:val="24"/>
                <w:szCs w:val="24"/>
                <w:highlight w:val="none"/>
                <w:vertAlign w:val="baseline"/>
                <w:lang w:val="en-US" w:eastAsia="zh-CN" w:bidi="ar-SA"/>
              </w:rPr>
              <w:t>污水综合排放标准》（</w:t>
            </w:r>
            <w:r>
              <w:rPr>
                <w:rFonts w:hint="default" w:cs="Times New Roman"/>
                <w:color w:val="auto"/>
                <w:sz w:val="24"/>
                <w:szCs w:val="24"/>
                <w:highlight w:val="none"/>
                <w:vertAlign w:val="baseline"/>
                <w:lang w:val="en-US" w:eastAsia="zh-CN" w:bidi="ar-SA"/>
              </w:rPr>
              <w:t>GB8978-1996</w:t>
            </w:r>
            <w:r>
              <w:rPr>
                <w:rFonts w:hint="eastAsia" w:cs="Times New Roman"/>
                <w:color w:val="auto"/>
                <w:sz w:val="24"/>
                <w:szCs w:val="24"/>
                <w:highlight w:val="none"/>
                <w:vertAlign w:val="baseline"/>
                <w:lang w:val="en-US" w:eastAsia="zh-CN" w:bidi="ar-SA"/>
              </w:rPr>
              <w:t>）三级标准，其中</w:t>
            </w:r>
            <w:r>
              <w:rPr>
                <w:rFonts w:hint="default" w:ascii="Times New Roman" w:hAnsi="Times New Roman" w:cs="Times New Roman"/>
                <w:color w:val="auto"/>
                <w:sz w:val="24"/>
                <w:szCs w:val="24"/>
                <w:highlight w:val="none"/>
                <w:vertAlign w:val="baseline"/>
                <w:lang w:val="en-US" w:eastAsia="zh-CN" w:bidi="ar-SA"/>
              </w:rPr>
              <w:t>氨氮</w:t>
            </w:r>
            <w:r>
              <w:rPr>
                <w:rFonts w:hint="eastAsia" w:ascii="Times New Roman" w:hAnsi="Times New Roman" w:cs="Times New Roman"/>
                <w:color w:val="auto"/>
                <w:sz w:val="24"/>
                <w:szCs w:val="24"/>
                <w:highlight w:val="none"/>
                <w:vertAlign w:val="baseline"/>
                <w:lang w:val="en-US" w:eastAsia="zh-CN" w:bidi="ar-SA"/>
              </w:rPr>
              <w:t>可满足</w:t>
            </w:r>
            <w:r>
              <w:rPr>
                <w:rFonts w:hint="eastAsia" w:cs="Times New Roman"/>
                <w:color w:val="auto"/>
                <w:sz w:val="24"/>
                <w:szCs w:val="24"/>
                <w:highlight w:val="none"/>
                <w:vertAlign w:val="baseline"/>
                <w:lang w:val="en-US" w:eastAsia="zh-CN" w:bidi="ar-SA"/>
              </w:rPr>
              <w:t>《污水排入城镇下水道水质标准》（</w:t>
            </w:r>
            <w:r>
              <w:rPr>
                <w:rFonts w:hint="default" w:cs="Times New Roman"/>
                <w:color w:val="auto"/>
                <w:sz w:val="24"/>
                <w:szCs w:val="24"/>
                <w:highlight w:val="none"/>
                <w:vertAlign w:val="baseline"/>
                <w:lang w:val="en-US" w:eastAsia="zh-CN" w:bidi="ar-SA"/>
              </w:rPr>
              <w:t>GB/T31962-2015</w:t>
            </w:r>
            <w:r>
              <w:rPr>
                <w:rFonts w:hint="eastAsia" w:cs="Times New Roman"/>
                <w:color w:val="auto"/>
                <w:sz w:val="24"/>
                <w:szCs w:val="24"/>
                <w:highlight w:val="none"/>
                <w:vertAlign w:val="baseline"/>
                <w:lang w:val="en-US" w:eastAsia="zh-CN" w:bidi="ar-SA"/>
              </w:rPr>
              <w:t>）</w:t>
            </w:r>
            <w:r>
              <w:rPr>
                <w:rFonts w:hint="default" w:cs="Times New Roman"/>
                <w:color w:val="auto"/>
                <w:sz w:val="24"/>
                <w:szCs w:val="24"/>
                <w:highlight w:val="none"/>
                <w:vertAlign w:val="baseline"/>
                <w:lang w:val="en-US" w:eastAsia="zh-CN" w:bidi="ar-SA"/>
              </w:rPr>
              <w:t>B</w:t>
            </w:r>
            <w:r>
              <w:rPr>
                <w:rFonts w:hint="eastAsia" w:cs="Times New Roman"/>
                <w:color w:val="auto"/>
                <w:sz w:val="24"/>
                <w:szCs w:val="24"/>
                <w:highlight w:val="none"/>
                <w:vertAlign w:val="baseline"/>
                <w:lang w:val="en-US" w:eastAsia="zh-CN" w:bidi="ar-SA"/>
              </w:rPr>
              <w:t>等级标准。</w:t>
            </w:r>
          </w:p>
          <w:p w14:paraId="2D87BDDF">
            <w:pPr>
              <w:pStyle w:val="4"/>
              <w:bidi w:val="0"/>
              <w:rPr>
                <w:rFonts w:hint="default"/>
                <w:color w:val="auto"/>
                <w:lang w:val="en-US" w:eastAsia="zh-CN"/>
              </w:rPr>
            </w:pPr>
            <w:r>
              <w:rPr>
                <w:rFonts w:hint="eastAsia"/>
                <w:color w:val="auto"/>
                <w:lang w:val="en-US" w:eastAsia="zh-CN"/>
              </w:rPr>
              <w:t>4.6.2</w:t>
            </w:r>
            <w:r>
              <w:rPr>
                <w:rFonts w:hint="default"/>
                <w:color w:val="auto"/>
                <w:lang w:val="en-US" w:eastAsia="zh-CN"/>
              </w:rPr>
              <w:t>废水治理措施</w:t>
            </w:r>
            <w:r>
              <w:rPr>
                <w:rFonts w:hint="eastAsia"/>
                <w:color w:val="auto"/>
                <w:lang w:val="en-US" w:eastAsia="zh-CN"/>
              </w:rPr>
              <w:t>、排放方式、排放口基本信息</w:t>
            </w:r>
          </w:p>
          <w:p w14:paraId="69300E15">
            <w:pPr>
              <w:pStyle w:val="29"/>
              <w:bidi w:val="0"/>
              <w:rPr>
                <w:rFonts w:hint="default"/>
                <w:color w:val="auto"/>
                <w:lang w:val="en-US" w:eastAsia="zh-CN"/>
              </w:rPr>
            </w:pPr>
            <w:r>
              <w:rPr>
                <w:rFonts w:hint="eastAsia"/>
                <w:color w:val="auto"/>
                <w:lang w:val="en-US" w:eastAsia="zh-CN"/>
              </w:rPr>
              <w:t>（1）废水治理措施</w:t>
            </w:r>
          </w:p>
          <w:p w14:paraId="3BD7A599">
            <w:pPr>
              <w:pStyle w:val="29"/>
              <w:bidi w:val="0"/>
              <w:rPr>
                <w:rFonts w:hint="default"/>
                <w:color w:val="auto"/>
                <w:lang w:val="en-US" w:eastAsia="zh-CN"/>
              </w:rPr>
            </w:pPr>
            <w:r>
              <w:rPr>
                <w:rFonts w:hint="default"/>
                <w:color w:val="auto"/>
                <w:lang w:val="en-US" w:eastAsia="zh-CN"/>
              </w:rPr>
              <w:t>本项目一体化污水处理设</w:t>
            </w:r>
            <w:r>
              <w:rPr>
                <w:rFonts w:hint="eastAsia"/>
                <w:color w:val="auto"/>
                <w:lang w:val="en-US" w:eastAsia="zh-CN"/>
              </w:rPr>
              <w:t>备（</w:t>
            </w:r>
            <w:r>
              <w:rPr>
                <w:rFonts w:hint="default"/>
                <w:color w:val="auto"/>
                <w:lang w:val="en-US" w:eastAsia="zh-CN"/>
              </w:rPr>
              <w:t>处理规模</w:t>
            </w:r>
            <w:r>
              <w:rPr>
                <w:rFonts w:hint="eastAsia"/>
                <w:color w:val="auto"/>
                <w:lang w:val="en-US" w:eastAsia="zh-CN"/>
              </w:rPr>
              <w:t>为0.2m</w:t>
            </w:r>
            <w:r>
              <w:rPr>
                <w:rFonts w:hint="eastAsia"/>
                <w:color w:val="auto"/>
                <w:vertAlign w:val="superscript"/>
                <w:lang w:val="en-US" w:eastAsia="zh-CN"/>
              </w:rPr>
              <w:t>3</w:t>
            </w:r>
            <w:r>
              <w:rPr>
                <w:rFonts w:hint="eastAsia"/>
                <w:color w:val="auto"/>
                <w:lang w:val="en-US" w:eastAsia="zh-CN"/>
              </w:rPr>
              <w:t>/d）不</w:t>
            </w:r>
            <w:r>
              <w:rPr>
                <w:rFonts w:hint="default"/>
                <w:color w:val="auto"/>
                <w:lang w:val="en-US" w:eastAsia="zh-CN"/>
              </w:rPr>
              <w:t>间断运行，采用</w:t>
            </w:r>
            <w:bookmarkStart w:id="33" w:name="OLE_LINK18"/>
            <w:r>
              <w:rPr>
                <w:rFonts w:hint="eastAsia"/>
                <w:color w:val="auto"/>
                <w:lang w:val="en-US" w:eastAsia="zh-CN"/>
              </w:rPr>
              <w:t>滤筛</w:t>
            </w:r>
            <w:r>
              <w:rPr>
                <w:rFonts w:hint="default"/>
                <w:color w:val="auto"/>
                <w:lang w:val="en-US" w:eastAsia="zh-CN"/>
              </w:rPr>
              <w:t>+氯片</w:t>
            </w:r>
            <w:bookmarkEnd w:id="33"/>
            <w:r>
              <w:rPr>
                <w:rFonts w:hint="default"/>
                <w:color w:val="auto"/>
                <w:lang w:val="en-US" w:eastAsia="zh-CN"/>
              </w:rPr>
              <w:t>消毒工艺，各处理单元均采用全密闭设计，本项目废水主要为COD、BOD</w:t>
            </w:r>
            <w:r>
              <w:rPr>
                <w:rFonts w:hint="default"/>
                <w:color w:val="auto"/>
                <w:vertAlign w:val="subscript"/>
                <w:lang w:val="en-US" w:eastAsia="zh-CN"/>
              </w:rPr>
              <w:t>5</w:t>
            </w:r>
            <w:r>
              <w:rPr>
                <w:rFonts w:hint="default"/>
                <w:color w:val="auto"/>
                <w:lang w:val="en-US" w:eastAsia="zh-CN"/>
              </w:rPr>
              <w:t>、SS、NH</w:t>
            </w:r>
            <w:r>
              <w:rPr>
                <w:rFonts w:hint="default"/>
                <w:color w:val="auto"/>
                <w:vertAlign w:val="subscript"/>
                <w:lang w:val="en-US" w:eastAsia="zh-CN"/>
              </w:rPr>
              <w:t>3</w:t>
            </w:r>
            <w:r>
              <w:rPr>
                <w:rFonts w:hint="default"/>
                <w:color w:val="auto"/>
                <w:lang w:val="en-US" w:eastAsia="zh-CN"/>
              </w:rPr>
              <w:t>-N、</w:t>
            </w:r>
            <w:r>
              <w:rPr>
                <w:rFonts w:hint="eastAsia"/>
                <w:color w:val="auto"/>
                <w:lang w:val="en-US" w:eastAsia="zh-CN"/>
              </w:rPr>
              <w:t>粪大肠菌群</w:t>
            </w:r>
            <w:r>
              <w:rPr>
                <w:rFonts w:hint="default"/>
                <w:color w:val="auto"/>
                <w:lang w:val="en-US" w:eastAsia="zh-CN"/>
              </w:rPr>
              <w:t>等。本项目采取的污水处理工艺（</w:t>
            </w:r>
            <w:r>
              <w:rPr>
                <w:rFonts w:hint="eastAsia"/>
                <w:color w:val="auto"/>
                <w:lang w:val="en-US" w:eastAsia="zh-CN"/>
              </w:rPr>
              <w:t>滤筛</w:t>
            </w:r>
            <w:r>
              <w:rPr>
                <w:rFonts w:hint="default"/>
                <w:color w:val="auto"/>
                <w:lang w:val="en-US" w:eastAsia="zh-CN"/>
              </w:rPr>
              <w:t>+氯片消毒）已广泛应用于各小型医院和卫生院，运行情况良好；根据《医疗机构水污染物排放标准》（GB18466-2005，含2026年修改单）4.1.3“县级以下或20张床位以下的综合医疗机构和其他所有医疗机构污水经消毒处理后方可排放”，本项目</w:t>
            </w:r>
            <w:r>
              <w:rPr>
                <w:rFonts w:hint="eastAsia"/>
                <w:color w:val="auto"/>
                <w:lang w:val="en-US" w:eastAsia="zh-CN"/>
              </w:rPr>
              <w:t>医疗</w:t>
            </w:r>
            <w:r>
              <w:rPr>
                <w:rFonts w:hint="default"/>
                <w:color w:val="auto"/>
                <w:lang w:val="en-US" w:eastAsia="zh-CN"/>
              </w:rPr>
              <w:t>废水</w:t>
            </w:r>
            <w:r>
              <w:rPr>
                <w:rFonts w:hint="eastAsia"/>
                <w:color w:val="auto"/>
                <w:lang w:val="en-US" w:eastAsia="zh-CN"/>
              </w:rPr>
              <w:t>及</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w:t>
            </w:r>
            <w:r>
              <w:rPr>
                <w:rFonts w:hint="default"/>
                <w:color w:val="auto"/>
                <w:lang w:val="en-US" w:eastAsia="zh-CN"/>
              </w:rPr>
              <w:t>经一体化污水处理设施处理后，与</w:t>
            </w:r>
            <w:r>
              <w:rPr>
                <w:rFonts w:hint="eastAsia"/>
                <w:color w:val="auto"/>
                <w:lang w:val="en-US" w:eastAsia="zh-CN"/>
              </w:rPr>
              <w:t>生活污水</w:t>
            </w:r>
            <w:r>
              <w:rPr>
                <w:rFonts w:hint="default"/>
                <w:color w:val="auto"/>
                <w:lang w:val="en-US" w:eastAsia="zh-CN"/>
              </w:rPr>
              <w:t>汇集一起排入市政</w:t>
            </w:r>
            <w:r>
              <w:rPr>
                <w:rFonts w:hint="eastAsia"/>
                <w:color w:val="auto"/>
                <w:lang w:val="en-US" w:eastAsia="zh-CN"/>
              </w:rPr>
              <w:t>下水</w:t>
            </w:r>
            <w:r>
              <w:rPr>
                <w:rFonts w:hint="default"/>
                <w:color w:val="auto"/>
                <w:lang w:val="en-US" w:eastAsia="zh-CN"/>
              </w:rPr>
              <w:t>管网，</w:t>
            </w:r>
            <w:r>
              <w:rPr>
                <w:rFonts w:hint="eastAsia"/>
                <w:color w:val="auto"/>
                <w:lang w:val="en-US" w:eastAsia="zh-CN"/>
              </w:rPr>
              <w:t>最终进入库尔勒市老城区污水处理厂</w:t>
            </w:r>
            <w:r>
              <w:rPr>
                <w:rFonts w:hint="default"/>
                <w:color w:val="auto"/>
                <w:lang w:val="en-US" w:eastAsia="zh-CN"/>
              </w:rPr>
              <w:t>处理</w:t>
            </w:r>
            <w:r>
              <w:rPr>
                <w:rFonts w:hint="eastAsia"/>
                <w:color w:val="auto"/>
                <w:lang w:val="en-US" w:eastAsia="zh-CN"/>
              </w:rPr>
              <w:t>，该方法</w:t>
            </w:r>
            <w:r>
              <w:rPr>
                <w:rFonts w:hint="default"/>
                <w:color w:val="auto"/>
                <w:lang w:val="en-US" w:eastAsia="zh-CN"/>
              </w:rPr>
              <w:t>可行。</w:t>
            </w:r>
          </w:p>
          <w:p w14:paraId="2D476CB9">
            <w:pPr>
              <w:pStyle w:val="29"/>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r>
              <w:rPr>
                <w:rFonts w:hint="default"/>
                <w:color w:val="auto"/>
                <w:lang w:val="en-US" w:eastAsia="zh-CN"/>
              </w:rPr>
              <w:t>投药方式：本项目所使用一体化污水处理设备加药方式为人工投药，项目医疗废水为间断产生，对应消毒方式为间歇消毒方式，评价要求建设单位应在废水产生前向一体化污水处理设备中加入足够的</w:t>
            </w:r>
            <w:r>
              <w:rPr>
                <w:rFonts w:hint="eastAsia"/>
                <w:color w:val="auto"/>
                <w:lang w:val="en-US" w:eastAsia="zh-CN"/>
              </w:rPr>
              <w:t>缓释氯片</w:t>
            </w:r>
            <w:r>
              <w:rPr>
                <w:rFonts w:hint="default"/>
                <w:color w:val="auto"/>
                <w:lang w:val="en-US" w:eastAsia="zh-CN"/>
              </w:rPr>
              <w:t>。根据《医院污水处理工程技术规范》（HJ2029-2013）：</w:t>
            </w:r>
            <w:r>
              <w:rPr>
                <w:rFonts w:hint="default" w:ascii="Times New Roman" w:hAnsi="Times New Roman" w:cs="Times New Roman"/>
                <w:color w:val="auto"/>
                <w:highlight w:val="none"/>
                <w:lang w:val="en-US" w:eastAsia="zh-CN"/>
              </w:rPr>
              <w:t>一级强化处理工艺出水的参考加氯量（以有效氯计）一般为30~50mg/L，按日均废水量计算，每立方米投加4</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6g三氯异氰尿酸片</w:t>
            </w:r>
            <w:r>
              <w:rPr>
                <w:rFonts w:hint="eastAsia" w:cs="Times New Roman"/>
                <w:color w:val="auto"/>
                <w:highlight w:val="none"/>
                <w:lang w:val="en-US" w:eastAsia="zh-CN"/>
              </w:rPr>
              <w:t>（主要成分为二氧化氯），可</w:t>
            </w:r>
            <w:r>
              <w:rPr>
                <w:rFonts w:hint="default" w:ascii="Times New Roman" w:hAnsi="Times New Roman" w:cs="Times New Roman"/>
                <w:color w:val="auto"/>
                <w:highlight w:val="none"/>
                <w:lang w:val="en-US" w:eastAsia="zh-CN"/>
              </w:rPr>
              <w:t>保证消毒效果（99.99%）</w:t>
            </w:r>
            <w:r>
              <w:rPr>
                <w:rFonts w:hint="default"/>
                <w:color w:val="auto"/>
                <w:lang w:val="en-US" w:eastAsia="zh-CN"/>
              </w:rPr>
              <w:t>。</w:t>
            </w:r>
          </w:p>
          <w:p w14:paraId="6A031E3A">
            <w:pPr>
              <w:pStyle w:val="29"/>
              <w:bidi w:val="0"/>
              <w:rPr>
                <w:rFonts w:hint="default"/>
                <w:b/>
                <w:bCs w:val="0"/>
                <w:color w:val="auto"/>
                <w:lang w:val="en-US" w:eastAsia="zh-CN"/>
              </w:rPr>
            </w:pPr>
            <w:r>
              <w:rPr>
                <w:rFonts w:hint="default"/>
                <w:b/>
                <w:bCs w:val="0"/>
                <w:color w:val="auto"/>
                <w:lang w:val="en-US" w:eastAsia="zh-CN"/>
              </w:rPr>
              <w:t>对一体化污水处理设施的要求：</w:t>
            </w:r>
          </w:p>
          <w:p w14:paraId="1F03ACB9">
            <w:pPr>
              <w:pStyle w:val="29"/>
              <w:bidi w:val="0"/>
              <w:rPr>
                <w:rFonts w:hint="default"/>
                <w:color w:val="auto"/>
                <w:lang w:val="en-US" w:eastAsia="zh-CN"/>
              </w:rPr>
            </w:pPr>
            <w:r>
              <w:rPr>
                <w:rFonts w:hint="eastAsia"/>
                <w:color w:val="auto"/>
                <w:lang w:val="en-US" w:eastAsia="zh-CN"/>
              </w:rPr>
              <w:t>①</w:t>
            </w:r>
            <w:r>
              <w:rPr>
                <w:rFonts w:hint="default"/>
                <w:color w:val="auto"/>
                <w:lang w:val="en-US" w:eastAsia="zh-CN"/>
              </w:rPr>
              <w:t>消毒处理时确保药品与废水充分混合接触，反应足够时间，以杀灭出水中可能残存的病毒和细菌，确保出水满足有关指标要求。平时要加强消毒剂氯片的管理，将其暂存于阴凉通风、避光、防潮处，并密封保存。</w:t>
            </w:r>
          </w:p>
          <w:p w14:paraId="63D013CB">
            <w:pPr>
              <w:pStyle w:val="29"/>
              <w:bidi w:val="0"/>
              <w:rPr>
                <w:rFonts w:hint="default"/>
                <w:color w:val="auto"/>
                <w:lang w:val="en-US" w:eastAsia="zh-CN"/>
              </w:rPr>
            </w:pPr>
            <w:r>
              <w:rPr>
                <w:rFonts w:hint="eastAsia"/>
                <w:color w:val="auto"/>
                <w:lang w:val="en-US" w:eastAsia="zh-CN"/>
              </w:rPr>
              <w:t>②</w:t>
            </w:r>
            <w:r>
              <w:rPr>
                <w:rFonts w:hint="default"/>
                <w:color w:val="auto"/>
                <w:lang w:val="en-US" w:eastAsia="zh-CN"/>
              </w:rPr>
              <w:t>禁止建设单位漏排、偷排医疗废水。应定期对医疗废水处理设施进行维护，以免影响处理效果。</w:t>
            </w:r>
          </w:p>
          <w:p w14:paraId="694F39FA">
            <w:pPr>
              <w:pStyle w:val="29"/>
              <w:bidi w:val="0"/>
              <w:rPr>
                <w:rFonts w:hint="default"/>
                <w:color w:val="auto"/>
                <w:lang w:val="en-US" w:eastAsia="zh-CN"/>
              </w:rPr>
            </w:pPr>
            <w:r>
              <w:rPr>
                <w:rFonts w:hint="eastAsia"/>
                <w:color w:val="auto"/>
                <w:lang w:val="en-US" w:eastAsia="zh-CN"/>
              </w:rPr>
              <w:t>③</w:t>
            </w:r>
            <w:r>
              <w:rPr>
                <w:rFonts w:hint="default"/>
                <w:color w:val="auto"/>
                <w:lang w:val="en-US" w:eastAsia="zh-CN"/>
              </w:rPr>
              <w:t>严格做好医疗废水等收集工作，确保收集容器完好，收集过程不漏洒，时常检查维护废水收集管道的承插连接情况以防漏水；严格做好医疗废水处理设施所在区域防渗工作，</w:t>
            </w:r>
            <w:r>
              <w:rPr>
                <w:rFonts w:hint="eastAsia"/>
                <w:color w:val="auto"/>
                <w:lang w:val="en-US" w:eastAsia="zh-CN"/>
              </w:rPr>
              <w:t>做好</w:t>
            </w:r>
            <w:r>
              <w:rPr>
                <w:rFonts w:hint="default"/>
                <w:color w:val="auto"/>
                <w:lang w:val="en-US" w:eastAsia="zh-CN"/>
              </w:rPr>
              <w:t>重点防渗处理。</w:t>
            </w:r>
          </w:p>
          <w:p w14:paraId="54F1003B">
            <w:pPr>
              <w:pStyle w:val="29"/>
              <w:bidi w:val="0"/>
              <w:rPr>
                <w:rFonts w:hint="default"/>
                <w:color w:val="auto"/>
                <w:lang w:val="en-US" w:eastAsia="zh-CN"/>
              </w:rPr>
            </w:pPr>
            <w:r>
              <w:rPr>
                <w:rFonts w:hint="eastAsia"/>
                <w:color w:val="auto"/>
                <w:lang w:val="en-US" w:eastAsia="zh-CN"/>
              </w:rPr>
              <w:t>④</w:t>
            </w:r>
            <w:r>
              <w:rPr>
                <w:rFonts w:hint="default"/>
                <w:color w:val="auto"/>
                <w:lang w:val="en-US" w:eastAsia="zh-CN"/>
              </w:rPr>
              <w:t>制定并更新完善相关的工作制度及相应的操作流程，加强员工培训，培养员工环保意识。</w:t>
            </w:r>
          </w:p>
          <w:p w14:paraId="228C15A2">
            <w:pPr>
              <w:pStyle w:val="29"/>
              <w:bidi w:val="0"/>
              <w:rPr>
                <w:rFonts w:hint="default"/>
                <w:color w:val="auto"/>
                <w:lang w:val="en-US" w:eastAsia="zh-CN"/>
              </w:rPr>
            </w:pPr>
            <w:r>
              <w:rPr>
                <w:rFonts w:hint="eastAsia"/>
                <w:b/>
                <w:bCs w:val="0"/>
                <w:color w:val="auto"/>
                <w:lang w:val="en-US" w:eastAsia="zh-CN"/>
              </w:rPr>
              <w:t>处理规模：</w:t>
            </w:r>
            <w:r>
              <w:rPr>
                <w:rFonts w:hint="default"/>
                <w:color w:val="auto"/>
                <w:lang w:val="en-US" w:eastAsia="zh-CN"/>
              </w:rPr>
              <w:t>本项目</w:t>
            </w:r>
            <w:r>
              <w:rPr>
                <w:rFonts w:hint="eastAsia"/>
                <w:color w:val="auto"/>
                <w:lang w:val="en-US" w:eastAsia="zh-CN"/>
              </w:rPr>
              <w:t>一台</w:t>
            </w:r>
            <w:r>
              <w:rPr>
                <w:rFonts w:hint="default"/>
                <w:color w:val="auto"/>
                <w:lang w:val="en-US" w:eastAsia="zh-CN"/>
              </w:rPr>
              <w:t>一体化污水处理</w:t>
            </w:r>
            <w:r>
              <w:rPr>
                <w:rFonts w:hint="eastAsia"/>
                <w:color w:val="auto"/>
                <w:lang w:val="en-US" w:eastAsia="zh-CN"/>
              </w:rPr>
              <w:t>设施（</w:t>
            </w:r>
            <w:r>
              <w:rPr>
                <w:rFonts w:hint="default"/>
                <w:color w:val="auto"/>
                <w:lang w:val="en-US" w:eastAsia="zh-CN"/>
              </w:rPr>
              <w:t>处理规模</w:t>
            </w:r>
            <w:r>
              <w:rPr>
                <w:rFonts w:hint="eastAsia"/>
                <w:color w:val="auto"/>
                <w:lang w:val="en-US" w:eastAsia="zh-CN"/>
              </w:rPr>
              <w:t>为0.2m</w:t>
            </w:r>
            <w:r>
              <w:rPr>
                <w:rFonts w:hint="eastAsia"/>
                <w:color w:val="auto"/>
                <w:vertAlign w:val="superscript"/>
                <w:lang w:val="en-US" w:eastAsia="zh-CN"/>
              </w:rPr>
              <w:t>3</w:t>
            </w:r>
            <w:r>
              <w:rPr>
                <w:rFonts w:hint="eastAsia"/>
                <w:color w:val="auto"/>
                <w:lang w:val="en-US" w:eastAsia="zh-CN"/>
              </w:rPr>
              <w:t>/d）</w:t>
            </w:r>
            <w:r>
              <w:rPr>
                <w:rFonts w:hint="default"/>
                <w:color w:val="auto"/>
                <w:lang w:val="en-US" w:eastAsia="zh-CN"/>
              </w:rPr>
              <w:t>由液位感应系统、储药箱、混合器等组成，采用手工投加</w:t>
            </w:r>
            <w:r>
              <w:rPr>
                <w:rFonts w:hint="eastAsia"/>
                <w:color w:val="auto"/>
                <w:lang w:val="en-US" w:eastAsia="zh-CN"/>
              </w:rPr>
              <w:t>缓释氯片</w:t>
            </w:r>
            <w:r>
              <w:rPr>
                <w:rFonts w:hint="default"/>
                <w:color w:val="auto"/>
                <w:lang w:val="en-US" w:eastAsia="zh-CN"/>
              </w:rPr>
              <w:t>消毒片的消毒方式。</w:t>
            </w:r>
            <w:r>
              <w:rPr>
                <w:rFonts w:hint="eastAsia"/>
                <w:color w:val="auto"/>
                <w:lang w:val="en-US" w:eastAsia="zh-CN"/>
              </w:rPr>
              <w:t>医疗</w:t>
            </w:r>
            <w:r>
              <w:rPr>
                <w:rFonts w:hint="default"/>
                <w:color w:val="auto"/>
                <w:lang w:val="en-US" w:eastAsia="zh-CN"/>
              </w:rPr>
              <w:t>废水从清洗槽流入位于清洗槽下方的一体化污水处理设备的进水口，</w:t>
            </w:r>
            <w:r>
              <w:rPr>
                <w:rFonts w:hint="eastAsia"/>
                <w:color w:val="auto"/>
                <w:lang w:val="en-US" w:eastAsia="zh-CN"/>
              </w:rPr>
              <w:t>经过滤后</w:t>
            </w:r>
            <w:r>
              <w:rPr>
                <w:rFonts w:hint="default"/>
                <w:color w:val="auto"/>
                <w:lang w:val="en-US" w:eastAsia="zh-CN"/>
              </w:rPr>
              <w:t>再进入设备的混合器，人工投加</w:t>
            </w:r>
            <w:r>
              <w:rPr>
                <w:rFonts w:hint="eastAsia"/>
                <w:color w:val="auto"/>
                <w:lang w:val="en-US" w:eastAsia="zh-CN"/>
              </w:rPr>
              <w:t>缓释</w:t>
            </w:r>
            <w:r>
              <w:rPr>
                <w:rFonts w:hint="default"/>
                <w:color w:val="auto"/>
                <w:lang w:val="en-US" w:eastAsia="zh-CN"/>
              </w:rPr>
              <w:t>消毒</w:t>
            </w:r>
            <w:r>
              <w:rPr>
                <w:rFonts w:hint="eastAsia"/>
                <w:color w:val="auto"/>
                <w:lang w:val="en-US" w:eastAsia="zh-CN"/>
              </w:rPr>
              <w:t>氯</w:t>
            </w:r>
            <w:r>
              <w:rPr>
                <w:rFonts w:hint="default"/>
                <w:color w:val="auto"/>
                <w:lang w:val="en-US" w:eastAsia="zh-CN"/>
              </w:rPr>
              <w:t>片后与污水接触时间大于</w:t>
            </w:r>
            <w:r>
              <w:rPr>
                <w:rFonts w:hint="eastAsia"/>
                <w:color w:val="auto"/>
                <w:lang w:val="en-US" w:eastAsia="zh-CN"/>
              </w:rPr>
              <w:t>1小时</w:t>
            </w:r>
            <w:r>
              <w:rPr>
                <w:rFonts w:hint="default"/>
                <w:color w:val="auto"/>
                <w:lang w:val="en-US" w:eastAsia="zh-CN"/>
              </w:rPr>
              <w:t>后排放。本项目医疗废水</w:t>
            </w:r>
            <w:r>
              <w:rPr>
                <w:rFonts w:hint="eastAsia"/>
                <w:color w:val="auto"/>
                <w:lang w:val="en-US" w:eastAsia="zh-CN"/>
              </w:rPr>
              <w:t>及</w:t>
            </w:r>
            <w:r>
              <w:rPr>
                <w:rFonts w:hint="eastAsia"/>
                <w:lang w:val="en-US" w:eastAsia="zh-CN"/>
              </w:rPr>
              <w:t>清洗消毒废水</w:t>
            </w:r>
            <w:r>
              <w:rPr>
                <w:rFonts w:hint="default"/>
                <w:color w:val="auto"/>
                <w:lang w:val="en-US" w:eastAsia="zh-CN"/>
              </w:rPr>
              <w:t>产生量约0.</w:t>
            </w:r>
            <w:r>
              <w:rPr>
                <w:rFonts w:hint="eastAsia"/>
                <w:color w:val="auto"/>
                <w:lang w:val="en-US" w:eastAsia="zh-CN"/>
              </w:rPr>
              <w:t>1072m</w:t>
            </w:r>
            <w:r>
              <w:rPr>
                <w:rFonts w:hint="eastAsia"/>
                <w:color w:val="auto"/>
                <w:vertAlign w:val="superscript"/>
                <w:lang w:val="en-US" w:eastAsia="zh-CN"/>
              </w:rPr>
              <w:t>3</w:t>
            </w:r>
            <w:r>
              <w:rPr>
                <w:rFonts w:hint="eastAsia"/>
                <w:color w:val="auto"/>
                <w:lang w:val="en-US" w:eastAsia="zh-CN"/>
              </w:rPr>
              <w:t>/d，由位于处置室的一体化污水处理设施（</w:t>
            </w:r>
            <w:r>
              <w:rPr>
                <w:rFonts w:hint="default"/>
                <w:color w:val="auto"/>
                <w:lang w:val="en-US" w:eastAsia="zh-CN"/>
              </w:rPr>
              <w:t>处理规模</w:t>
            </w:r>
            <w:r>
              <w:rPr>
                <w:rFonts w:hint="eastAsia"/>
                <w:color w:val="auto"/>
                <w:lang w:val="en-US" w:eastAsia="zh-CN"/>
              </w:rPr>
              <w:t>0.2m</w:t>
            </w:r>
            <w:r>
              <w:rPr>
                <w:rFonts w:hint="eastAsia"/>
                <w:color w:val="auto"/>
                <w:vertAlign w:val="superscript"/>
                <w:lang w:val="en-US" w:eastAsia="zh-CN"/>
              </w:rPr>
              <w:t>3</w:t>
            </w:r>
            <w:r>
              <w:rPr>
                <w:rFonts w:hint="eastAsia"/>
                <w:color w:val="auto"/>
                <w:lang w:val="en-US" w:eastAsia="zh-CN"/>
              </w:rPr>
              <w:t>/d）进行处理</w:t>
            </w:r>
            <w:r>
              <w:rPr>
                <w:rFonts w:hint="default"/>
                <w:color w:val="auto"/>
                <w:lang w:val="en-US" w:eastAsia="zh-CN"/>
              </w:rPr>
              <w:t>，故</w:t>
            </w:r>
            <w:r>
              <w:rPr>
                <w:rFonts w:hint="eastAsia"/>
                <w:color w:val="auto"/>
                <w:lang w:val="en-US" w:eastAsia="zh-CN"/>
              </w:rPr>
              <w:t>一体化污水处理设施</w:t>
            </w:r>
            <w:r>
              <w:rPr>
                <w:rFonts w:hint="default"/>
                <w:color w:val="auto"/>
                <w:lang w:val="en-US" w:eastAsia="zh-CN"/>
              </w:rPr>
              <w:t>处理规模可满足本项目需求。</w:t>
            </w:r>
          </w:p>
          <w:p w14:paraId="504A032A">
            <w:pPr>
              <w:jc w:val="center"/>
              <w:rPr>
                <w:rFonts w:hint="default"/>
                <w:color w:val="auto"/>
                <w:lang w:val="en-US" w:eastAsia="zh-CN"/>
              </w:rPr>
            </w:pPr>
            <w:r>
              <w:rPr>
                <w:rFonts w:hint="default"/>
                <w:color w:val="auto"/>
                <w:lang w:val="en-US" w:eastAsia="zh-CN"/>
              </w:rPr>
              <w:drawing>
                <wp:inline distT="0" distB="0" distL="114300" distR="114300">
                  <wp:extent cx="3596640" cy="2353945"/>
                  <wp:effectExtent l="0" t="0" r="3810" b="8255"/>
                  <wp:docPr id="12" name="图片 1" descr="171706711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1717067112774"/>
                          <pic:cNvPicPr>
                            <a:picLocks noChangeAspect="1"/>
                          </pic:cNvPicPr>
                        </pic:nvPicPr>
                        <pic:blipFill>
                          <a:blip r:embed="rId19"/>
                          <a:srcRect l="4559"/>
                          <a:stretch>
                            <a:fillRect/>
                          </a:stretch>
                        </pic:blipFill>
                        <pic:spPr>
                          <a:xfrm>
                            <a:off x="0" y="0"/>
                            <a:ext cx="3596640" cy="2353945"/>
                          </a:xfrm>
                          <a:prstGeom prst="rect">
                            <a:avLst/>
                          </a:prstGeom>
                          <a:noFill/>
                          <a:ln>
                            <a:noFill/>
                          </a:ln>
                        </pic:spPr>
                      </pic:pic>
                    </a:graphicData>
                  </a:graphic>
                </wp:inline>
              </w:drawing>
            </w:r>
          </w:p>
          <w:p w14:paraId="4EC63C6D">
            <w:pPr>
              <w:pStyle w:val="22"/>
              <w:bidi w:val="0"/>
              <w:ind w:left="0" w:leftChars="0" w:firstLine="0" w:firstLineChars="0"/>
              <w:jc w:val="center"/>
              <w:rPr>
                <w:rFonts w:hint="default"/>
                <w:color w:val="auto"/>
                <w:lang w:val="en-US" w:eastAsia="zh-CN"/>
              </w:rPr>
            </w:pPr>
            <w:r>
              <w:rPr>
                <w:rFonts w:hint="eastAsia"/>
                <w:color w:val="auto"/>
                <w:lang w:val="en-US" w:eastAsia="zh-CN"/>
              </w:rPr>
              <w:t>图4-1</w:t>
            </w:r>
            <w:r>
              <w:rPr>
                <w:rFonts w:hint="default"/>
                <w:color w:val="auto"/>
                <w:lang w:val="en-US" w:eastAsia="zh-CN"/>
              </w:rPr>
              <w:t xml:space="preserve">  </w:t>
            </w:r>
            <w:r>
              <w:rPr>
                <w:rFonts w:hint="eastAsia"/>
                <w:color w:val="auto"/>
                <w:lang w:val="en-US" w:eastAsia="zh-CN"/>
              </w:rPr>
              <w:t>一体化污水处理设施工艺图</w:t>
            </w:r>
          </w:p>
          <w:p w14:paraId="24DE1314">
            <w:pPr>
              <w:pStyle w:val="29"/>
              <w:bidi w:val="0"/>
              <w:rPr>
                <w:color w:val="auto"/>
              </w:rPr>
            </w:pPr>
            <w:r>
              <w:rPr>
                <w:rFonts w:hint="eastAsia"/>
                <w:color w:val="auto"/>
                <w:lang w:val="en-US" w:eastAsia="zh-CN"/>
              </w:rPr>
              <w:t>（2）</w:t>
            </w:r>
            <w:r>
              <w:rPr>
                <w:rFonts w:hint="default"/>
                <w:color w:val="auto"/>
                <w:lang w:val="en-US" w:eastAsia="zh-CN"/>
              </w:rPr>
              <w:t>建设项</w:t>
            </w:r>
            <w:r>
              <w:rPr>
                <w:rFonts w:hint="eastAsia"/>
                <w:color w:val="auto"/>
                <w:lang w:val="en-US" w:eastAsia="zh-CN"/>
              </w:rPr>
              <w:t>目污染物排放信息表</w:t>
            </w:r>
            <w:r>
              <w:rPr>
                <w:color w:val="auto"/>
              </w:rPr>
              <w:t xml:space="preserve"> </w:t>
            </w:r>
          </w:p>
          <w:p w14:paraId="2FD7BCC0">
            <w:pPr>
              <w:pStyle w:val="29"/>
              <w:bidi w:val="0"/>
              <w:rPr>
                <w:rFonts w:hint="eastAsia"/>
                <w:color w:val="auto"/>
                <w:lang w:val="en-US" w:eastAsia="zh-CN"/>
              </w:rPr>
            </w:pPr>
            <w:r>
              <w:rPr>
                <w:rFonts w:hint="eastAsia"/>
                <w:color w:val="auto"/>
                <w:lang w:val="en-US" w:eastAsia="zh-CN"/>
              </w:rPr>
              <w:t>废水类别、污染物及污染治理设施信息见下表。</w:t>
            </w:r>
          </w:p>
          <w:p w14:paraId="009EC851">
            <w:pPr>
              <w:pStyle w:val="22"/>
              <w:bidi w:val="0"/>
              <w:ind w:left="0" w:leftChars="0" w:firstLine="0" w:firstLineChars="0"/>
              <w:jc w:val="center"/>
              <w:rPr>
                <w:rFonts w:hint="eastAsia"/>
                <w:color w:val="auto"/>
                <w:lang w:val="en-US" w:eastAsia="zh-CN"/>
              </w:rPr>
            </w:pPr>
            <w:r>
              <w:rPr>
                <w:rFonts w:hint="eastAsia"/>
                <w:color w:val="auto"/>
                <w:lang w:eastAsia="zh-CN"/>
              </w:rPr>
              <w:t>表4-</w:t>
            </w:r>
            <w:r>
              <w:rPr>
                <w:rFonts w:hint="eastAsia"/>
                <w:color w:val="auto"/>
                <w:lang w:val="en-US" w:eastAsia="zh-CN"/>
              </w:rPr>
              <w:t>4   废水类别、污染物及污染治理设施信息</w:t>
            </w:r>
          </w:p>
          <w:tbl>
            <w:tblPr>
              <w:tblStyle w:val="15"/>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110"/>
              <w:gridCol w:w="717"/>
              <w:gridCol w:w="752"/>
              <w:gridCol w:w="1124"/>
              <w:gridCol w:w="643"/>
              <w:gridCol w:w="669"/>
              <w:gridCol w:w="921"/>
              <w:gridCol w:w="864"/>
              <w:gridCol w:w="741"/>
            </w:tblGrid>
            <w:tr w14:paraId="5EA2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dxa"/>
                  <w:vMerge w:val="restart"/>
                  <w:noWrap w:val="0"/>
                  <w:vAlign w:val="center"/>
                </w:tcPr>
                <w:p w14:paraId="7B240087">
                  <w:pPr>
                    <w:pStyle w:val="28"/>
                    <w:widowControl w:val="0"/>
                    <w:bidi w:val="0"/>
                    <w:rPr>
                      <w:rFonts w:hint="default"/>
                      <w:b/>
                      <w:bCs w:val="0"/>
                      <w:color w:val="auto"/>
                      <w:lang w:val="en-US" w:eastAsia="zh-CN"/>
                    </w:rPr>
                  </w:pPr>
                  <w:r>
                    <w:rPr>
                      <w:rFonts w:hint="eastAsia"/>
                      <w:b/>
                      <w:bCs w:val="0"/>
                      <w:color w:val="auto"/>
                      <w:lang w:val="en-US" w:eastAsia="zh-CN"/>
                    </w:rPr>
                    <w:t>废水类别</w:t>
                  </w:r>
                </w:p>
              </w:tc>
              <w:tc>
                <w:tcPr>
                  <w:tcW w:w="1110" w:type="dxa"/>
                  <w:vMerge w:val="restart"/>
                  <w:noWrap w:val="0"/>
                  <w:vAlign w:val="center"/>
                </w:tcPr>
                <w:p w14:paraId="12FAC0C4">
                  <w:pPr>
                    <w:pStyle w:val="28"/>
                    <w:widowControl w:val="0"/>
                    <w:bidi w:val="0"/>
                    <w:rPr>
                      <w:rFonts w:hint="default"/>
                      <w:b/>
                      <w:bCs w:val="0"/>
                      <w:color w:val="auto"/>
                      <w:lang w:val="en-US" w:eastAsia="zh-CN"/>
                    </w:rPr>
                  </w:pPr>
                  <w:r>
                    <w:rPr>
                      <w:rFonts w:hint="eastAsia"/>
                      <w:b/>
                      <w:bCs w:val="0"/>
                      <w:color w:val="auto"/>
                      <w:lang w:val="en-US" w:eastAsia="zh-CN"/>
                    </w:rPr>
                    <w:t>污染物</w:t>
                  </w:r>
                </w:p>
              </w:tc>
              <w:tc>
                <w:tcPr>
                  <w:tcW w:w="717" w:type="dxa"/>
                  <w:vMerge w:val="restart"/>
                  <w:noWrap w:val="0"/>
                  <w:vAlign w:val="center"/>
                </w:tcPr>
                <w:p w14:paraId="37FEEF37">
                  <w:pPr>
                    <w:pStyle w:val="28"/>
                    <w:widowControl w:val="0"/>
                    <w:bidi w:val="0"/>
                    <w:rPr>
                      <w:rFonts w:hint="default"/>
                      <w:b/>
                      <w:bCs w:val="0"/>
                      <w:color w:val="auto"/>
                      <w:lang w:val="en-US" w:eastAsia="zh-CN"/>
                    </w:rPr>
                  </w:pPr>
                  <w:r>
                    <w:rPr>
                      <w:rFonts w:hint="eastAsia"/>
                      <w:b/>
                      <w:bCs w:val="0"/>
                      <w:color w:val="auto"/>
                      <w:lang w:val="en-US" w:eastAsia="zh-CN"/>
                    </w:rPr>
                    <w:t>排放去向</w:t>
                  </w:r>
                </w:p>
              </w:tc>
              <w:tc>
                <w:tcPr>
                  <w:tcW w:w="752" w:type="dxa"/>
                  <w:vMerge w:val="restart"/>
                  <w:noWrap w:val="0"/>
                  <w:vAlign w:val="center"/>
                </w:tcPr>
                <w:p w14:paraId="0C84ECFD">
                  <w:pPr>
                    <w:pStyle w:val="28"/>
                    <w:widowControl w:val="0"/>
                    <w:bidi w:val="0"/>
                    <w:rPr>
                      <w:rFonts w:hint="default"/>
                      <w:b/>
                      <w:bCs w:val="0"/>
                      <w:color w:val="auto"/>
                      <w:lang w:val="en-US" w:eastAsia="zh-CN"/>
                    </w:rPr>
                  </w:pPr>
                  <w:r>
                    <w:rPr>
                      <w:rFonts w:hint="eastAsia"/>
                      <w:b/>
                      <w:bCs w:val="0"/>
                      <w:color w:val="auto"/>
                      <w:lang w:val="en-US" w:eastAsia="zh-CN"/>
                    </w:rPr>
                    <w:t>排放规律</w:t>
                  </w:r>
                </w:p>
              </w:tc>
              <w:tc>
                <w:tcPr>
                  <w:tcW w:w="2436" w:type="dxa"/>
                  <w:gridSpan w:val="3"/>
                  <w:noWrap w:val="0"/>
                  <w:vAlign w:val="top"/>
                </w:tcPr>
                <w:p w14:paraId="2B08894F">
                  <w:pPr>
                    <w:pStyle w:val="28"/>
                    <w:widowControl w:val="0"/>
                    <w:bidi w:val="0"/>
                    <w:rPr>
                      <w:rFonts w:hint="default"/>
                      <w:b/>
                      <w:bCs w:val="0"/>
                      <w:color w:val="auto"/>
                      <w:lang w:val="en-US" w:eastAsia="zh-CN"/>
                    </w:rPr>
                  </w:pPr>
                  <w:r>
                    <w:rPr>
                      <w:rFonts w:hint="eastAsia"/>
                      <w:b/>
                      <w:bCs w:val="0"/>
                      <w:color w:val="auto"/>
                      <w:lang w:val="en-US" w:eastAsia="zh-CN"/>
                    </w:rPr>
                    <w:t>污染治理设施</w:t>
                  </w:r>
                </w:p>
              </w:tc>
              <w:tc>
                <w:tcPr>
                  <w:tcW w:w="921" w:type="dxa"/>
                  <w:vMerge w:val="restart"/>
                  <w:noWrap w:val="0"/>
                  <w:vAlign w:val="center"/>
                </w:tcPr>
                <w:p w14:paraId="7E7A4D13">
                  <w:pPr>
                    <w:pStyle w:val="28"/>
                    <w:widowControl w:val="0"/>
                    <w:bidi w:val="0"/>
                    <w:rPr>
                      <w:rFonts w:hint="default"/>
                      <w:b/>
                      <w:bCs w:val="0"/>
                      <w:color w:val="auto"/>
                      <w:lang w:val="en-US" w:eastAsia="zh-CN"/>
                    </w:rPr>
                  </w:pPr>
                  <w:r>
                    <w:rPr>
                      <w:rFonts w:hint="eastAsia"/>
                      <w:b/>
                      <w:bCs w:val="0"/>
                      <w:color w:val="auto"/>
                      <w:lang w:val="en-US" w:eastAsia="zh-CN"/>
                    </w:rPr>
                    <w:t>排放口编号</w:t>
                  </w:r>
                </w:p>
              </w:tc>
              <w:tc>
                <w:tcPr>
                  <w:tcW w:w="864" w:type="dxa"/>
                  <w:vMerge w:val="restart"/>
                  <w:noWrap w:val="0"/>
                  <w:vAlign w:val="center"/>
                </w:tcPr>
                <w:p w14:paraId="042F5847">
                  <w:pPr>
                    <w:pStyle w:val="28"/>
                    <w:widowControl w:val="0"/>
                    <w:bidi w:val="0"/>
                    <w:rPr>
                      <w:rFonts w:hint="default"/>
                      <w:b/>
                      <w:bCs w:val="0"/>
                      <w:color w:val="auto"/>
                      <w:lang w:val="en-US" w:eastAsia="zh-CN"/>
                    </w:rPr>
                  </w:pPr>
                  <w:r>
                    <w:rPr>
                      <w:rFonts w:hint="eastAsia"/>
                      <w:b/>
                      <w:bCs w:val="0"/>
                      <w:color w:val="auto"/>
                      <w:lang w:val="en-US" w:eastAsia="zh-CN"/>
                    </w:rPr>
                    <w:t>排放口设置是否符合要求</w:t>
                  </w:r>
                </w:p>
              </w:tc>
              <w:tc>
                <w:tcPr>
                  <w:tcW w:w="741" w:type="dxa"/>
                  <w:vMerge w:val="restart"/>
                  <w:noWrap w:val="0"/>
                  <w:vAlign w:val="center"/>
                </w:tcPr>
                <w:p w14:paraId="7141819F">
                  <w:pPr>
                    <w:pStyle w:val="28"/>
                    <w:widowControl w:val="0"/>
                    <w:bidi w:val="0"/>
                    <w:rPr>
                      <w:rFonts w:hint="default"/>
                      <w:b/>
                      <w:bCs w:val="0"/>
                      <w:color w:val="auto"/>
                      <w:lang w:val="en-US" w:eastAsia="zh-CN"/>
                    </w:rPr>
                  </w:pPr>
                  <w:r>
                    <w:rPr>
                      <w:rFonts w:hint="eastAsia"/>
                      <w:b/>
                      <w:bCs w:val="0"/>
                      <w:color w:val="auto"/>
                      <w:lang w:val="en-US" w:eastAsia="zh-CN"/>
                    </w:rPr>
                    <w:t>排放口类型</w:t>
                  </w:r>
                </w:p>
              </w:tc>
            </w:tr>
            <w:tr w14:paraId="2EA3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dxa"/>
                  <w:vMerge w:val="continue"/>
                  <w:noWrap w:val="0"/>
                  <w:vAlign w:val="top"/>
                </w:tcPr>
                <w:p w14:paraId="18041CFF">
                  <w:pPr>
                    <w:pStyle w:val="28"/>
                    <w:widowControl w:val="0"/>
                    <w:bidi w:val="0"/>
                    <w:rPr>
                      <w:rFonts w:hint="default"/>
                      <w:color w:val="auto"/>
                      <w:lang w:val="en-US" w:eastAsia="zh-CN"/>
                    </w:rPr>
                  </w:pPr>
                </w:p>
              </w:tc>
              <w:tc>
                <w:tcPr>
                  <w:tcW w:w="1110" w:type="dxa"/>
                  <w:vMerge w:val="continue"/>
                  <w:noWrap w:val="0"/>
                  <w:vAlign w:val="top"/>
                </w:tcPr>
                <w:p w14:paraId="20E7D992">
                  <w:pPr>
                    <w:pStyle w:val="28"/>
                    <w:widowControl w:val="0"/>
                    <w:bidi w:val="0"/>
                    <w:rPr>
                      <w:rFonts w:hint="default"/>
                      <w:color w:val="auto"/>
                      <w:lang w:val="en-US" w:eastAsia="zh-CN"/>
                    </w:rPr>
                  </w:pPr>
                </w:p>
              </w:tc>
              <w:tc>
                <w:tcPr>
                  <w:tcW w:w="717" w:type="dxa"/>
                  <w:vMerge w:val="continue"/>
                  <w:noWrap w:val="0"/>
                  <w:vAlign w:val="top"/>
                </w:tcPr>
                <w:p w14:paraId="7EA78C9C">
                  <w:pPr>
                    <w:pStyle w:val="28"/>
                    <w:widowControl w:val="0"/>
                    <w:bidi w:val="0"/>
                    <w:rPr>
                      <w:rFonts w:hint="default"/>
                      <w:color w:val="auto"/>
                      <w:lang w:val="en-US" w:eastAsia="zh-CN"/>
                    </w:rPr>
                  </w:pPr>
                </w:p>
              </w:tc>
              <w:tc>
                <w:tcPr>
                  <w:tcW w:w="752" w:type="dxa"/>
                  <w:vMerge w:val="continue"/>
                  <w:noWrap w:val="0"/>
                  <w:vAlign w:val="top"/>
                </w:tcPr>
                <w:p w14:paraId="6BD51F36">
                  <w:pPr>
                    <w:pStyle w:val="28"/>
                    <w:widowControl w:val="0"/>
                    <w:bidi w:val="0"/>
                    <w:rPr>
                      <w:rFonts w:hint="default"/>
                      <w:color w:val="auto"/>
                      <w:lang w:val="en-US" w:eastAsia="zh-CN"/>
                    </w:rPr>
                  </w:pPr>
                </w:p>
              </w:tc>
              <w:tc>
                <w:tcPr>
                  <w:tcW w:w="1124" w:type="dxa"/>
                  <w:noWrap w:val="0"/>
                  <w:vAlign w:val="top"/>
                </w:tcPr>
                <w:p w14:paraId="745A625A">
                  <w:pPr>
                    <w:pStyle w:val="28"/>
                    <w:widowControl w:val="0"/>
                    <w:bidi w:val="0"/>
                    <w:rPr>
                      <w:rFonts w:hint="default"/>
                      <w:b/>
                      <w:bCs w:val="0"/>
                      <w:color w:val="auto"/>
                      <w:lang w:val="en-US" w:eastAsia="zh-CN"/>
                    </w:rPr>
                  </w:pPr>
                  <w:r>
                    <w:rPr>
                      <w:rFonts w:hint="eastAsia"/>
                      <w:b/>
                      <w:bCs w:val="0"/>
                      <w:color w:val="auto"/>
                      <w:lang w:val="en-US" w:eastAsia="zh-CN"/>
                    </w:rPr>
                    <w:t>编号</w:t>
                  </w:r>
                </w:p>
              </w:tc>
              <w:tc>
                <w:tcPr>
                  <w:tcW w:w="643" w:type="dxa"/>
                  <w:noWrap w:val="0"/>
                  <w:vAlign w:val="top"/>
                </w:tcPr>
                <w:p w14:paraId="574869DD">
                  <w:pPr>
                    <w:pStyle w:val="28"/>
                    <w:widowControl w:val="0"/>
                    <w:bidi w:val="0"/>
                    <w:rPr>
                      <w:rFonts w:hint="default"/>
                      <w:b/>
                      <w:bCs w:val="0"/>
                      <w:color w:val="auto"/>
                      <w:lang w:val="en-US" w:eastAsia="zh-CN"/>
                    </w:rPr>
                  </w:pPr>
                  <w:r>
                    <w:rPr>
                      <w:rFonts w:hint="eastAsia"/>
                      <w:b/>
                      <w:bCs w:val="0"/>
                      <w:color w:val="auto"/>
                      <w:lang w:val="en-US" w:eastAsia="zh-CN"/>
                    </w:rPr>
                    <w:t>名称</w:t>
                  </w:r>
                </w:p>
              </w:tc>
              <w:tc>
                <w:tcPr>
                  <w:tcW w:w="669" w:type="dxa"/>
                  <w:noWrap w:val="0"/>
                  <w:vAlign w:val="top"/>
                </w:tcPr>
                <w:p w14:paraId="0E0E32AB">
                  <w:pPr>
                    <w:pStyle w:val="28"/>
                    <w:widowControl w:val="0"/>
                    <w:bidi w:val="0"/>
                    <w:rPr>
                      <w:rFonts w:hint="default"/>
                      <w:b/>
                      <w:bCs w:val="0"/>
                      <w:color w:val="auto"/>
                      <w:lang w:val="en-US" w:eastAsia="zh-CN"/>
                    </w:rPr>
                  </w:pPr>
                  <w:r>
                    <w:rPr>
                      <w:rFonts w:hint="eastAsia"/>
                      <w:b/>
                      <w:bCs w:val="0"/>
                      <w:color w:val="auto"/>
                      <w:lang w:val="en-US" w:eastAsia="zh-CN"/>
                    </w:rPr>
                    <w:t>工艺</w:t>
                  </w:r>
                </w:p>
              </w:tc>
              <w:tc>
                <w:tcPr>
                  <w:tcW w:w="921" w:type="dxa"/>
                  <w:vMerge w:val="continue"/>
                  <w:noWrap w:val="0"/>
                  <w:vAlign w:val="top"/>
                </w:tcPr>
                <w:p w14:paraId="783B62F7">
                  <w:pPr>
                    <w:pStyle w:val="28"/>
                    <w:widowControl w:val="0"/>
                    <w:bidi w:val="0"/>
                    <w:rPr>
                      <w:rFonts w:hint="default"/>
                      <w:color w:val="auto"/>
                      <w:lang w:val="en-US" w:eastAsia="zh-CN"/>
                    </w:rPr>
                  </w:pPr>
                </w:p>
              </w:tc>
              <w:tc>
                <w:tcPr>
                  <w:tcW w:w="864" w:type="dxa"/>
                  <w:vMerge w:val="continue"/>
                  <w:noWrap w:val="0"/>
                  <w:vAlign w:val="top"/>
                </w:tcPr>
                <w:p w14:paraId="1737F42B">
                  <w:pPr>
                    <w:pStyle w:val="28"/>
                    <w:widowControl w:val="0"/>
                    <w:bidi w:val="0"/>
                    <w:rPr>
                      <w:rFonts w:hint="default"/>
                      <w:color w:val="auto"/>
                      <w:lang w:val="en-US" w:eastAsia="zh-CN"/>
                    </w:rPr>
                  </w:pPr>
                </w:p>
              </w:tc>
              <w:tc>
                <w:tcPr>
                  <w:tcW w:w="741" w:type="dxa"/>
                  <w:vMerge w:val="continue"/>
                  <w:noWrap w:val="0"/>
                  <w:vAlign w:val="top"/>
                </w:tcPr>
                <w:p w14:paraId="265E7DB0">
                  <w:pPr>
                    <w:pStyle w:val="28"/>
                    <w:widowControl w:val="0"/>
                    <w:bidi w:val="0"/>
                    <w:rPr>
                      <w:rFonts w:hint="default"/>
                      <w:color w:val="auto"/>
                      <w:lang w:val="en-US" w:eastAsia="zh-CN"/>
                    </w:rPr>
                  </w:pPr>
                </w:p>
              </w:tc>
            </w:tr>
            <w:tr w14:paraId="413B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679" w:type="dxa"/>
                  <w:noWrap w:val="0"/>
                  <w:vAlign w:val="center"/>
                </w:tcPr>
                <w:p w14:paraId="14F47371">
                  <w:pPr>
                    <w:pStyle w:val="28"/>
                    <w:widowControl w:val="0"/>
                    <w:bidi w:val="0"/>
                    <w:rPr>
                      <w:rFonts w:hint="default"/>
                      <w:color w:val="auto"/>
                      <w:lang w:val="en-US" w:eastAsia="zh-CN"/>
                    </w:rPr>
                  </w:pPr>
                  <w:r>
                    <w:rPr>
                      <w:rFonts w:hint="eastAsia"/>
                      <w:color w:val="auto"/>
                      <w:lang w:val="en-US" w:eastAsia="zh-CN"/>
                    </w:rPr>
                    <w:t>医疗废水</w:t>
                  </w:r>
                </w:p>
              </w:tc>
              <w:tc>
                <w:tcPr>
                  <w:tcW w:w="1110" w:type="dxa"/>
                  <w:vMerge w:val="restart"/>
                  <w:noWrap w:val="0"/>
                  <w:vAlign w:val="center"/>
                </w:tcPr>
                <w:p w14:paraId="3C627673">
                  <w:pPr>
                    <w:pStyle w:val="28"/>
                    <w:widowControl w:val="0"/>
                    <w:bidi w:val="0"/>
                    <w:rPr>
                      <w:rFonts w:hint="default"/>
                      <w:color w:val="auto"/>
                      <w:lang w:val="en-US" w:eastAsia="zh-CN"/>
                    </w:rPr>
                  </w:pPr>
                  <w:r>
                    <w:rPr>
                      <w:rFonts w:hint="eastAsia"/>
                      <w:color w:val="auto"/>
                      <w:lang w:val="en-US" w:eastAsia="zh-CN"/>
                    </w:rPr>
                    <w:t>COD、BOD</w:t>
                  </w:r>
                  <w:r>
                    <w:rPr>
                      <w:rFonts w:hint="eastAsia"/>
                      <w:color w:val="auto"/>
                      <w:vertAlign w:val="subscript"/>
                      <w:lang w:val="en-US" w:eastAsia="zh-CN"/>
                    </w:rPr>
                    <w:t>5</w:t>
                  </w:r>
                  <w:r>
                    <w:rPr>
                      <w:rFonts w:hint="eastAsia"/>
                      <w:color w:val="auto"/>
                      <w:lang w:val="en-US" w:eastAsia="zh-CN"/>
                    </w:rPr>
                    <w:t>、SS、氨氮、粪大肠菌群、总余氯</w:t>
                  </w:r>
                </w:p>
              </w:tc>
              <w:tc>
                <w:tcPr>
                  <w:tcW w:w="717" w:type="dxa"/>
                  <w:vMerge w:val="restart"/>
                  <w:noWrap w:val="0"/>
                  <w:vAlign w:val="center"/>
                </w:tcPr>
                <w:p w14:paraId="51D47387">
                  <w:pPr>
                    <w:pStyle w:val="28"/>
                    <w:widowControl w:val="0"/>
                    <w:bidi w:val="0"/>
                    <w:rPr>
                      <w:rFonts w:hint="default"/>
                      <w:color w:val="auto"/>
                      <w:lang w:val="en-US" w:eastAsia="zh-CN"/>
                    </w:rPr>
                  </w:pPr>
                  <w:r>
                    <w:rPr>
                      <w:rFonts w:hint="eastAsia"/>
                      <w:color w:val="auto"/>
                      <w:lang w:val="en-US" w:eastAsia="zh-CN"/>
                    </w:rPr>
                    <w:t>进入城市污水管网</w:t>
                  </w:r>
                </w:p>
              </w:tc>
              <w:tc>
                <w:tcPr>
                  <w:tcW w:w="752" w:type="dxa"/>
                  <w:vMerge w:val="restart"/>
                  <w:noWrap w:val="0"/>
                  <w:vAlign w:val="center"/>
                </w:tcPr>
                <w:p w14:paraId="67D27E67">
                  <w:pPr>
                    <w:pStyle w:val="28"/>
                    <w:widowControl w:val="0"/>
                    <w:bidi w:val="0"/>
                    <w:rPr>
                      <w:rFonts w:hint="default"/>
                      <w:color w:val="auto"/>
                      <w:lang w:val="en-US" w:eastAsia="zh-CN"/>
                    </w:rPr>
                  </w:pPr>
                  <w:r>
                    <w:rPr>
                      <w:rFonts w:hint="eastAsia"/>
                      <w:color w:val="auto"/>
                      <w:lang w:val="en-US" w:eastAsia="zh-CN"/>
                    </w:rPr>
                    <w:t>间断排放，排放期间流量不稳定且无规律，但不属于冲击型排放</w:t>
                  </w:r>
                </w:p>
              </w:tc>
              <w:tc>
                <w:tcPr>
                  <w:tcW w:w="1124" w:type="dxa"/>
                  <w:vMerge w:val="restart"/>
                  <w:noWrap w:val="0"/>
                  <w:vAlign w:val="center"/>
                </w:tcPr>
                <w:p w14:paraId="64AB35B7">
                  <w:pPr>
                    <w:pStyle w:val="28"/>
                    <w:widowControl w:val="0"/>
                    <w:bidi w:val="0"/>
                    <w:rPr>
                      <w:rFonts w:hint="default"/>
                      <w:color w:val="auto"/>
                      <w:lang w:val="en-US" w:eastAsia="zh-CN"/>
                    </w:rPr>
                  </w:pPr>
                  <w:r>
                    <w:rPr>
                      <w:rFonts w:hint="eastAsia"/>
                      <w:color w:val="auto"/>
                      <w:lang w:val="en-US" w:eastAsia="zh-CN"/>
                    </w:rPr>
                    <w:t>TW001</w:t>
                  </w:r>
                </w:p>
              </w:tc>
              <w:tc>
                <w:tcPr>
                  <w:tcW w:w="643" w:type="dxa"/>
                  <w:vMerge w:val="restart"/>
                  <w:noWrap w:val="0"/>
                  <w:vAlign w:val="center"/>
                </w:tcPr>
                <w:p w14:paraId="225B248D">
                  <w:pPr>
                    <w:pStyle w:val="28"/>
                    <w:widowControl w:val="0"/>
                    <w:bidi w:val="0"/>
                    <w:rPr>
                      <w:rFonts w:hint="default"/>
                      <w:color w:val="auto"/>
                      <w:lang w:val="en-US" w:eastAsia="zh-CN"/>
                    </w:rPr>
                  </w:pPr>
                  <w:r>
                    <w:rPr>
                      <w:rFonts w:hint="eastAsia"/>
                      <w:color w:val="auto"/>
                      <w:lang w:val="en-US" w:eastAsia="zh-CN"/>
                    </w:rPr>
                    <w:t>一体化污水处理设施</w:t>
                  </w:r>
                </w:p>
              </w:tc>
              <w:tc>
                <w:tcPr>
                  <w:tcW w:w="669" w:type="dxa"/>
                  <w:vMerge w:val="restart"/>
                  <w:noWrap w:val="0"/>
                  <w:vAlign w:val="center"/>
                </w:tcPr>
                <w:p w14:paraId="2532FD91">
                  <w:pPr>
                    <w:pStyle w:val="28"/>
                    <w:widowControl w:val="0"/>
                    <w:bidi w:val="0"/>
                    <w:rPr>
                      <w:rFonts w:hint="eastAsia"/>
                      <w:color w:val="auto"/>
                      <w:lang w:val="en-US" w:eastAsia="zh-CN"/>
                    </w:rPr>
                  </w:pPr>
                  <w:r>
                    <w:rPr>
                      <w:rFonts w:hint="eastAsia"/>
                      <w:color w:val="auto"/>
                      <w:lang w:val="en-US" w:eastAsia="zh-CN"/>
                    </w:rPr>
                    <w:t>滤筛+氯片消毒</w:t>
                  </w:r>
                </w:p>
              </w:tc>
              <w:tc>
                <w:tcPr>
                  <w:tcW w:w="921" w:type="dxa"/>
                  <w:vMerge w:val="restart"/>
                  <w:noWrap w:val="0"/>
                  <w:vAlign w:val="center"/>
                </w:tcPr>
                <w:p w14:paraId="716B7F11">
                  <w:pPr>
                    <w:pStyle w:val="28"/>
                    <w:widowControl w:val="0"/>
                    <w:bidi w:val="0"/>
                    <w:rPr>
                      <w:rFonts w:hint="default"/>
                      <w:color w:val="auto"/>
                      <w:lang w:val="en-US" w:eastAsia="zh-CN"/>
                    </w:rPr>
                  </w:pPr>
                  <w:r>
                    <w:rPr>
                      <w:rFonts w:hint="eastAsia"/>
                      <w:color w:val="auto"/>
                      <w:lang w:val="en-US" w:eastAsia="zh-CN"/>
                    </w:rPr>
                    <w:t>DW001</w:t>
                  </w:r>
                </w:p>
              </w:tc>
              <w:tc>
                <w:tcPr>
                  <w:tcW w:w="864" w:type="dxa"/>
                  <w:vMerge w:val="restart"/>
                  <w:noWrap w:val="0"/>
                  <w:vAlign w:val="center"/>
                </w:tcPr>
                <w:p w14:paraId="0B680B0A">
                  <w:pPr>
                    <w:pStyle w:val="28"/>
                    <w:widowControl w:val="0"/>
                    <w:bidi w:val="0"/>
                    <w:rPr>
                      <w:rFonts w:hint="eastAsia"/>
                      <w:color w:val="auto"/>
                      <w:lang w:val="en-US" w:eastAsia="zh-CN"/>
                    </w:rPr>
                  </w:pPr>
                  <w:r>
                    <w:rPr>
                      <w:rFonts w:hint="eastAsia"/>
                      <w:color w:val="auto"/>
                      <w:lang w:val="en-US" w:eastAsia="zh-CN"/>
                    </w:rPr>
                    <w:sym w:font="Wingdings 2" w:char="0052"/>
                  </w:r>
                  <w:r>
                    <w:rPr>
                      <w:rFonts w:hint="eastAsia"/>
                      <w:color w:val="auto"/>
                      <w:lang w:val="en-US" w:eastAsia="zh-CN"/>
                    </w:rPr>
                    <w:t>是</w:t>
                  </w:r>
                </w:p>
                <w:p w14:paraId="54D05223">
                  <w:pPr>
                    <w:pStyle w:val="28"/>
                    <w:widowControl w:val="0"/>
                    <w:bidi w:val="0"/>
                    <w:rPr>
                      <w:rFonts w:hint="default"/>
                      <w:color w:val="auto"/>
                      <w:lang w:val="en-US" w:eastAsia="zh-CN"/>
                    </w:rPr>
                  </w:pPr>
                  <w:r>
                    <w:rPr>
                      <w:rFonts w:hint="default"/>
                      <w:color w:val="auto"/>
                      <w:lang w:val="en-US" w:eastAsia="zh-CN"/>
                    </w:rPr>
                    <w:sym w:font="Wingdings 2" w:char="00A3"/>
                  </w:r>
                  <w:r>
                    <w:rPr>
                      <w:rFonts w:hint="eastAsia"/>
                      <w:color w:val="auto"/>
                      <w:lang w:val="en-US" w:eastAsia="zh-CN"/>
                    </w:rPr>
                    <w:t>否</w:t>
                  </w:r>
                </w:p>
              </w:tc>
              <w:tc>
                <w:tcPr>
                  <w:tcW w:w="741" w:type="dxa"/>
                  <w:vMerge w:val="restart"/>
                  <w:noWrap w:val="0"/>
                  <w:vAlign w:val="center"/>
                </w:tcPr>
                <w:p w14:paraId="3162A599">
                  <w:pPr>
                    <w:pStyle w:val="28"/>
                    <w:widowControl w:val="0"/>
                    <w:bidi w:val="0"/>
                    <w:rPr>
                      <w:rFonts w:hint="default"/>
                      <w:color w:val="auto"/>
                      <w:lang w:val="en-US" w:eastAsia="zh-CN"/>
                    </w:rPr>
                  </w:pPr>
                  <w:r>
                    <w:rPr>
                      <w:rFonts w:hint="default"/>
                      <w:color w:val="auto"/>
                      <w:lang w:val="en-US" w:eastAsia="zh-CN"/>
                    </w:rPr>
                    <w:sym w:font="Wingdings 2" w:char="0052"/>
                  </w:r>
                  <w:r>
                    <w:rPr>
                      <w:rFonts w:hint="eastAsia"/>
                      <w:color w:val="auto"/>
                      <w:lang w:val="en-US" w:eastAsia="zh-CN"/>
                    </w:rPr>
                    <w:t>企业总排</w:t>
                  </w:r>
                  <w:r>
                    <w:rPr>
                      <w:rFonts w:hint="eastAsia"/>
                      <w:color w:val="auto"/>
                      <w:lang w:val="en-US" w:eastAsia="zh-CN"/>
                    </w:rPr>
                    <w:sym w:font="Wingdings 2" w:char="00A3"/>
                  </w:r>
                  <w:r>
                    <w:rPr>
                      <w:rFonts w:hint="eastAsia"/>
                      <w:color w:val="auto"/>
                      <w:lang w:val="en-US" w:eastAsia="zh-CN"/>
                    </w:rPr>
                    <w:t>雨水排放</w:t>
                  </w:r>
                  <w:r>
                    <w:rPr>
                      <w:rFonts w:hint="eastAsia"/>
                      <w:color w:val="auto"/>
                      <w:lang w:val="en-US" w:eastAsia="zh-CN"/>
                    </w:rPr>
                    <w:sym w:font="Wingdings 2" w:char="00A3"/>
                  </w:r>
                  <w:r>
                    <w:rPr>
                      <w:rFonts w:hint="eastAsia"/>
                      <w:color w:val="auto"/>
                      <w:lang w:val="en-US" w:eastAsia="zh-CN"/>
                    </w:rPr>
                    <w:t>清净下水排放</w:t>
                  </w:r>
                  <w:r>
                    <w:rPr>
                      <w:rFonts w:hint="eastAsia"/>
                      <w:color w:val="auto"/>
                      <w:lang w:val="en-US" w:eastAsia="zh-CN"/>
                    </w:rPr>
                    <w:sym w:font="Wingdings 2" w:char="00A3"/>
                  </w:r>
                  <w:r>
                    <w:rPr>
                      <w:rFonts w:hint="eastAsia"/>
                      <w:color w:val="auto"/>
                      <w:lang w:val="en-US" w:eastAsia="zh-CN"/>
                    </w:rPr>
                    <w:t>温排水排放</w:t>
                  </w:r>
                  <w:r>
                    <w:rPr>
                      <w:rFonts w:hint="eastAsia"/>
                      <w:color w:val="auto"/>
                      <w:lang w:val="en-US" w:eastAsia="zh-CN"/>
                    </w:rPr>
                    <w:sym w:font="Wingdings 2" w:char="00A3"/>
                  </w:r>
                  <w:r>
                    <w:rPr>
                      <w:rFonts w:hint="eastAsia"/>
                      <w:color w:val="auto"/>
                      <w:lang w:val="en-US" w:eastAsia="zh-CN"/>
                    </w:rPr>
                    <w:t>车间或车间处理设施排放口</w:t>
                  </w:r>
                </w:p>
              </w:tc>
            </w:tr>
            <w:tr w14:paraId="580D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679" w:type="dxa"/>
                  <w:noWrap w:val="0"/>
                  <w:vAlign w:val="center"/>
                </w:tcPr>
                <w:p w14:paraId="4E4ECA55">
                  <w:pPr>
                    <w:pStyle w:val="28"/>
                    <w:widowControl w:val="0"/>
                    <w:bidi w:val="0"/>
                    <w:rPr>
                      <w:rFonts w:hint="eastAsia"/>
                      <w:color w:val="auto"/>
                      <w:lang w:val="en-US" w:eastAsia="zh-CN"/>
                    </w:rPr>
                  </w:pPr>
                  <w:r>
                    <w:rPr>
                      <w:rFonts w:hint="eastAsia" w:cs="Times New Roman"/>
                      <w:color w:val="auto"/>
                      <w:highlight w:val="none"/>
                      <w:lang w:val="en-US" w:eastAsia="zh-CN"/>
                    </w:rPr>
                    <w:t>清洗消毒废水</w:t>
                  </w:r>
                </w:p>
              </w:tc>
              <w:tc>
                <w:tcPr>
                  <w:tcW w:w="1110" w:type="dxa"/>
                  <w:vMerge w:val="continue"/>
                  <w:noWrap w:val="0"/>
                  <w:vAlign w:val="center"/>
                </w:tcPr>
                <w:p w14:paraId="69BF2805">
                  <w:pPr>
                    <w:pStyle w:val="28"/>
                    <w:widowControl w:val="0"/>
                    <w:bidi w:val="0"/>
                    <w:rPr>
                      <w:rFonts w:hint="eastAsia"/>
                      <w:color w:val="auto"/>
                      <w:lang w:val="en-US" w:eastAsia="zh-CN"/>
                    </w:rPr>
                  </w:pPr>
                </w:p>
              </w:tc>
              <w:tc>
                <w:tcPr>
                  <w:tcW w:w="717" w:type="dxa"/>
                  <w:vMerge w:val="continue"/>
                  <w:noWrap w:val="0"/>
                  <w:vAlign w:val="center"/>
                </w:tcPr>
                <w:p w14:paraId="52154C30">
                  <w:pPr>
                    <w:pStyle w:val="28"/>
                    <w:widowControl w:val="0"/>
                    <w:bidi w:val="0"/>
                    <w:rPr>
                      <w:rFonts w:hint="eastAsia"/>
                      <w:color w:val="auto"/>
                      <w:lang w:val="en-US" w:eastAsia="zh-CN"/>
                    </w:rPr>
                  </w:pPr>
                </w:p>
              </w:tc>
              <w:tc>
                <w:tcPr>
                  <w:tcW w:w="752" w:type="dxa"/>
                  <w:vMerge w:val="continue"/>
                  <w:noWrap w:val="0"/>
                  <w:vAlign w:val="center"/>
                </w:tcPr>
                <w:p w14:paraId="07A0EC22">
                  <w:pPr>
                    <w:pStyle w:val="28"/>
                    <w:widowControl w:val="0"/>
                    <w:bidi w:val="0"/>
                    <w:rPr>
                      <w:rFonts w:hint="eastAsia"/>
                      <w:color w:val="auto"/>
                      <w:lang w:val="en-US" w:eastAsia="zh-CN"/>
                    </w:rPr>
                  </w:pPr>
                </w:p>
              </w:tc>
              <w:tc>
                <w:tcPr>
                  <w:tcW w:w="1124" w:type="dxa"/>
                  <w:vMerge w:val="continue"/>
                  <w:noWrap w:val="0"/>
                  <w:vAlign w:val="center"/>
                </w:tcPr>
                <w:p w14:paraId="4F47F522">
                  <w:pPr>
                    <w:pStyle w:val="28"/>
                    <w:widowControl w:val="0"/>
                    <w:bidi w:val="0"/>
                    <w:rPr>
                      <w:rFonts w:hint="eastAsia"/>
                      <w:color w:val="auto"/>
                      <w:lang w:val="en-US" w:eastAsia="zh-CN"/>
                    </w:rPr>
                  </w:pPr>
                </w:p>
              </w:tc>
              <w:tc>
                <w:tcPr>
                  <w:tcW w:w="643" w:type="dxa"/>
                  <w:vMerge w:val="continue"/>
                  <w:noWrap w:val="0"/>
                  <w:vAlign w:val="center"/>
                </w:tcPr>
                <w:p w14:paraId="109265A4">
                  <w:pPr>
                    <w:pStyle w:val="28"/>
                    <w:widowControl w:val="0"/>
                    <w:bidi w:val="0"/>
                    <w:rPr>
                      <w:rFonts w:hint="eastAsia"/>
                      <w:color w:val="auto"/>
                      <w:lang w:val="en-US" w:eastAsia="zh-CN"/>
                    </w:rPr>
                  </w:pPr>
                </w:p>
              </w:tc>
              <w:tc>
                <w:tcPr>
                  <w:tcW w:w="669" w:type="dxa"/>
                  <w:vMerge w:val="continue"/>
                  <w:noWrap w:val="0"/>
                  <w:vAlign w:val="center"/>
                </w:tcPr>
                <w:p w14:paraId="34EB16C0">
                  <w:pPr>
                    <w:pStyle w:val="28"/>
                    <w:widowControl w:val="0"/>
                    <w:bidi w:val="0"/>
                    <w:rPr>
                      <w:rFonts w:hint="eastAsia"/>
                      <w:color w:val="auto"/>
                      <w:lang w:val="en-US" w:eastAsia="zh-CN"/>
                    </w:rPr>
                  </w:pPr>
                </w:p>
              </w:tc>
              <w:tc>
                <w:tcPr>
                  <w:tcW w:w="921" w:type="dxa"/>
                  <w:vMerge w:val="continue"/>
                  <w:noWrap w:val="0"/>
                  <w:vAlign w:val="center"/>
                </w:tcPr>
                <w:p w14:paraId="764546B1">
                  <w:pPr>
                    <w:pStyle w:val="28"/>
                    <w:widowControl w:val="0"/>
                    <w:bidi w:val="0"/>
                    <w:rPr>
                      <w:rFonts w:hint="eastAsia"/>
                      <w:color w:val="auto"/>
                      <w:lang w:val="en-US" w:eastAsia="zh-CN"/>
                    </w:rPr>
                  </w:pPr>
                </w:p>
              </w:tc>
              <w:tc>
                <w:tcPr>
                  <w:tcW w:w="864" w:type="dxa"/>
                  <w:vMerge w:val="continue"/>
                  <w:noWrap w:val="0"/>
                  <w:vAlign w:val="center"/>
                </w:tcPr>
                <w:p w14:paraId="73AA1F1A">
                  <w:pPr>
                    <w:pStyle w:val="28"/>
                    <w:widowControl w:val="0"/>
                    <w:bidi w:val="0"/>
                    <w:rPr>
                      <w:rFonts w:hint="default"/>
                      <w:color w:val="auto"/>
                      <w:lang w:val="en-US" w:eastAsia="zh-CN"/>
                    </w:rPr>
                  </w:pPr>
                </w:p>
              </w:tc>
              <w:tc>
                <w:tcPr>
                  <w:tcW w:w="741" w:type="dxa"/>
                  <w:vMerge w:val="continue"/>
                  <w:noWrap w:val="0"/>
                  <w:vAlign w:val="center"/>
                </w:tcPr>
                <w:p w14:paraId="15CBDD3A">
                  <w:pPr>
                    <w:pStyle w:val="28"/>
                    <w:widowControl w:val="0"/>
                    <w:bidi w:val="0"/>
                    <w:rPr>
                      <w:rFonts w:hint="default"/>
                      <w:color w:val="auto"/>
                      <w:lang w:val="en-US" w:eastAsia="zh-CN"/>
                    </w:rPr>
                  </w:pPr>
                </w:p>
              </w:tc>
            </w:tr>
            <w:tr w14:paraId="4C03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79" w:type="dxa"/>
                  <w:noWrap w:val="0"/>
                  <w:vAlign w:val="center"/>
                </w:tcPr>
                <w:p w14:paraId="1AD688F9">
                  <w:pPr>
                    <w:pStyle w:val="28"/>
                    <w:widowControl w:val="0"/>
                    <w:bidi w:val="0"/>
                    <w:rPr>
                      <w:rFonts w:hint="default"/>
                      <w:color w:val="auto"/>
                      <w:lang w:val="en-US" w:eastAsia="zh-CN"/>
                    </w:rPr>
                  </w:pPr>
                  <w:r>
                    <w:rPr>
                      <w:rFonts w:hint="eastAsia"/>
                      <w:color w:val="auto"/>
                      <w:lang w:val="en-US" w:eastAsia="zh-CN"/>
                    </w:rPr>
                    <w:t>生活污水</w:t>
                  </w:r>
                </w:p>
              </w:tc>
              <w:tc>
                <w:tcPr>
                  <w:tcW w:w="1110" w:type="dxa"/>
                  <w:noWrap w:val="0"/>
                  <w:vAlign w:val="center"/>
                </w:tcPr>
                <w:p w14:paraId="24A186BC">
                  <w:pPr>
                    <w:pStyle w:val="28"/>
                    <w:widowControl w:val="0"/>
                    <w:bidi w:val="0"/>
                    <w:rPr>
                      <w:rFonts w:hint="default"/>
                      <w:color w:val="auto"/>
                      <w:lang w:val="en-US" w:eastAsia="zh-CN"/>
                    </w:rPr>
                  </w:pPr>
                  <w:r>
                    <w:rPr>
                      <w:rFonts w:hint="eastAsia"/>
                      <w:color w:val="auto"/>
                      <w:lang w:val="en-US" w:eastAsia="zh-CN"/>
                    </w:rPr>
                    <w:t>COD、BOD</w:t>
                  </w:r>
                  <w:r>
                    <w:rPr>
                      <w:rFonts w:hint="eastAsia"/>
                      <w:color w:val="auto"/>
                      <w:vertAlign w:val="subscript"/>
                      <w:lang w:val="en-US" w:eastAsia="zh-CN"/>
                    </w:rPr>
                    <w:t>5</w:t>
                  </w:r>
                  <w:r>
                    <w:rPr>
                      <w:rFonts w:hint="eastAsia"/>
                      <w:color w:val="auto"/>
                      <w:lang w:val="en-US" w:eastAsia="zh-CN"/>
                    </w:rPr>
                    <w:t>、SS、氨氮</w:t>
                  </w:r>
                </w:p>
              </w:tc>
              <w:tc>
                <w:tcPr>
                  <w:tcW w:w="717" w:type="dxa"/>
                  <w:vMerge w:val="continue"/>
                  <w:noWrap w:val="0"/>
                  <w:vAlign w:val="center"/>
                </w:tcPr>
                <w:p w14:paraId="4CE7F374">
                  <w:pPr>
                    <w:pStyle w:val="28"/>
                    <w:widowControl w:val="0"/>
                    <w:bidi w:val="0"/>
                    <w:rPr>
                      <w:rFonts w:hint="default"/>
                      <w:color w:val="auto"/>
                      <w:lang w:val="en-US" w:eastAsia="zh-CN"/>
                    </w:rPr>
                  </w:pPr>
                </w:p>
              </w:tc>
              <w:tc>
                <w:tcPr>
                  <w:tcW w:w="752" w:type="dxa"/>
                  <w:vMerge w:val="continue"/>
                  <w:noWrap w:val="0"/>
                  <w:vAlign w:val="center"/>
                </w:tcPr>
                <w:p w14:paraId="1B457308">
                  <w:pPr>
                    <w:pStyle w:val="28"/>
                    <w:widowControl w:val="0"/>
                    <w:bidi w:val="0"/>
                    <w:rPr>
                      <w:rFonts w:hint="default"/>
                      <w:color w:val="auto"/>
                      <w:lang w:val="en-US" w:eastAsia="zh-CN"/>
                    </w:rPr>
                  </w:pPr>
                </w:p>
              </w:tc>
              <w:tc>
                <w:tcPr>
                  <w:tcW w:w="1124" w:type="dxa"/>
                  <w:noWrap w:val="0"/>
                  <w:vAlign w:val="center"/>
                </w:tcPr>
                <w:p w14:paraId="3CCFA6FE">
                  <w:pPr>
                    <w:pStyle w:val="28"/>
                    <w:widowControl w:val="0"/>
                    <w:bidi w:val="0"/>
                    <w:rPr>
                      <w:rFonts w:hint="default"/>
                      <w:color w:val="auto"/>
                      <w:lang w:val="en-US" w:eastAsia="zh-CN"/>
                    </w:rPr>
                  </w:pPr>
                  <w:r>
                    <w:rPr>
                      <w:rFonts w:hint="eastAsia"/>
                      <w:color w:val="auto"/>
                      <w:lang w:val="en-US" w:eastAsia="zh-CN"/>
                    </w:rPr>
                    <w:t>/</w:t>
                  </w:r>
                </w:p>
              </w:tc>
              <w:tc>
                <w:tcPr>
                  <w:tcW w:w="643" w:type="dxa"/>
                  <w:noWrap w:val="0"/>
                  <w:vAlign w:val="center"/>
                </w:tcPr>
                <w:p w14:paraId="7A113CB1">
                  <w:pPr>
                    <w:pStyle w:val="28"/>
                    <w:widowControl w:val="0"/>
                    <w:bidi w:val="0"/>
                    <w:rPr>
                      <w:rFonts w:hint="default"/>
                      <w:color w:val="auto"/>
                      <w:lang w:val="en-US" w:eastAsia="zh-CN"/>
                    </w:rPr>
                  </w:pPr>
                  <w:r>
                    <w:rPr>
                      <w:rFonts w:hint="eastAsia"/>
                      <w:color w:val="auto"/>
                      <w:lang w:val="en-US" w:eastAsia="zh-CN"/>
                    </w:rPr>
                    <w:t>/</w:t>
                  </w:r>
                </w:p>
              </w:tc>
              <w:tc>
                <w:tcPr>
                  <w:tcW w:w="669" w:type="dxa"/>
                  <w:noWrap w:val="0"/>
                  <w:vAlign w:val="center"/>
                </w:tcPr>
                <w:p w14:paraId="55167C8C">
                  <w:pPr>
                    <w:pStyle w:val="28"/>
                    <w:widowControl w:val="0"/>
                    <w:bidi w:val="0"/>
                    <w:rPr>
                      <w:rFonts w:hint="default"/>
                      <w:color w:val="auto"/>
                      <w:lang w:val="en-US" w:eastAsia="zh-CN"/>
                    </w:rPr>
                  </w:pPr>
                  <w:r>
                    <w:rPr>
                      <w:rFonts w:hint="eastAsia"/>
                      <w:color w:val="auto"/>
                      <w:lang w:val="en-US" w:eastAsia="zh-CN"/>
                    </w:rPr>
                    <w:t>/</w:t>
                  </w:r>
                </w:p>
              </w:tc>
              <w:tc>
                <w:tcPr>
                  <w:tcW w:w="921" w:type="dxa"/>
                  <w:vMerge w:val="continue"/>
                  <w:noWrap w:val="0"/>
                  <w:vAlign w:val="top"/>
                </w:tcPr>
                <w:p w14:paraId="57DA48CC">
                  <w:pPr>
                    <w:pStyle w:val="28"/>
                    <w:widowControl w:val="0"/>
                    <w:bidi w:val="0"/>
                    <w:rPr>
                      <w:rFonts w:hint="default"/>
                      <w:color w:val="auto"/>
                      <w:lang w:val="en-US" w:eastAsia="zh-CN"/>
                    </w:rPr>
                  </w:pPr>
                </w:p>
              </w:tc>
              <w:tc>
                <w:tcPr>
                  <w:tcW w:w="864" w:type="dxa"/>
                  <w:vMerge w:val="continue"/>
                  <w:noWrap w:val="0"/>
                  <w:vAlign w:val="top"/>
                </w:tcPr>
                <w:p w14:paraId="508C4B7A">
                  <w:pPr>
                    <w:pStyle w:val="28"/>
                    <w:widowControl w:val="0"/>
                    <w:bidi w:val="0"/>
                    <w:rPr>
                      <w:rFonts w:hint="default"/>
                      <w:color w:val="auto"/>
                      <w:lang w:val="en-US" w:eastAsia="zh-CN"/>
                    </w:rPr>
                  </w:pPr>
                </w:p>
              </w:tc>
              <w:tc>
                <w:tcPr>
                  <w:tcW w:w="741" w:type="dxa"/>
                  <w:vMerge w:val="continue"/>
                  <w:noWrap w:val="0"/>
                  <w:vAlign w:val="top"/>
                </w:tcPr>
                <w:p w14:paraId="786B68F7">
                  <w:pPr>
                    <w:pStyle w:val="28"/>
                    <w:widowControl w:val="0"/>
                    <w:bidi w:val="0"/>
                    <w:rPr>
                      <w:rFonts w:hint="default"/>
                      <w:color w:val="auto"/>
                      <w:lang w:val="en-US" w:eastAsia="zh-CN"/>
                    </w:rPr>
                  </w:pPr>
                </w:p>
              </w:tc>
            </w:tr>
          </w:tbl>
          <w:p w14:paraId="2053AFEC">
            <w:pPr>
              <w:pStyle w:val="29"/>
              <w:bidi w:val="0"/>
              <w:rPr>
                <w:rFonts w:hAnsi="宋体"/>
                <w:color w:val="auto"/>
                <w:lang w:eastAsia="zh-CN"/>
              </w:rPr>
            </w:pPr>
            <w:r>
              <w:rPr>
                <w:color w:val="auto"/>
              </w:rPr>
              <w:t>项目废水</w:t>
            </w:r>
            <w:r>
              <w:rPr>
                <w:rFonts w:hint="eastAsia"/>
                <w:color w:val="auto"/>
                <w:lang w:val="en-US" w:eastAsia="zh-CN"/>
              </w:rPr>
              <w:t>间接排放口基本情况见</w:t>
            </w:r>
            <w:r>
              <w:rPr>
                <w:color w:val="auto"/>
              </w:rPr>
              <w:t>下表：</w:t>
            </w:r>
          </w:p>
          <w:p w14:paraId="49DDA729">
            <w:pPr>
              <w:pStyle w:val="22"/>
              <w:bidi w:val="0"/>
              <w:ind w:left="0" w:leftChars="0" w:firstLine="0" w:firstLineChars="0"/>
              <w:jc w:val="center"/>
              <w:rPr>
                <w:rFonts w:hint="eastAsia"/>
                <w:color w:val="auto"/>
                <w:lang w:eastAsia="zh-CN"/>
              </w:rPr>
            </w:pPr>
            <w:r>
              <w:rPr>
                <w:rFonts w:hint="eastAsia"/>
                <w:color w:val="auto"/>
                <w:lang w:eastAsia="zh-CN"/>
              </w:rPr>
              <w:t>表4-</w:t>
            </w:r>
            <w:r>
              <w:rPr>
                <w:rFonts w:hint="eastAsia"/>
                <w:color w:val="auto"/>
                <w:lang w:val="en-US" w:eastAsia="zh-CN"/>
              </w:rPr>
              <w:t xml:space="preserve">5   </w:t>
            </w:r>
            <w:r>
              <w:rPr>
                <w:rFonts w:hint="eastAsia"/>
                <w:color w:val="auto"/>
                <w:lang w:eastAsia="zh-CN"/>
              </w:rPr>
              <w:t>本项目废水间接排放口基本情况</w:t>
            </w:r>
          </w:p>
          <w:tbl>
            <w:tblPr>
              <w:tblStyle w:val="1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7"/>
              <w:gridCol w:w="705"/>
              <w:gridCol w:w="675"/>
              <w:gridCol w:w="855"/>
              <w:gridCol w:w="1065"/>
              <w:gridCol w:w="1228"/>
              <w:gridCol w:w="535"/>
              <w:gridCol w:w="944"/>
              <w:gridCol w:w="1170"/>
            </w:tblGrid>
            <w:tr w14:paraId="5074AA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restart"/>
                  <w:tcBorders>
                    <w:tl2br w:val="nil"/>
                    <w:tr2bl w:val="nil"/>
                  </w:tcBorders>
                  <w:noWrap w:val="0"/>
                  <w:vAlign w:val="center"/>
                </w:tcPr>
                <w:p w14:paraId="124A19A5">
                  <w:pPr>
                    <w:pStyle w:val="28"/>
                    <w:widowControl w:val="0"/>
                    <w:bidi w:val="0"/>
                    <w:rPr>
                      <w:rFonts w:hint="eastAsia"/>
                      <w:b/>
                      <w:bCs w:val="0"/>
                      <w:color w:val="auto"/>
                      <w:lang w:val="en-US" w:eastAsia="zh-CN"/>
                    </w:rPr>
                  </w:pPr>
                  <w:r>
                    <w:rPr>
                      <w:rFonts w:hint="eastAsia"/>
                      <w:b/>
                      <w:bCs w:val="0"/>
                      <w:color w:val="auto"/>
                      <w:lang w:val="en-US" w:eastAsia="zh-CN"/>
                    </w:rPr>
                    <w:t>排放口编号</w:t>
                  </w:r>
                </w:p>
              </w:tc>
              <w:tc>
                <w:tcPr>
                  <w:tcW w:w="847" w:type="pct"/>
                  <w:gridSpan w:val="2"/>
                  <w:vMerge w:val="restart"/>
                  <w:tcBorders>
                    <w:tl2br w:val="nil"/>
                    <w:tr2bl w:val="nil"/>
                  </w:tcBorders>
                  <w:noWrap w:val="0"/>
                  <w:vAlign w:val="center"/>
                </w:tcPr>
                <w:p w14:paraId="705FF8DA">
                  <w:pPr>
                    <w:pStyle w:val="28"/>
                    <w:widowControl w:val="0"/>
                    <w:bidi w:val="0"/>
                    <w:rPr>
                      <w:rFonts w:hint="eastAsia"/>
                      <w:b/>
                      <w:bCs w:val="0"/>
                      <w:color w:val="auto"/>
                      <w:lang w:val="en-US" w:eastAsia="zh-CN"/>
                    </w:rPr>
                  </w:pPr>
                  <w:r>
                    <w:rPr>
                      <w:rFonts w:hint="eastAsia"/>
                      <w:b/>
                      <w:bCs w:val="0"/>
                      <w:color w:val="auto"/>
                      <w:lang w:val="en-US" w:eastAsia="zh-CN"/>
                    </w:rPr>
                    <w:t>排放口地理坐标</w:t>
                  </w:r>
                </w:p>
              </w:tc>
              <w:tc>
                <w:tcPr>
                  <w:tcW w:w="524" w:type="pct"/>
                  <w:vMerge w:val="restart"/>
                  <w:tcBorders>
                    <w:tl2br w:val="nil"/>
                    <w:tr2bl w:val="nil"/>
                  </w:tcBorders>
                  <w:noWrap w:val="0"/>
                  <w:vAlign w:val="center"/>
                </w:tcPr>
                <w:p w14:paraId="2ECE8A95">
                  <w:pPr>
                    <w:pStyle w:val="28"/>
                    <w:widowControl w:val="0"/>
                    <w:bidi w:val="0"/>
                    <w:rPr>
                      <w:rFonts w:hint="default"/>
                      <w:b/>
                      <w:bCs w:val="0"/>
                      <w:color w:val="auto"/>
                      <w:lang w:val="en-US" w:eastAsia="zh-CN"/>
                    </w:rPr>
                  </w:pPr>
                  <w:r>
                    <w:rPr>
                      <w:rFonts w:hint="eastAsia"/>
                      <w:b/>
                      <w:bCs w:val="0"/>
                      <w:color w:val="auto"/>
                      <w:lang w:val="en-US" w:eastAsia="zh-CN"/>
                    </w:rPr>
                    <w:t>废水排放量</w:t>
                  </w:r>
                </w:p>
              </w:tc>
              <w:tc>
                <w:tcPr>
                  <w:tcW w:w="653" w:type="pct"/>
                  <w:vMerge w:val="restart"/>
                  <w:tcBorders>
                    <w:tl2br w:val="nil"/>
                    <w:tr2bl w:val="nil"/>
                  </w:tcBorders>
                  <w:noWrap w:val="0"/>
                  <w:vAlign w:val="center"/>
                </w:tcPr>
                <w:p w14:paraId="4AA004B5">
                  <w:pPr>
                    <w:pStyle w:val="28"/>
                    <w:widowControl w:val="0"/>
                    <w:bidi w:val="0"/>
                    <w:rPr>
                      <w:rFonts w:hint="eastAsia"/>
                      <w:b/>
                      <w:bCs w:val="0"/>
                      <w:color w:val="auto"/>
                      <w:lang w:val="en-US" w:eastAsia="zh-CN"/>
                    </w:rPr>
                  </w:pPr>
                  <w:r>
                    <w:rPr>
                      <w:rFonts w:hint="eastAsia"/>
                      <w:b/>
                      <w:bCs w:val="0"/>
                      <w:color w:val="auto"/>
                      <w:lang w:val="en-US" w:eastAsia="zh-CN"/>
                    </w:rPr>
                    <w:t>排放去向</w:t>
                  </w:r>
                </w:p>
              </w:tc>
              <w:tc>
                <w:tcPr>
                  <w:tcW w:w="753" w:type="pct"/>
                  <w:vMerge w:val="restart"/>
                  <w:tcBorders>
                    <w:tl2br w:val="nil"/>
                    <w:tr2bl w:val="nil"/>
                  </w:tcBorders>
                  <w:noWrap w:val="0"/>
                  <w:vAlign w:val="center"/>
                </w:tcPr>
                <w:p w14:paraId="5FA4D127">
                  <w:pPr>
                    <w:pStyle w:val="28"/>
                    <w:widowControl w:val="0"/>
                    <w:bidi w:val="0"/>
                    <w:rPr>
                      <w:rFonts w:hint="eastAsia"/>
                      <w:b/>
                      <w:bCs w:val="0"/>
                      <w:color w:val="auto"/>
                      <w:lang w:val="en-US" w:eastAsia="zh-CN"/>
                    </w:rPr>
                  </w:pPr>
                  <w:r>
                    <w:rPr>
                      <w:rFonts w:hint="eastAsia"/>
                      <w:b/>
                      <w:bCs w:val="0"/>
                      <w:color w:val="auto"/>
                      <w:lang w:val="en-US" w:eastAsia="zh-CN"/>
                    </w:rPr>
                    <w:t>排放规律</w:t>
                  </w:r>
                </w:p>
              </w:tc>
              <w:tc>
                <w:tcPr>
                  <w:tcW w:w="1626" w:type="pct"/>
                  <w:gridSpan w:val="3"/>
                  <w:tcBorders>
                    <w:tl2br w:val="nil"/>
                    <w:tr2bl w:val="nil"/>
                  </w:tcBorders>
                  <w:noWrap w:val="0"/>
                  <w:vAlign w:val="center"/>
                </w:tcPr>
                <w:p w14:paraId="38BE3EAC">
                  <w:pPr>
                    <w:pStyle w:val="28"/>
                    <w:widowControl w:val="0"/>
                    <w:bidi w:val="0"/>
                    <w:rPr>
                      <w:rFonts w:hint="default"/>
                      <w:b/>
                      <w:bCs w:val="0"/>
                      <w:color w:val="auto"/>
                      <w:lang w:val="en-US" w:eastAsia="zh-CN"/>
                    </w:rPr>
                  </w:pPr>
                  <w:r>
                    <w:rPr>
                      <w:rFonts w:hint="eastAsia"/>
                      <w:b/>
                      <w:bCs w:val="0"/>
                      <w:color w:val="auto"/>
                      <w:lang w:val="en-US" w:eastAsia="zh-CN"/>
                    </w:rPr>
                    <w:t>受纳污水处理厂信息</w:t>
                  </w:r>
                </w:p>
              </w:tc>
            </w:tr>
            <w:tr w14:paraId="4CC790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93" w:type="pct"/>
                  <w:vMerge w:val="continue"/>
                  <w:tcBorders>
                    <w:tl2br w:val="nil"/>
                    <w:tr2bl w:val="nil"/>
                  </w:tcBorders>
                  <w:noWrap w:val="0"/>
                  <w:vAlign w:val="center"/>
                </w:tcPr>
                <w:p w14:paraId="2E9C6454">
                  <w:pPr>
                    <w:pStyle w:val="28"/>
                    <w:widowControl w:val="0"/>
                    <w:bidi w:val="0"/>
                    <w:rPr>
                      <w:rFonts w:hint="default"/>
                      <w:color w:val="auto"/>
                      <w:lang w:val="en-US" w:eastAsia="zh-CN"/>
                    </w:rPr>
                  </w:pPr>
                </w:p>
              </w:tc>
              <w:tc>
                <w:tcPr>
                  <w:tcW w:w="847" w:type="pct"/>
                  <w:gridSpan w:val="2"/>
                  <w:vMerge w:val="continue"/>
                  <w:tcBorders>
                    <w:tl2br w:val="nil"/>
                    <w:tr2bl w:val="nil"/>
                  </w:tcBorders>
                  <w:noWrap w:val="0"/>
                  <w:vAlign w:val="center"/>
                </w:tcPr>
                <w:p w14:paraId="7CFD333C">
                  <w:pPr>
                    <w:pStyle w:val="28"/>
                    <w:widowControl w:val="0"/>
                    <w:bidi w:val="0"/>
                    <w:rPr>
                      <w:rFonts w:hint="eastAsia"/>
                      <w:color w:val="auto"/>
                      <w:lang w:val="en-US" w:eastAsia="zh-CN"/>
                    </w:rPr>
                  </w:pPr>
                </w:p>
              </w:tc>
              <w:tc>
                <w:tcPr>
                  <w:tcW w:w="524" w:type="pct"/>
                  <w:vMerge w:val="continue"/>
                  <w:tcBorders>
                    <w:tl2br w:val="nil"/>
                    <w:tr2bl w:val="nil"/>
                  </w:tcBorders>
                  <w:noWrap w:val="0"/>
                  <w:vAlign w:val="center"/>
                </w:tcPr>
                <w:p w14:paraId="31AC7F57">
                  <w:pPr>
                    <w:pStyle w:val="28"/>
                    <w:widowControl w:val="0"/>
                    <w:bidi w:val="0"/>
                    <w:rPr>
                      <w:rFonts w:hint="default"/>
                      <w:color w:val="auto"/>
                      <w:lang w:val="en-US" w:eastAsia="zh-CN"/>
                    </w:rPr>
                  </w:pPr>
                </w:p>
              </w:tc>
              <w:tc>
                <w:tcPr>
                  <w:tcW w:w="653" w:type="pct"/>
                  <w:vMerge w:val="continue"/>
                  <w:tcBorders>
                    <w:tl2br w:val="nil"/>
                    <w:tr2bl w:val="nil"/>
                  </w:tcBorders>
                  <w:noWrap w:val="0"/>
                  <w:vAlign w:val="center"/>
                </w:tcPr>
                <w:p w14:paraId="206F4FCC">
                  <w:pPr>
                    <w:pStyle w:val="28"/>
                    <w:widowControl w:val="0"/>
                    <w:bidi w:val="0"/>
                    <w:rPr>
                      <w:rFonts w:hint="eastAsia"/>
                      <w:color w:val="auto"/>
                      <w:lang w:val="en-US" w:eastAsia="zh-CN"/>
                    </w:rPr>
                  </w:pPr>
                </w:p>
              </w:tc>
              <w:tc>
                <w:tcPr>
                  <w:tcW w:w="753" w:type="pct"/>
                  <w:vMerge w:val="continue"/>
                  <w:tcBorders>
                    <w:tl2br w:val="nil"/>
                    <w:tr2bl w:val="nil"/>
                  </w:tcBorders>
                  <w:noWrap w:val="0"/>
                  <w:vAlign w:val="center"/>
                </w:tcPr>
                <w:p w14:paraId="4642BD8B">
                  <w:pPr>
                    <w:pStyle w:val="28"/>
                    <w:widowControl w:val="0"/>
                    <w:bidi w:val="0"/>
                    <w:rPr>
                      <w:rFonts w:hint="eastAsia"/>
                      <w:color w:val="auto"/>
                      <w:lang w:val="en-US" w:eastAsia="zh-CN"/>
                    </w:rPr>
                  </w:pPr>
                </w:p>
              </w:tc>
              <w:tc>
                <w:tcPr>
                  <w:tcW w:w="328" w:type="pct"/>
                  <w:tcBorders>
                    <w:tl2br w:val="nil"/>
                    <w:tr2bl w:val="nil"/>
                  </w:tcBorders>
                  <w:noWrap w:val="0"/>
                  <w:vAlign w:val="center"/>
                </w:tcPr>
                <w:p w14:paraId="244D2C6F">
                  <w:pPr>
                    <w:pStyle w:val="28"/>
                    <w:widowControl w:val="0"/>
                    <w:bidi w:val="0"/>
                    <w:rPr>
                      <w:rFonts w:hint="eastAsia"/>
                      <w:b/>
                      <w:bCs w:val="0"/>
                      <w:color w:val="auto"/>
                      <w:lang w:val="en-US" w:eastAsia="zh-CN"/>
                    </w:rPr>
                  </w:pPr>
                  <w:r>
                    <w:rPr>
                      <w:rFonts w:hint="eastAsia"/>
                      <w:b/>
                      <w:bCs w:val="0"/>
                      <w:color w:val="auto"/>
                      <w:lang w:val="en-US" w:eastAsia="zh-CN"/>
                    </w:rPr>
                    <w:t>名称</w:t>
                  </w:r>
                </w:p>
              </w:tc>
              <w:tc>
                <w:tcPr>
                  <w:tcW w:w="579" w:type="pct"/>
                  <w:tcBorders>
                    <w:tl2br w:val="nil"/>
                    <w:tr2bl w:val="nil"/>
                  </w:tcBorders>
                  <w:noWrap w:val="0"/>
                  <w:vAlign w:val="center"/>
                </w:tcPr>
                <w:p w14:paraId="5DEBC357">
                  <w:pPr>
                    <w:pStyle w:val="28"/>
                    <w:widowControl w:val="0"/>
                    <w:bidi w:val="0"/>
                    <w:rPr>
                      <w:rFonts w:hint="eastAsia"/>
                      <w:b/>
                      <w:bCs w:val="0"/>
                      <w:color w:val="auto"/>
                      <w:lang w:val="en-US" w:eastAsia="zh-CN"/>
                    </w:rPr>
                  </w:pPr>
                  <w:r>
                    <w:rPr>
                      <w:rFonts w:hint="eastAsia"/>
                      <w:b/>
                      <w:bCs w:val="0"/>
                      <w:color w:val="auto"/>
                      <w:lang w:val="en-US" w:eastAsia="zh-CN"/>
                    </w:rPr>
                    <w:t>污染物种类</w:t>
                  </w:r>
                </w:p>
              </w:tc>
              <w:tc>
                <w:tcPr>
                  <w:tcW w:w="718" w:type="pct"/>
                  <w:tcBorders>
                    <w:tl2br w:val="nil"/>
                    <w:tr2bl w:val="nil"/>
                  </w:tcBorders>
                  <w:noWrap w:val="0"/>
                  <w:vAlign w:val="center"/>
                </w:tcPr>
                <w:p w14:paraId="25B40F3C">
                  <w:pPr>
                    <w:pStyle w:val="28"/>
                    <w:widowControl w:val="0"/>
                    <w:bidi w:val="0"/>
                    <w:rPr>
                      <w:rFonts w:hint="eastAsia"/>
                      <w:b/>
                      <w:bCs w:val="0"/>
                      <w:color w:val="auto"/>
                      <w:lang w:val="en-US" w:eastAsia="zh-CN"/>
                    </w:rPr>
                  </w:pPr>
                  <w:r>
                    <w:rPr>
                      <w:rFonts w:hint="eastAsia"/>
                      <w:b/>
                      <w:bCs w:val="0"/>
                      <w:color w:val="auto"/>
                      <w:lang w:val="en-US" w:eastAsia="zh-CN"/>
                    </w:rPr>
                    <w:t>排放标准（mg/L）</w:t>
                  </w:r>
                </w:p>
              </w:tc>
            </w:tr>
            <w:tr w14:paraId="675E3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3" w:type="pct"/>
                  <w:vMerge w:val="restart"/>
                  <w:tcBorders>
                    <w:tl2br w:val="nil"/>
                    <w:tr2bl w:val="nil"/>
                  </w:tcBorders>
                  <w:noWrap w:val="0"/>
                  <w:vAlign w:val="center"/>
                </w:tcPr>
                <w:p w14:paraId="2523CDF3">
                  <w:pPr>
                    <w:pStyle w:val="28"/>
                    <w:widowControl w:val="0"/>
                    <w:bidi w:val="0"/>
                    <w:rPr>
                      <w:rFonts w:hint="eastAsia"/>
                      <w:color w:val="auto"/>
                      <w:lang w:val="en-US" w:eastAsia="zh-CN"/>
                    </w:rPr>
                  </w:pPr>
                  <w:r>
                    <w:rPr>
                      <w:rFonts w:hint="eastAsia"/>
                      <w:color w:val="auto"/>
                      <w:lang w:val="en-US" w:eastAsia="zh-CN"/>
                    </w:rPr>
                    <w:t>废水总排放口DW001</w:t>
                  </w:r>
                </w:p>
              </w:tc>
              <w:tc>
                <w:tcPr>
                  <w:tcW w:w="432" w:type="pct"/>
                  <w:tcBorders>
                    <w:tl2br w:val="nil"/>
                    <w:tr2bl w:val="nil"/>
                  </w:tcBorders>
                  <w:noWrap w:val="0"/>
                  <w:vAlign w:val="center"/>
                </w:tcPr>
                <w:p w14:paraId="7530E379">
                  <w:pPr>
                    <w:pStyle w:val="28"/>
                    <w:widowControl w:val="0"/>
                    <w:bidi w:val="0"/>
                    <w:rPr>
                      <w:rFonts w:hint="eastAsia"/>
                      <w:color w:val="auto"/>
                      <w:lang w:val="en-US" w:eastAsia="zh-CN"/>
                    </w:rPr>
                  </w:pPr>
                  <w:r>
                    <w:rPr>
                      <w:rFonts w:hint="eastAsia"/>
                      <w:color w:val="auto"/>
                      <w:lang w:val="en-US" w:eastAsia="zh-CN"/>
                    </w:rPr>
                    <w:t>经度</w:t>
                  </w:r>
                </w:p>
              </w:tc>
              <w:tc>
                <w:tcPr>
                  <w:tcW w:w="414" w:type="pct"/>
                  <w:tcBorders>
                    <w:tl2br w:val="nil"/>
                    <w:tr2bl w:val="nil"/>
                  </w:tcBorders>
                  <w:noWrap w:val="0"/>
                  <w:vAlign w:val="center"/>
                </w:tcPr>
                <w:p w14:paraId="0624DC0A">
                  <w:pPr>
                    <w:pStyle w:val="28"/>
                    <w:widowControl w:val="0"/>
                    <w:bidi w:val="0"/>
                    <w:rPr>
                      <w:rFonts w:hint="eastAsia"/>
                      <w:color w:val="auto"/>
                      <w:lang w:val="en-US" w:eastAsia="zh-CN"/>
                    </w:rPr>
                  </w:pPr>
                  <w:r>
                    <w:rPr>
                      <w:rFonts w:hint="eastAsia"/>
                      <w:color w:val="auto"/>
                      <w:lang w:val="en-US" w:eastAsia="zh-CN"/>
                    </w:rPr>
                    <w:t>纬度</w:t>
                  </w:r>
                </w:p>
              </w:tc>
              <w:tc>
                <w:tcPr>
                  <w:tcW w:w="524" w:type="pct"/>
                  <w:vMerge w:val="restart"/>
                  <w:tcBorders>
                    <w:tl2br w:val="nil"/>
                    <w:tr2bl w:val="nil"/>
                  </w:tcBorders>
                  <w:noWrap w:val="0"/>
                  <w:vAlign w:val="center"/>
                </w:tcPr>
                <w:p w14:paraId="3E156720">
                  <w:pPr>
                    <w:pStyle w:val="28"/>
                    <w:widowControl w:val="0"/>
                    <w:bidi w:val="0"/>
                    <w:rPr>
                      <w:rFonts w:hint="default"/>
                      <w:color w:val="auto"/>
                      <w:lang w:val="en-US" w:eastAsia="zh-CN"/>
                    </w:rPr>
                  </w:pPr>
                  <w:r>
                    <w:rPr>
                      <w:rFonts w:hint="eastAsia"/>
                      <w:color w:val="auto"/>
                      <w:lang w:val="en-US" w:eastAsia="zh-CN"/>
                    </w:rPr>
                    <w:t>0.55</w:t>
                  </w:r>
                </w:p>
                <w:p w14:paraId="1A02652E">
                  <w:pPr>
                    <w:pStyle w:val="28"/>
                    <w:widowControl w:val="0"/>
                    <w:bidi w:val="0"/>
                    <w:rPr>
                      <w:rFonts w:hint="eastAsia"/>
                      <w:color w:val="auto"/>
                      <w:lang w:val="en-US" w:eastAsia="zh-CN"/>
                    </w:rPr>
                  </w:pPr>
                  <w:r>
                    <w:rPr>
                      <w:rFonts w:hint="default"/>
                      <w:color w:val="auto"/>
                    </w:rPr>
                    <w:t>m</w:t>
                  </w:r>
                  <w:r>
                    <w:rPr>
                      <w:rFonts w:hint="default"/>
                      <w:color w:val="auto"/>
                      <w:vertAlign w:val="superscript"/>
                    </w:rPr>
                    <w:t>3</w:t>
                  </w:r>
                  <w:r>
                    <w:rPr>
                      <w:rFonts w:hint="default"/>
                      <w:color w:val="auto"/>
                    </w:rPr>
                    <w:t>/d</w:t>
                  </w:r>
                </w:p>
              </w:tc>
              <w:tc>
                <w:tcPr>
                  <w:tcW w:w="653" w:type="pct"/>
                  <w:vMerge w:val="restart"/>
                  <w:tcBorders>
                    <w:tl2br w:val="nil"/>
                    <w:tr2bl w:val="nil"/>
                  </w:tcBorders>
                  <w:noWrap w:val="0"/>
                  <w:vAlign w:val="center"/>
                </w:tcPr>
                <w:p w14:paraId="60795345">
                  <w:pPr>
                    <w:pStyle w:val="28"/>
                    <w:widowControl w:val="0"/>
                    <w:bidi w:val="0"/>
                    <w:rPr>
                      <w:rFonts w:hint="default"/>
                      <w:color w:val="auto"/>
                      <w:lang w:val="en-US" w:eastAsia="zh-CN"/>
                    </w:rPr>
                  </w:pPr>
                  <w:r>
                    <w:rPr>
                      <w:rFonts w:hint="eastAsia"/>
                      <w:color w:val="auto"/>
                      <w:lang w:val="en-US" w:eastAsia="zh-CN"/>
                    </w:rPr>
                    <w:t>市政污水管网</w:t>
                  </w:r>
                </w:p>
              </w:tc>
              <w:tc>
                <w:tcPr>
                  <w:tcW w:w="753" w:type="pct"/>
                  <w:vMerge w:val="restart"/>
                  <w:tcBorders>
                    <w:tl2br w:val="nil"/>
                    <w:tr2bl w:val="nil"/>
                  </w:tcBorders>
                  <w:noWrap w:val="0"/>
                  <w:vAlign w:val="center"/>
                </w:tcPr>
                <w:p w14:paraId="693B864F">
                  <w:pPr>
                    <w:pStyle w:val="28"/>
                    <w:widowControl w:val="0"/>
                    <w:bidi w:val="0"/>
                    <w:rPr>
                      <w:rFonts w:hint="default"/>
                      <w:color w:val="auto"/>
                      <w:lang w:val="en-US" w:eastAsia="zh-CN"/>
                    </w:rPr>
                  </w:pPr>
                  <w:r>
                    <w:rPr>
                      <w:rFonts w:hint="eastAsia"/>
                      <w:color w:val="auto"/>
                      <w:lang w:val="en-US" w:eastAsia="zh-CN"/>
                    </w:rPr>
                    <w:t>间断排放，排放期间流量不稳定且无规律，但不属于冲击性排放；间歇排放时段：工作时间</w:t>
                  </w:r>
                </w:p>
              </w:tc>
              <w:tc>
                <w:tcPr>
                  <w:tcW w:w="328" w:type="pct"/>
                  <w:vMerge w:val="restart"/>
                  <w:tcBorders>
                    <w:tl2br w:val="nil"/>
                    <w:tr2bl w:val="nil"/>
                  </w:tcBorders>
                  <w:noWrap w:val="0"/>
                  <w:vAlign w:val="center"/>
                </w:tcPr>
                <w:p w14:paraId="3CBA401F">
                  <w:pPr>
                    <w:pStyle w:val="28"/>
                    <w:widowControl w:val="0"/>
                    <w:bidi w:val="0"/>
                    <w:rPr>
                      <w:rFonts w:hint="default"/>
                      <w:color w:val="auto"/>
                      <w:lang w:val="en-US" w:eastAsia="zh-CN"/>
                    </w:rPr>
                  </w:pPr>
                  <w:r>
                    <w:rPr>
                      <w:rFonts w:hint="eastAsia"/>
                      <w:color w:val="auto"/>
                      <w:lang w:val="en-US" w:eastAsia="zh-CN"/>
                    </w:rPr>
                    <w:t>库尔勒市老城区污水处理厂</w:t>
                  </w:r>
                </w:p>
              </w:tc>
              <w:tc>
                <w:tcPr>
                  <w:tcW w:w="579" w:type="pct"/>
                  <w:tcBorders>
                    <w:tl2br w:val="nil"/>
                    <w:tr2bl w:val="nil"/>
                  </w:tcBorders>
                  <w:noWrap w:val="0"/>
                  <w:vAlign w:val="center"/>
                </w:tcPr>
                <w:p w14:paraId="2B2002FA">
                  <w:pPr>
                    <w:pStyle w:val="28"/>
                    <w:widowControl w:val="0"/>
                    <w:bidi w:val="0"/>
                    <w:rPr>
                      <w:rFonts w:hint="default"/>
                      <w:color w:val="auto"/>
                      <w:lang w:val="en-US" w:eastAsia="zh-CN"/>
                    </w:rPr>
                  </w:pPr>
                  <w:r>
                    <w:rPr>
                      <w:rFonts w:hint="eastAsia"/>
                      <w:color w:val="auto"/>
                      <w:lang w:val="en-US" w:eastAsia="zh-CN"/>
                    </w:rPr>
                    <w:t>pH</w:t>
                  </w:r>
                </w:p>
              </w:tc>
              <w:tc>
                <w:tcPr>
                  <w:tcW w:w="718" w:type="pct"/>
                  <w:tcBorders>
                    <w:tl2br w:val="nil"/>
                    <w:tr2bl w:val="nil"/>
                  </w:tcBorders>
                  <w:noWrap w:val="0"/>
                  <w:vAlign w:val="center"/>
                </w:tcPr>
                <w:p w14:paraId="3003EBE9">
                  <w:pPr>
                    <w:pStyle w:val="28"/>
                    <w:widowControl w:val="0"/>
                    <w:bidi w:val="0"/>
                    <w:rPr>
                      <w:rFonts w:hint="default"/>
                      <w:color w:val="auto"/>
                      <w:lang w:val="en-US" w:eastAsia="zh-CN"/>
                    </w:rPr>
                  </w:pPr>
                  <w:r>
                    <w:rPr>
                      <w:rFonts w:hint="eastAsia"/>
                      <w:color w:val="auto"/>
                      <w:lang w:val="en-US" w:eastAsia="zh-CN"/>
                    </w:rPr>
                    <w:t>6-9</w:t>
                  </w:r>
                </w:p>
              </w:tc>
            </w:tr>
            <w:tr w14:paraId="211725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tcBorders>
                    <w:tl2br w:val="nil"/>
                    <w:tr2bl w:val="nil"/>
                  </w:tcBorders>
                  <w:noWrap w:val="0"/>
                  <w:vAlign w:val="center"/>
                </w:tcPr>
                <w:p w14:paraId="0DD690F1">
                  <w:pPr>
                    <w:pStyle w:val="28"/>
                    <w:widowControl w:val="0"/>
                    <w:bidi w:val="0"/>
                    <w:rPr>
                      <w:rFonts w:hint="eastAsia"/>
                      <w:color w:val="auto"/>
                      <w:lang w:val="en-US" w:eastAsia="zh-CN"/>
                    </w:rPr>
                  </w:pPr>
                </w:p>
              </w:tc>
              <w:tc>
                <w:tcPr>
                  <w:tcW w:w="432" w:type="pct"/>
                  <w:vMerge w:val="restart"/>
                  <w:tcBorders>
                    <w:tl2br w:val="nil"/>
                    <w:tr2bl w:val="nil"/>
                  </w:tcBorders>
                  <w:noWrap w:val="0"/>
                  <w:vAlign w:val="center"/>
                </w:tcPr>
                <w:p w14:paraId="280F383B">
                  <w:pPr>
                    <w:pStyle w:val="28"/>
                    <w:widowControl w:val="0"/>
                    <w:bidi w:val="0"/>
                    <w:rPr>
                      <w:rFonts w:hint="default"/>
                      <w:color w:val="auto"/>
                      <w:lang w:val="en-US" w:eastAsia="zh-CN"/>
                    </w:rPr>
                  </w:pPr>
                  <w:r>
                    <w:rPr>
                      <w:rFonts w:hint="eastAsia"/>
                      <w:color w:val="auto"/>
                      <w:lang w:val="en-US" w:eastAsia="zh-CN"/>
                    </w:rPr>
                    <w:t>/</w:t>
                  </w:r>
                </w:p>
              </w:tc>
              <w:tc>
                <w:tcPr>
                  <w:tcW w:w="414" w:type="pct"/>
                  <w:vMerge w:val="restart"/>
                  <w:tcBorders>
                    <w:tl2br w:val="nil"/>
                    <w:tr2bl w:val="nil"/>
                  </w:tcBorders>
                  <w:noWrap w:val="0"/>
                  <w:vAlign w:val="center"/>
                </w:tcPr>
                <w:p w14:paraId="27F67373">
                  <w:pPr>
                    <w:pStyle w:val="28"/>
                    <w:widowControl w:val="0"/>
                    <w:bidi w:val="0"/>
                    <w:rPr>
                      <w:rFonts w:hint="default"/>
                      <w:color w:val="auto"/>
                      <w:lang w:val="en-US" w:eastAsia="zh-CN"/>
                    </w:rPr>
                  </w:pPr>
                  <w:r>
                    <w:rPr>
                      <w:rFonts w:hint="eastAsia"/>
                      <w:color w:val="auto"/>
                      <w:lang w:val="en-US" w:eastAsia="zh-CN"/>
                    </w:rPr>
                    <w:t>/</w:t>
                  </w:r>
                </w:p>
              </w:tc>
              <w:tc>
                <w:tcPr>
                  <w:tcW w:w="524" w:type="pct"/>
                  <w:vMerge w:val="continue"/>
                  <w:tcBorders>
                    <w:tl2br w:val="nil"/>
                    <w:tr2bl w:val="nil"/>
                  </w:tcBorders>
                  <w:noWrap w:val="0"/>
                  <w:vAlign w:val="center"/>
                </w:tcPr>
                <w:p w14:paraId="6614C123">
                  <w:pPr>
                    <w:pStyle w:val="28"/>
                    <w:widowControl w:val="0"/>
                    <w:bidi w:val="0"/>
                    <w:rPr>
                      <w:rFonts w:hint="eastAsia"/>
                      <w:color w:val="auto"/>
                      <w:lang w:val="en-US" w:eastAsia="zh-CN"/>
                    </w:rPr>
                  </w:pPr>
                </w:p>
              </w:tc>
              <w:tc>
                <w:tcPr>
                  <w:tcW w:w="653" w:type="pct"/>
                  <w:vMerge w:val="continue"/>
                  <w:tcBorders>
                    <w:tl2br w:val="nil"/>
                    <w:tr2bl w:val="nil"/>
                  </w:tcBorders>
                  <w:noWrap w:val="0"/>
                  <w:vAlign w:val="center"/>
                </w:tcPr>
                <w:p w14:paraId="2ECF16BC">
                  <w:pPr>
                    <w:pStyle w:val="28"/>
                    <w:widowControl w:val="0"/>
                    <w:bidi w:val="0"/>
                    <w:rPr>
                      <w:rFonts w:hint="eastAsia"/>
                      <w:color w:val="auto"/>
                      <w:lang w:val="en-US" w:eastAsia="zh-CN"/>
                    </w:rPr>
                  </w:pPr>
                </w:p>
              </w:tc>
              <w:tc>
                <w:tcPr>
                  <w:tcW w:w="753" w:type="pct"/>
                  <w:vMerge w:val="continue"/>
                  <w:tcBorders>
                    <w:tl2br w:val="nil"/>
                    <w:tr2bl w:val="nil"/>
                  </w:tcBorders>
                  <w:noWrap w:val="0"/>
                  <w:vAlign w:val="center"/>
                </w:tcPr>
                <w:p w14:paraId="4675A05D">
                  <w:pPr>
                    <w:pStyle w:val="28"/>
                    <w:widowControl w:val="0"/>
                    <w:bidi w:val="0"/>
                    <w:rPr>
                      <w:rFonts w:hint="eastAsia"/>
                      <w:color w:val="auto"/>
                      <w:lang w:val="en-US" w:eastAsia="zh-CN"/>
                    </w:rPr>
                  </w:pPr>
                </w:p>
              </w:tc>
              <w:tc>
                <w:tcPr>
                  <w:tcW w:w="328" w:type="pct"/>
                  <w:vMerge w:val="continue"/>
                  <w:tcBorders>
                    <w:tl2br w:val="nil"/>
                    <w:tr2bl w:val="nil"/>
                  </w:tcBorders>
                  <w:noWrap w:val="0"/>
                  <w:vAlign w:val="center"/>
                </w:tcPr>
                <w:p w14:paraId="695B1893">
                  <w:pPr>
                    <w:pStyle w:val="28"/>
                    <w:widowControl w:val="0"/>
                    <w:bidi w:val="0"/>
                    <w:rPr>
                      <w:rFonts w:hint="eastAsia"/>
                      <w:color w:val="auto"/>
                      <w:lang w:val="en-US" w:eastAsia="zh-CN"/>
                    </w:rPr>
                  </w:pPr>
                </w:p>
              </w:tc>
              <w:tc>
                <w:tcPr>
                  <w:tcW w:w="579" w:type="pct"/>
                  <w:tcBorders>
                    <w:tl2br w:val="nil"/>
                    <w:tr2bl w:val="nil"/>
                  </w:tcBorders>
                  <w:noWrap w:val="0"/>
                  <w:vAlign w:val="center"/>
                </w:tcPr>
                <w:p w14:paraId="2AD852F9">
                  <w:pPr>
                    <w:pStyle w:val="28"/>
                    <w:widowControl w:val="0"/>
                    <w:bidi w:val="0"/>
                    <w:rPr>
                      <w:rFonts w:hint="default"/>
                      <w:color w:val="auto"/>
                      <w:lang w:val="en-US" w:eastAsia="zh-CN"/>
                    </w:rPr>
                  </w:pPr>
                  <w:r>
                    <w:rPr>
                      <w:rFonts w:hint="eastAsia"/>
                      <w:color w:val="auto"/>
                      <w:lang w:val="en-US" w:eastAsia="zh-CN"/>
                    </w:rPr>
                    <w:t>BOD</w:t>
                  </w:r>
                  <w:r>
                    <w:rPr>
                      <w:rFonts w:hint="eastAsia"/>
                      <w:color w:val="auto"/>
                      <w:vertAlign w:val="subscript"/>
                      <w:lang w:val="en-US" w:eastAsia="zh-CN"/>
                    </w:rPr>
                    <w:t>5</w:t>
                  </w:r>
                </w:p>
              </w:tc>
              <w:tc>
                <w:tcPr>
                  <w:tcW w:w="718" w:type="pct"/>
                  <w:tcBorders>
                    <w:tl2br w:val="nil"/>
                    <w:tr2bl w:val="nil"/>
                  </w:tcBorders>
                  <w:noWrap w:val="0"/>
                  <w:vAlign w:val="center"/>
                </w:tcPr>
                <w:p w14:paraId="52B386CA">
                  <w:pPr>
                    <w:pStyle w:val="28"/>
                    <w:widowControl w:val="0"/>
                    <w:bidi w:val="0"/>
                    <w:rPr>
                      <w:rFonts w:hint="default"/>
                      <w:color w:val="auto"/>
                      <w:lang w:val="en-US" w:eastAsia="zh-CN"/>
                    </w:rPr>
                  </w:pPr>
                  <w:r>
                    <w:rPr>
                      <w:rFonts w:hint="eastAsia"/>
                      <w:color w:val="auto"/>
                      <w:lang w:val="en-US" w:eastAsia="zh-CN"/>
                    </w:rPr>
                    <w:t>10</w:t>
                  </w:r>
                </w:p>
              </w:tc>
            </w:tr>
            <w:tr w14:paraId="48B153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tcBorders>
                    <w:tl2br w:val="nil"/>
                    <w:tr2bl w:val="nil"/>
                  </w:tcBorders>
                  <w:noWrap w:val="0"/>
                  <w:vAlign w:val="center"/>
                </w:tcPr>
                <w:p w14:paraId="2D6AD8A7">
                  <w:pPr>
                    <w:pStyle w:val="28"/>
                    <w:widowControl w:val="0"/>
                    <w:bidi w:val="0"/>
                    <w:rPr>
                      <w:rFonts w:hint="eastAsia"/>
                      <w:color w:val="auto"/>
                      <w:lang w:val="en-US" w:eastAsia="zh-CN"/>
                    </w:rPr>
                  </w:pPr>
                </w:p>
              </w:tc>
              <w:tc>
                <w:tcPr>
                  <w:tcW w:w="432" w:type="pct"/>
                  <w:vMerge w:val="continue"/>
                  <w:tcBorders>
                    <w:tl2br w:val="nil"/>
                    <w:tr2bl w:val="nil"/>
                  </w:tcBorders>
                  <w:noWrap w:val="0"/>
                  <w:vAlign w:val="center"/>
                </w:tcPr>
                <w:p w14:paraId="0F6BC4EE">
                  <w:pPr>
                    <w:pStyle w:val="28"/>
                    <w:widowControl w:val="0"/>
                    <w:bidi w:val="0"/>
                    <w:rPr>
                      <w:rFonts w:hint="eastAsia"/>
                      <w:color w:val="auto"/>
                      <w:lang w:val="en-US" w:eastAsia="zh-CN"/>
                    </w:rPr>
                  </w:pPr>
                </w:p>
              </w:tc>
              <w:tc>
                <w:tcPr>
                  <w:tcW w:w="414" w:type="pct"/>
                  <w:vMerge w:val="continue"/>
                  <w:tcBorders>
                    <w:tl2br w:val="nil"/>
                    <w:tr2bl w:val="nil"/>
                  </w:tcBorders>
                  <w:noWrap w:val="0"/>
                  <w:vAlign w:val="center"/>
                </w:tcPr>
                <w:p w14:paraId="070D061C">
                  <w:pPr>
                    <w:pStyle w:val="28"/>
                    <w:widowControl w:val="0"/>
                    <w:bidi w:val="0"/>
                    <w:rPr>
                      <w:rFonts w:hint="eastAsia"/>
                      <w:color w:val="auto"/>
                      <w:lang w:val="en-US" w:eastAsia="zh-CN"/>
                    </w:rPr>
                  </w:pPr>
                </w:p>
              </w:tc>
              <w:tc>
                <w:tcPr>
                  <w:tcW w:w="524" w:type="pct"/>
                  <w:vMerge w:val="continue"/>
                  <w:tcBorders>
                    <w:tl2br w:val="nil"/>
                    <w:tr2bl w:val="nil"/>
                  </w:tcBorders>
                  <w:noWrap w:val="0"/>
                  <w:vAlign w:val="center"/>
                </w:tcPr>
                <w:p w14:paraId="433595B4">
                  <w:pPr>
                    <w:pStyle w:val="28"/>
                    <w:widowControl w:val="0"/>
                    <w:bidi w:val="0"/>
                    <w:rPr>
                      <w:rFonts w:hint="eastAsia"/>
                      <w:color w:val="auto"/>
                      <w:lang w:val="en-US" w:eastAsia="zh-CN"/>
                    </w:rPr>
                  </w:pPr>
                </w:p>
              </w:tc>
              <w:tc>
                <w:tcPr>
                  <w:tcW w:w="653" w:type="pct"/>
                  <w:vMerge w:val="continue"/>
                  <w:tcBorders>
                    <w:tl2br w:val="nil"/>
                    <w:tr2bl w:val="nil"/>
                  </w:tcBorders>
                  <w:noWrap w:val="0"/>
                  <w:vAlign w:val="center"/>
                </w:tcPr>
                <w:p w14:paraId="6370431B">
                  <w:pPr>
                    <w:pStyle w:val="28"/>
                    <w:widowControl w:val="0"/>
                    <w:bidi w:val="0"/>
                    <w:rPr>
                      <w:rFonts w:hint="eastAsia"/>
                      <w:color w:val="auto"/>
                      <w:lang w:val="en-US" w:eastAsia="zh-CN"/>
                    </w:rPr>
                  </w:pPr>
                </w:p>
              </w:tc>
              <w:tc>
                <w:tcPr>
                  <w:tcW w:w="753" w:type="pct"/>
                  <w:vMerge w:val="continue"/>
                  <w:tcBorders>
                    <w:tl2br w:val="nil"/>
                    <w:tr2bl w:val="nil"/>
                  </w:tcBorders>
                  <w:noWrap w:val="0"/>
                  <w:vAlign w:val="center"/>
                </w:tcPr>
                <w:p w14:paraId="26267204">
                  <w:pPr>
                    <w:pStyle w:val="28"/>
                    <w:widowControl w:val="0"/>
                    <w:bidi w:val="0"/>
                    <w:rPr>
                      <w:rFonts w:hint="eastAsia"/>
                      <w:color w:val="auto"/>
                      <w:lang w:val="en-US" w:eastAsia="zh-CN"/>
                    </w:rPr>
                  </w:pPr>
                </w:p>
              </w:tc>
              <w:tc>
                <w:tcPr>
                  <w:tcW w:w="328" w:type="pct"/>
                  <w:vMerge w:val="continue"/>
                  <w:tcBorders>
                    <w:tl2br w:val="nil"/>
                    <w:tr2bl w:val="nil"/>
                  </w:tcBorders>
                  <w:noWrap w:val="0"/>
                  <w:vAlign w:val="center"/>
                </w:tcPr>
                <w:p w14:paraId="798F32D0">
                  <w:pPr>
                    <w:pStyle w:val="28"/>
                    <w:widowControl w:val="0"/>
                    <w:bidi w:val="0"/>
                    <w:rPr>
                      <w:rFonts w:hint="eastAsia"/>
                      <w:color w:val="auto"/>
                      <w:lang w:val="en-US" w:eastAsia="zh-CN"/>
                    </w:rPr>
                  </w:pPr>
                </w:p>
              </w:tc>
              <w:tc>
                <w:tcPr>
                  <w:tcW w:w="579" w:type="pct"/>
                  <w:tcBorders>
                    <w:tl2br w:val="nil"/>
                    <w:tr2bl w:val="nil"/>
                  </w:tcBorders>
                  <w:noWrap w:val="0"/>
                  <w:vAlign w:val="center"/>
                </w:tcPr>
                <w:p w14:paraId="3CD022E6">
                  <w:pPr>
                    <w:pStyle w:val="28"/>
                    <w:widowControl w:val="0"/>
                    <w:bidi w:val="0"/>
                    <w:rPr>
                      <w:rFonts w:hint="eastAsia"/>
                      <w:color w:val="auto"/>
                      <w:lang w:val="en-US" w:eastAsia="zh-CN"/>
                    </w:rPr>
                  </w:pPr>
                  <w:r>
                    <w:rPr>
                      <w:rFonts w:hint="eastAsia"/>
                      <w:color w:val="auto"/>
                      <w:lang w:val="en-US" w:eastAsia="zh-CN"/>
                    </w:rPr>
                    <w:t>COD</w:t>
                  </w:r>
                </w:p>
              </w:tc>
              <w:tc>
                <w:tcPr>
                  <w:tcW w:w="718" w:type="pct"/>
                  <w:tcBorders>
                    <w:tl2br w:val="nil"/>
                    <w:tr2bl w:val="nil"/>
                  </w:tcBorders>
                  <w:noWrap w:val="0"/>
                  <w:vAlign w:val="center"/>
                </w:tcPr>
                <w:p w14:paraId="67A511F1">
                  <w:pPr>
                    <w:pStyle w:val="28"/>
                    <w:widowControl w:val="0"/>
                    <w:bidi w:val="0"/>
                    <w:rPr>
                      <w:rFonts w:hint="default"/>
                      <w:color w:val="auto"/>
                      <w:lang w:val="en-US" w:eastAsia="zh-CN"/>
                    </w:rPr>
                  </w:pPr>
                  <w:r>
                    <w:rPr>
                      <w:rFonts w:hint="eastAsia"/>
                      <w:color w:val="auto"/>
                      <w:lang w:val="en-US" w:eastAsia="zh-CN"/>
                    </w:rPr>
                    <w:t>50</w:t>
                  </w:r>
                </w:p>
              </w:tc>
            </w:tr>
            <w:tr w14:paraId="32739F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tcBorders>
                    <w:tl2br w:val="nil"/>
                    <w:tr2bl w:val="nil"/>
                  </w:tcBorders>
                  <w:noWrap w:val="0"/>
                  <w:vAlign w:val="center"/>
                </w:tcPr>
                <w:p w14:paraId="3D328FC2">
                  <w:pPr>
                    <w:pStyle w:val="28"/>
                    <w:widowControl w:val="0"/>
                    <w:bidi w:val="0"/>
                    <w:rPr>
                      <w:rFonts w:hint="eastAsia"/>
                      <w:color w:val="auto"/>
                      <w:lang w:val="en-US" w:eastAsia="zh-CN"/>
                    </w:rPr>
                  </w:pPr>
                </w:p>
              </w:tc>
              <w:tc>
                <w:tcPr>
                  <w:tcW w:w="432" w:type="pct"/>
                  <w:vMerge w:val="continue"/>
                  <w:tcBorders>
                    <w:tl2br w:val="nil"/>
                    <w:tr2bl w:val="nil"/>
                  </w:tcBorders>
                  <w:noWrap w:val="0"/>
                  <w:vAlign w:val="center"/>
                </w:tcPr>
                <w:p w14:paraId="25BDD650">
                  <w:pPr>
                    <w:pStyle w:val="28"/>
                    <w:widowControl w:val="0"/>
                    <w:bidi w:val="0"/>
                    <w:rPr>
                      <w:rFonts w:hint="eastAsia"/>
                      <w:color w:val="auto"/>
                      <w:lang w:val="en-US" w:eastAsia="zh-CN"/>
                    </w:rPr>
                  </w:pPr>
                </w:p>
              </w:tc>
              <w:tc>
                <w:tcPr>
                  <w:tcW w:w="414" w:type="pct"/>
                  <w:vMerge w:val="continue"/>
                  <w:tcBorders>
                    <w:tl2br w:val="nil"/>
                    <w:tr2bl w:val="nil"/>
                  </w:tcBorders>
                  <w:noWrap w:val="0"/>
                  <w:vAlign w:val="center"/>
                </w:tcPr>
                <w:p w14:paraId="26979C3C">
                  <w:pPr>
                    <w:pStyle w:val="28"/>
                    <w:widowControl w:val="0"/>
                    <w:bidi w:val="0"/>
                    <w:rPr>
                      <w:rFonts w:hint="eastAsia"/>
                      <w:color w:val="auto"/>
                      <w:lang w:val="en-US" w:eastAsia="zh-CN"/>
                    </w:rPr>
                  </w:pPr>
                </w:p>
              </w:tc>
              <w:tc>
                <w:tcPr>
                  <w:tcW w:w="524" w:type="pct"/>
                  <w:vMerge w:val="continue"/>
                  <w:tcBorders>
                    <w:tl2br w:val="nil"/>
                    <w:tr2bl w:val="nil"/>
                  </w:tcBorders>
                  <w:noWrap w:val="0"/>
                  <w:vAlign w:val="center"/>
                </w:tcPr>
                <w:p w14:paraId="6B818C44">
                  <w:pPr>
                    <w:pStyle w:val="28"/>
                    <w:widowControl w:val="0"/>
                    <w:bidi w:val="0"/>
                    <w:rPr>
                      <w:rFonts w:hint="eastAsia"/>
                      <w:color w:val="auto"/>
                      <w:lang w:val="en-US" w:eastAsia="zh-CN"/>
                    </w:rPr>
                  </w:pPr>
                </w:p>
              </w:tc>
              <w:tc>
                <w:tcPr>
                  <w:tcW w:w="653" w:type="pct"/>
                  <w:vMerge w:val="continue"/>
                  <w:tcBorders>
                    <w:tl2br w:val="nil"/>
                    <w:tr2bl w:val="nil"/>
                  </w:tcBorders>
                  <w:noWrap w:val="0"/>
                  <w:vAlign w:val="center"/>
                </w:tcPr>
                <w:p w14:paraId="3810CD32">
                  <w:pPr>
                    <w:pStyle w:val="28"/>
                    <w:widowControl w:val="0"/>
                    <w:bidi w:val="0"/>
                    <w:rPr>
                      <w:rFonts w:hint="eastAsia"/>
                      <w:color w:val="auto"/>
                      <w:lang w:val="en-US" w:eastAsia="zh-CN"/>
                    </w:rPr>
                  </w:pPr>
                </w:p>
              </w:tc>
              <w:tc>
                <w:tcPr>
                  <w:tcW w:w="753" w:type="pct"/>
                  <w:vMerge w:val="continue"/>
                  <w:tcBorders>
                    <w:tl2br w:val="nil"/>
                    <w:tr2bl w:val="nil"/>
                  </w:tcBorders>
                  <w:noWrap w:val="0"/>
                  <w:vAlign w:val="center"/>
                </w:tcPr>
                <w:p w14:paraId="035D44B2">
                  <w:pPr>
                    <w:pStyle w:val="28"/>
                    <w:widowControl w:val="0"/>
                    <w:bidi w:val="0"/>
                    <w:rPr>
                      <w:rFonts w:hint="eastAsia"/>
                      <w:color w:val="auto"/>
                      <w:lang w:val="en-US" w:eastAsia="zh-CN"/>
                    </w:rPr>
                  </w:pPr>
                </w:p>
              </w:tc>
              <w:tc>
                <w:tcPr>
                  <w:tcW w:w="328" w:type="pct"/>
                  <w:vMerge w:val="continue"/>
                  <w:tcBorders>
                    <w:tl2br w:val="nil"/>
                    <w:tr2bl w:val="nil"/>
                  </w:tcBorders>
                  <w:noWrap w:val="0"/>
                  <w:vAlign w:val="center"/>
                </w:tcPr>
                <w:p w14:paraId="45EFCE0C">
                  <w:pPr>
                    <w:pStyle w:val="28"/>
                    <w:widowControl w:val="0"/>
                    <w:bidi w:val="0"/>
                    <w:rPr>
                      <w:rFonts w:hint="eastAsia"/>
                      <w:color w:val="auto"/>
                      <w:lang w:val="en-US" w:eastAsia="zh-CN"/>
                    </w:rPr>
                  </w:pPr>
                </w:p>
              </w:tc>
              <w:tc>
                <w:tcPr>
                  <w:tcW w:w="579" w:type="pct"/>
                  <w:tcBorders>
                    <w:tl2br w:val="nil"/>
                    <w:tr2bl w:val="nil"/>
                  </w:tcBorders>
                  <w:noWrap w:val="0"/>
                  <w:vAlign w:val="center"/>
                </w:tcPr>
                <w:p w14:paraId="08A28922">
                  <w:pPr>
                    <w:pStyle w:val="28"/>
                    <w:widowControl w:val="0"/>
                    <w:bidi w:val="0"/>
                    <w:rPr>
                      <w:rFonts w:hint="default"/>
                      <w:color w:val="auto"/>
                      <w:lang w:val="en-US" w:eastAsia="zh-CN"/>
                    </w:rPr>
                  </w:pPr>
                  <w:r>
                    <w:rPr>
                      <w:rFonts w:hint="eastAsia"/>
                      <w:color w:val="auto"/>
                      <w:lang w:val="en-US" w:eastAsia="zh-CN"/>
                    </w:rPr>
                    <w:t>氨氮</w:t>
                  </w:r>
                </w:p>
              </w:tc>
              <w:tc>
                <w:tcPr>
                  <w:tcW w:w="718" w:type="pct"/>
                  <w:tcBorders>
                    <w:tl2br w:val="nil"/>
                    <w:tr2bl w:val="nil"/>
                  </w:tcBorders>
                  <w:noWrap w:val="0"/>
                  <w:vAlign w:val="center"/>
                </w:tcPr>
                <w:p w14:paraId="42935661">
                  <w:pPr>
                    <w:pStyle w:val="28"/>
                    <w:widowControl w:val="0"/>
                    <w:bidi w:val="0"/>
                    <w:rPr>
                      <w:rFonts w:hint="default"/>
                      <w:color w:val="auto"/>
                      <w:lang w:val="en-US" w:eastAsia="zh-CN"/>
                    </w:rPr>
                  </w:pPr>
                  <w:r>
                    <w:rPr>
                      <w:rFonts w:hint="eastAsia"/>
                      <w:color w:val="auto"/>
                      <w:lang w:val="en-US" w:eastAsia="zh-CN"/>
                    </w:rPr>
                    <w:t>5</w:t>
                  </w:r>
                </w:p>
              </w:tc>
            </w:tr>
            <w:tr w14:paraId="7889D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tcBorders>
                    <w:tl2br w:val="nil"/>
                    <w:tr2bl w:val="nil"/>
                  </w:tcBorders>
                  <w:noWrap w:val="0"/>
                  <w:vAlign w:val="center"/>
                </w:tcPr>
                <w:p w14:paraId="0CF121EF">
                  <w:pPr>
                    <w:pStyle w:val="28"/>
                    <w:widowControl w:val="0"/>
                    <w:bidi w:val="0"/>
                    <w:rPr>
                      <w:rFonts w:hint="eastAsia"/>
                      <w:color w:val="auto"/>
                      <w:lang w:val="en-US" w:eastAsia="zh-CN"/>
                    </w:rPr>
                  </w:pPr>
                </w:p>
              </w:tc>
              <w:tc>
                <w:tcPr>
                  <w:tcW w:w="432" w:type="pct"/>
                  <w:vMerge w:val="continue"/>
                  <w:tcBorders>
                    <w:tl2br w:val="nil"/>
                    <w:tr2bl w:val="nil"/>
                  </w:tcBorders>
                  <w:noWrap w:val="0"/>
                  <w:vAlign w:val="center"/>
                </w:tcPr>
                <w:p w14:paraId="05139183">
                  <w:pPr>
                    <w:pStyle w:val="28"/>
                    <w:widowControl w:val="0"/>
                    <w:bidi w:val="0"/>
                    <w:rPr>
                      <w:rFonts w:hint="eastAsia"/>
                      <w:color w:val="auto"/>
                      <w:lang w:val="en-US" w:eastAsia="zh-CN"/>
                    </w:rPr>
                  </w:pPr>
                </w:p>
              </w:tc>
              <w:tc>
                <w:tcPr>
                  <w:tcW w:w="414" w:type="pct"/>
                  <w:vMerge w:val="continue"/>
                  <w:tcBorders>
                    <w:tl2br w:val="nil"/>
                    <w:tr2bl w:val="nil"/>
                  </w:tcBorders>
                  <w:noWrap w:val="0"/>
                  <w:vAlign w:val="center"/>
                </w:tcPr>
                <w:p w14:paraId="767F35AF">
                  <w:pPr>
                    <w:pStyle w:val="28"/>
                    <w:widowControl w:val="0"/>
                    <w:bidi w:val="0"/>
                    <w:rPr>
                      <w:rFonts w:hint="eastAsia"/>
                      <w:color w:val="auto"/>
                      <w:lang w:val="en-US" w:eastAsia="zh-CN"/>
                    </w:rPr>
                  </w:pPr>
                </w:p>
              </w:tc>
              <w:tc>
                <w:tcPr>
                  <w:tcW w:w="524" w:type="pct"/>
                  <w:vMerge w:val="continue"/>
                  <w:tcBorders>
                    <w:tl2br w:val="nil"/>
                    <w:tr2bl w:val="nil"/>
                  </w:tcBorders>
                  <w:noWrap w:val="0"/>
                  <w:vAlign w:val="center"/>
                </w:tcPr>
                <w:p w14:paraId="70BCACC8">
                  <w:pPr>
                    <w:pStyle w:val="28"/>
                    <w:widowControl w:val="0"/>
                    <w:bidi w:val="0"/>
                    <w:rPr>
                      <w:rFonts w:hint="eastAsia"/>
                      <w:color w:val="auto"/>
                      <w:lang w:val="en-US" w:eastAsia="zh-CN"/>
                    </w:rPr>
                  </w:pPr>
                </w:p>
              </w:tc>
              <w:tc>
                <w:tcPr>
                  <w:tcW w:w="653" w:type="pct"/>
                  <w:vMerge w:val="continue"/>
                  <w:tcBorders>
                    <w:tl2br w:val="nil"/>
                    <w:tr2bl w:val="nil"/>
                  </w:tcBorders>
                  <w:noWrap w:val="0"/>
                  <w:vAlign w:val="center"/>
                </w:tcPr>
                <w:p w14:paraId="1F4163C8">
                  <w:pPr>
                    <w:pStyle w:val="28"/>
                    <w:widowControl w:val="0"/>
                    <w:bidi w:val="0"/>
                    <w:rPr>
                      <w:rFonts w:hint="eastAsia"/>
                      <w:color w:val="auto"/>
                      <w:lang w:val="en-US" w:eastAsia="zh-CN"/>
                    </w:rPr>
                  </w:pPr>
                </w:p>
              </w:tc>
              <w:tc>
                <w:tcPr>
                  <w:tcW w:w="753" w:type="pct"/>
                  <w:vMerge w:val="continue"/>
                  <w:tcBorders>
                    <w:tl2br w:val="nil"/>
                    <w:tr2bl w:val="nil"/>
                  </w:tcBorders>
                  <w:noWrap w:val="0"/>
                  <w:vAlign w:val="center"/>
                </w:tcPr>
                <w:p w14:paraId="312DADAC">
                  <w:pPr>
                    <w:pStyle w:val="28"/>
                    <w:widowControl w:val="0"/>
                    <w:bidi w:val="0"/>
                    <w:rPr>
                      <w:rFonts w:hint="eastAsia"/>
                      <w:color w:val="auto"/>
                      <w:lang w:val="en-US" w:eastAsia="zh-CN"/>
                    </w:rPr>
                  </w:pPr>
                </w:p>
              </w:tc>
              <w:tc>
                <w:tcPr>
                  <w:tcW w:w="328" w:type="pct"/>
                  <w:vMerge w:val="continue"/>
                  <w:tcBorders>
                    <w:tl2br w:val="nil"/>
                    <w:tr2bl w:val="nil"/>
                  </w:tcBorders>
                  <w:noWrap w:val="0"/>
                  <w:vAlign w:val="center"/>
                </w:tcPr>
                <w:p w14:paraId="0FFE28B3">
                  <w:pPr>
                    <w:pStyle w:val="28"/>
                    <w:widowControl w:val="0"/>
                    <w:bidi w:val="0"/>
                    <w:rPr>
                      <w:rFonts w:hint="eastAsia"/>
                      <w:color w:val="auto"/>
                      <w:lang w:val="en-US" w:eastAsia="zh-CN"/>
                    </w:rPr>
                  </w:pPr>
                </w:p>
              </w:tc>
              <w:tc>
                <w:tcPr>
                  <w:tcW w:w="579" w:type="pct"/>
                  <w:tcBorders>
                    <w:tl2br w:val="nil"/>
                    <w:tr2bl w:val="nil"/>
                  </w:tcBorders>
                  <w:noWrap w:val="0"/>
                  <w:vAlign w:val="center"/>
                </w:tcPr>
                <w:p w14:paraId="25EC98E6">
                  <w:pPr>
                    <w:pStyle w:val="28"/>
                    <w:widowControl w:val="0"/>
                    <w:bidi w:val="0"/>
                    <w:rPr>
                      <w:rFonts w:hint="default"/>
                      <w:color w:val="auto"/>
                      <w:lang w:val="en-US" w:eastAsia="zh-CN"/>
                    </w:rPr>
                  </w:pPr>
                  <w:r>
                    <w:rPr>
                      <w:rFonts w:hint="eastAsia"/>
                      <w:color w:val="auto"/>
                      <w:lang w:val="en-US" w:eastAsia="zh-CN"/>
                    </w:rPr>
                    <w:t>SS</w:t>
                  </w:r>
                </w:p>
              </w:tc>
              <w:tc>
                <w:tcPr>
                  <w:tcW w:w="718" w:type="pct"/>
                  <w:tcBorders>
                    <w:tl2br w:val="nil"/>
                    <w:tr2bl w:val="nil"/>
                  </w:tcBorders>
                  <w:noWrap w:val="0"/>
                  <w:vAlign w:val="center"/>
                </w:tcPr>
                <w:p w14:paraId="22B72E27">
                  <w:pPr>
                    <w:pStyle w:val="28"/>
                    <w:widowControl w:val="0"/>
                    <w:bidi w:val="0"/>
                    <w:rPr>
                      <w:rFonts w:hint="default"/>
                      <w:color w:val="auto"/>
                      <w:lang w:val="en-US" w:eastAsia="zh-CN"/>
                    </w:rPr>
                  </w:pPr>
                  <w:r>
                    <w:rPr>
                      <w:rFonts w:hint="eastAsia"/>
                      <w:color w:val="auto"/>
                      <w:lang w:val="en-US" w:eastAsia="zh-CN"/>
                    </w:rPr>
                    <w:t>10</w:t>
                  </w:r>
                </w:p>
              </w:tc>
            </w:tr>
            <w:tr w14:paraId="2237B0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593" w:type="pct"/>
                  <w:vMerge w:val="continue"/>
                  <w:tcBorders>
                    <w:tl2br w:val="nil"/>
                    <w:tr2bl w:val="nil"/>
                  </w:tcBorders>
                  <w:noWrap w:val="0"/>
                  <w:vAlign w:val="center"/>
                </w:tcPr>
                <w:p w14:paraId="5A83ADC9">
                  <w:pPr>
                    <w:pStyle w:val="28"/>
                    <w:widowControl w:val="0"/>
                    <w:bidi w:val="0"/>
                    <w:rPr>
                      <w:rFonts w:hint="eastAsia"/>
                      <w:color w:val="auto"/>
                      <w:lang w:val="en-US" w:eastAsia="zh-CN"/>
                    </w:rPr>
                  </w:pPr>
                </w:p>
              </w:tc>
              <w:tc>
                <w:tcPr>
                  <w:tcW w:w="432" w:type="pct"/>
                  <w:vMerge w:val="continue"/>
                  <w:tcBorders>
                    <w:tl2br w:val="nil"/>
                    <w:tr2bl w:val="nil"/>
                  </w:tcBorders>
                  <w:noWrap w:val="0"/>
                  <w:vAlign w:val="center"/>
                </w:tcPr>
                <w:p w14:paraId="117A687B">
                  <w:pPr>
                    <w:pStyle w:val="28"/>
                    <w:widowControl w:val="0"/>
                    <w:bidi w:val="0"/>
                    <w:rPr>
                      <w:rFonts w:hint="eastAsia"/>
                      <w:color w:val="auto"/>
                      <w:lang w:val="en-US" w:eastAsia="zh-CN"/>
                    </w:rPr>
                  </w:pPr>
                </w:p>
              </w:tc>
              <w:tc>
                <w:tcPr>
                  <w:tcW w:w="414" w:type="pct"/>
                  <w:vMerge w:val="continue"/>
                  <w:tcBorders>
                    <w:tl2br w:val="nil"/>
                    <w:tr2bl w:val="nil"/>
                  </w:tcBorders>
                  <w:noWrap w:val="0"/>
                  <w:vAlign w:val="center"/>
                </w:tcPr>
                <w:p w14:paraId="2D7F923C">
                  <w:pPr>
                    <w:pStyle w:val="28"/>
                    <w:widowControl w:val="0"/>
                    <w:bidi w:val="0"/>
                    <w:rPr>
                      <w:rFonts w:hint="eastAsia"/>
                      <w:color w:val="auto"/>
                      <w:lang w:val="en-US" w:eastAsia="zh-CN"/>
                    </w:rPr>
                  </w:pPr>
                </w:p>
              </w:tc>
              <w:tc>
                <w:tcPr>
                  <w:tcW w:w="524" w:type="pct"/>
                  <w:vMerge w:val="continue"/>
                  <w:tcBorders>
                    <w:tl2br w:val="nil"/>
                    <w:tr2bl w:val="nil"/>
                  </w:tcBorders>
                  <w:noWrap w:val="0"/>
                  <w:vAlign w:val="center"/>
                </w:tcPr>
                <w:p w14:paraId="3A791FBA">
                  <w:pPr>
                    <w:pStyle w:val="28"/>
                    <w:widowControl w:val="0"/>
                    <w:bidi w:val="0"/>
                    <w:rPr>
                      <w:rFonts w:hint="eastAsia"/>
                      <w:color w:val="auto"/>
                      <w:lang w:val="en-US" w:eastAsia="zh-CN"/>
                    </w:rPr>
                  </w:pPr>
                </w:p>
              </w:tc>
              <w:tc>
                <w:tcPr>
                  <w:tcW w:w="653" w:type="pct"/>
                  <w:vMerge w:val="continue"/>
                  <w:tcBorders>
                    <w:tl2br w:val="nil"/>
                    <w:tr2bl w:val="nil"/>
                  </w:tcBorders>
                  <w:noWrap w:val="0"/>
                  <w:vAlign w:val="center"/>
                </w:tcPr>
                <w:p w14:paraId="2B3A3DE9">
                  <w:pPr>
                    <w:pStyle w:val="28"/>
                    <w:widowControl w:val="0"/>
                    <w:bidi w:val="0"/>
                    <w:rPr>
                      <w:rFonts w:hint="eastAsia"/>
                      <w:color w:val="auto"/>
                      <w:lang w:val="en-US" w:eastAsia="zh-CN"/>
                    </w:rPr>
                  </w:pPr>
                </w:p>
              </w:tc>
              <w:tc>
                <w:tcPr>
                  <w:tcW w:w="753" w:type="pct"/>
                  <w:vMerge w:val="continue"/>
                  <w:tcBorders>
                    <w:tl2br w:val="nil"/>
                    <w:tr2bl w:val="nil"/>
                  </w:tcBorders>
                  <w:noWrap w:val="0"/>
                  <w:vAlign w:val="center"/>
                </w:tcPr>
                <w:p w14:paraId="202CA92B">
                  <w:pPr>
                    <w:pStyle w:val="28"/>
                    <w:widowControl w:val="0"/>
                    <w:bidi w:val="0"/>
                    <w:rPr>
                      <w:rFonts w:hint="eastAsia"/>
                      <w:color w:val="auto"/>
                      <w:lang w:val="en-US" w:eastAsia="zh-CN"/>
                    </w:rPr>
                  </w:pPr>
                </w:p>
              </w:tc>
              <w:tc>
                <w:tcPr>
                  <w:tcW w:w="328" w:type="pct"/>
                  <w:vMerge w:val="continue"/>
                  <w:tcBorders>
                    <w:tl2br w:val="nil"/>
                    <w:tr2bl w:val="nil"/>
                  </w:tcBorders>
                  <w:noWrap w:val="0"/>
                  <w:vAlign w:val="center"/>
                </w:tcPr>
                <w:p w14:paraId="1F046309">
                  <w:pPr>
                    <w:pStyle w:val="28"/>
                    <w:widowControl w:val="0"/>
                    <w:bidi w:val="0"/>
                    <w:rPr>
                      <w:rFonts w:hint="eastAsia"/>
                      <w:color w:val="auto"/>
                      <w:lang w:val="en-US" w:eastAsia="zh-CN"/>
                    </w:rPr>
                  </w:pPr>
                </w:p>
              </w:tc>
              <w:tc>
                <w:tcPr>
                  <w:tcW w:w="579" w:type="pct"/>
                  <w:tcBorders>
                    <w:tl2br w:val="nil"/>
                    <w:tr2bl w:val="nil"/>
                  </w:tcBorders>
                  <w:noWrap w:val="0"/>
                  <w:vAlign w:val="center"/>
                </w:tcPr>
                <w:p w14:paraId="1DA040FE">
                  <w:pPr>
                    <w:pStyle w:val="28"/>
                    <w:widowControl w:val="0"/>
                    <w:bidi w:val="0"/>
                    <w:rPr>
                      <w:rFonts w:hint="default"/>
                      <w:color w:val="auto"/>
                      <w:lang w:val="en-US" w:eastAsia="zh-CN"/>
                    </w:rPr>
                  </w:pPr>
                  <w:r>
                    <w:rPr>
                      <w:rFonts w:hint="eastAsia"/>
                      <w:color w:val="auto"/>
                      <w:lang w:val="en-US" w:eastAsia="zh-CN"/>
                    </w:rPr>
                    <w:t>粪大肠菌群数</w:t>
                  </w:r>
                </w:p>
              </w:tc>
              <w:tc>
                <w:tcPr>
                  <w:tcW w:w="718" w:type="pct"/>
                  <w:tcBorders>
                    <w:tl2br w:val="nil"/>
                    <w:tr2bl w:val="nil"/>
                  </w:tcBorders>
                  <w:noWrap w:val="0"/>
                  <w:vAlign w:val="center"/>
                </w:tcPr>
                <w:p w14:paraId="35700F49">
                  <w:pPr>
                    <w:pStyle w:val="28"/>
                    <w:widowControl w:val="0"/>
                    <w:bidi w:val="0"/>
                    <w:rPr>
                      <w:rFonts w:hint="default"/>
                      <w:color w:val="auto"/>
                      <w:vertAlign w:val="superscript"/>
                      <w:lang w:val="en-US" w:eastAsia="zh-CN"/>
                    </w:rPr>
                  </w:pPr>
                  <w:r>
                    <w:rPr>
                      <w:rFonts w:hint="eastAsia"/>
                      <w:color w:val="auto"/>
                      <w:lang w:val="en-US" w:eastAsia="zh-CN"/>
                    </w:rPr>
                    <w:t>10</w:t>
                  </w:r>
                  <w:r>
                    <w:rPr>
                      <w:rFonts w:hint="eastAsia"/>
                      <w:color w:val="auto"/>
                      <w:vertAlign w:val="baseline"/>
                      <w:lang w:val="en-US" w:eastAsia="zh-CN"/>
                    </w:rPr>
                    <w:t>00</w:t>
                  </w:r>
                </w:p>
                <w:p w14:paraId="42701724">
                  <w:pPr>
                    <w:pStyle w:val="28"/>
                    <w:widowControl w:val="0"/>
                    <w:bidi w:val="0"/>
                    <w:rPr>
                      <w:rFonts w:hint="default"/>
                      <w:color w:val="auto"/>
                      <w:lang w:val="en-US" w:eastAsia="zh-CN"/>
                    </w:rPr>
                  </w:pPr>
                  <w:r>
                    <w:rPr>
                      <w:rFonts w:hint="eastAsia"/>
                      <w:color w:val="auto"/>
                      <w:lang w:val="en-US" w:eastAsia="zh-CN"/>
                    </w:rPr>
                    <w:t>（个/L）</w:t>
                  </w:r>
                </w:p>
              </w:tc>
            </w:tr>
          </w:tbl>
          <w:p w14:paraId="32B4D238">
            <w:pPr>
              <w:pStyle w:val="4"/>
              <w:bidi w:val="0"/>
              <w:rPr>
                <w:rFonts w:hint="default"/>
                <w:color w:val="auto"/>
                <w:lang w:val="en-US" w:eastAsia="zh-CN"/>
              </w:rPr>
            </w:pPr>
            <w:r>
              <w:rPr>
                <w:rFonts w:hint="eastAsia"/>
                <w:color w:val="auto"/>
                <w:lang w:val="en-US" w:eastAsia="zh-CN"/>
              </w:rPr>
              <w:t>4.6.3</w:t>
            </w:r>
            <w:r>
              <w:rPr>
                <w:rFonts w:hint="default"/>
                <w:color w:val="auto"/>
                <w:lang w:val="en-US" w:eastAsia="zh-CN"/>
              </w:rPr>
              <w:t>监测计划</w:t>
            </w:r>
          </w:p>
          <w:p w14:paraId="50D80F41">
            <w:pPr>
              <w:pStyle w:val="29"/>
              <w:bidi w:val="0"/>
              <w:rPr>
                <w:rFonts w:hint="eastAsia"/>
                <w:color w:val="auto"/>
                <w:lang w:val="en-US" w:eastAsia="zh-CN"/>
              </w:rPr>
            </w:pPr>
            <w:r>
              <w:rPr>
                <w:rFonts w:hint="eastAsia"/>
                <w:color w:val="auto"/>
                <w:lang w:val="en-US" w:eastAsia="zh-CN"/>
              </w:rPr>
              <w:t>参照《排污单位自行监测技术指南总则》（</w:t>
            </w:r>
            <w:r>
              <w:rPr>
                <w:rFonts w:hint="default"/>
                <w:color w:val="auto"/>
                <w:lang w:val="en-US" w:eastAsia="zh-CN"/>
              </w:rPr>
              <w:t>HJ819-2017</w:t>
            </w:r>
            <w:r>
              <w:rPr>
                <w:rFonts w:hint="eastAsia"/>
                <w:color w:val="auto"/>
                <w:lang w:val="en-US" w:eastAsia="zh-CN"/>
              </w:rPr>
              <w:t>）要求，建设单位废水污染源监测计划如下：</w:t>
            </w:r>
          </w:p>
          <w:p w14:paraId="5EBA3D35">
            <w:pPr>
              <w:pStyle w:val="22"/>
              <w:bidi w:val="0"/>
              <w:ind w:left="0" w:leftChars="0" w:firstLine="0" w:firstLineChars="0"/>
              <w:jc w:val="center"/>
              <w:rPr>
                <w:rFonts w:hint="eastAsia"/>
                <w:color w:val="auto"/>
                <w:lang w:val="en-US" w:eastAsia="zh-CN"/>
              </w:rPr>
            </w:pPr>
            <w:r>
              <w:rPr>
                <w:rFonts w:hint="eastAsia"/>
                <w:color w:val="auto"/>
                <w:lang w:val="en-US" w:eastAsia="zh-CN"/>
              </w:rPr>
              <w:t>表</w:t>
            </w:r>
            <w:r>
              <w:rPr>
                <w:rFonts w:hint="default"/>
                <w:color w:val="auto"/>
                <w:lang w:val="en-US" w:eastAsia="zh-CN"/>
              </w:rPr>
              <w:t>4-</w:t>
            </w:r>
            <w:r>
              <w:rPr>
                <w:rFonts w:hint="eastAsia"/>
                <w:color w:val="auto"/>
                <w:lang w:val="en-US" w:eastAsia="zh-CN"/>
              </w:rPr>
              <w:t xml:space="preserve">6  </w:t>
            </w:r>
            <w:r>
              <w:rPr>
                <w:rFonts w:hint="default"/>
                <w:color w:val="auto"/>
                <w:lang w:val="en-US" w:eastAsia="zh-CN"/>
              </w:rPr>
              <w:t xml:space="preserve"> </w:t>
            </w:r>
            <w:r>
              <w:rPr>
                <w:rFonts w:hint="eastAsia"/>
                <w:color w:val="auto"/>
                <w:lang w:val="en-US" w:eastAsia="zh-CN"/>
              </w:rPr>
              <w:t>废水污染源监测计划</w:t>
            </w:r>
          </w:p>
          <w:tbl>
            <w:tblPr>
              <w:tblStyle w:val="14"/>
              <w:tblW w:w="794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470"/>
              <w:gridCol w:w="1269"/>
              <w:gridCol w:w="1477"/>
              <w:gridCol w:w="1188"/>
              <w:gridCol w:w="2542"/>
            </w:tblGrid>
            <w:tr w14:paraId="76F422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470" w:type="dxa"/>
                  <w:tcBorders>
                    <w:tl2br w:val="nil"/>
                    <w:tr2bl w:val="nil"/>
                  </w:tcBorders>
                  <w:noWrap/>
                  <w:vAlign w:val="center"/>
                </w:tcPr>
                <w:p w14:paraId="40AACC0D">
                  <w:pPr>
                    <w:pStyle w:val="28"/>
                    <w:bidi w:val="0"/>
                    <w:rPr>
                      <w:rFonts w:hint="default"/>
                      <w:b/>
                      <w:bCs w:val="0"/>
                      <w:color w:val="auto"/>
                      <w:lang w:val="en-US" w:eastAsia="zh-CN"/>
                    </w:rPr>
                  </w:pPr>
                  <w:r>
                    <w:rPr>
                      <w:rFonts w:hint="default"/>
                      <w:b/>
                      <w:bCs w:val="0"/>
                      <w:color w:val="auto"/>
                      <w:lang w:val="en-US" w:eastAsia="zh-CN"/>
                    </w:rPr>
                    <w:t>类别</w:t>
                  </w:r>
                </w:p>
              </w:tc>
              <w:tc>
                <w:tcPr>
                  <w:tcW w:w="1269" w:type="dxa"/>
                  <w:tcBorders>
                    <w:tl2br w:val="nil"/>
                    <w:tr2bl w:val="nil"/>
                  </w:tcBorders>
                  <w:noWrap/>
                  <w:vAlign w:val="center"/>
                </w:tcPr>
                <w:p w14:paraId="26F93476">
                  <w:pPr>
                    <w:pStyle w:val="28"/>
                    <w:bidi w:val="0"/>
                    <w:rPr>
                      <w:rFonts w:hint="default"/>
                      <w:b/>
                      <w:bCs w:val="0"/>
                      <w:color w:val="auto"/>
                      <w:lang w:val="en-US" w:eastAsia="zh-CN"/>
                    </w:rPr>
                  </w:pPr>
                  <w:r>
                    <w:rPr>
                      <w:rFonts w:hint="default"/>
                      <w:b/>
                      <w:bCs w:val="0"/>
                      <w:color w:val="auto"/>
                      <w:lang w:val="en-US" w:eastAsia="zh-CN"/>
                    </w:rPr>
                    <w:t>监测点位</w:t>
                  </w:r>
                </w:p>
              </w:tc>
              <w:tc>
                <w:tcPr>
                  <w:tcW w:w="1477" w:type="dxa"/>
                  <w:tcBorders>
                    <w:tl2br w:val="nil"/>
                    <w:tr2bl w:val="nil"/>
                  </w:tcBorders>
                  <w:noWrap/>
                  <w:vAlign w:val="center"/>
                </w:tcPr>
                <w:p w14:paraId="3C260F9F">
                  <w:pPr>
                    <w:pStyle w:val="28"/>
                    <w:bidi w:val="0"/>
                    <w:rPr>
                      <w:rFonts w:hint="default"/>
                      <w:b/>
                      <w:bCs w:val="0"/>
                      <w:color w:val="auto"/>
                      <w:lang w:val="en-US" w:eastAsia="zh-CN"/>
                    </w:rPr>
                  </w:pPr>
                  <w:r>
                    <w:rPr>
                      <w:rFonts w:hint="default"/>
                      <w:b/>
                      <w:bCs w:val="0"/>
                      <w:color w:val="auto"/>
                      <w:lang w:val="en-US" w:eastAsia="zh-CN"/>
                    </w:rPr>
                    <w:t>监测项目</w:t>
                  </w:r>
                </w:p>
              </w:tc>
              <w:tc>
                <w:tcPr>
                  <w:tcW w:w="1188" w:type="dxa"/>
                  <w:tcBorders>
                    <w:tl2br w:val="nil"/>
                    <w:tr2bl w:val="nil"/>
                  </w:tcBorders>
                  <w:noWrap/>
                  <w:vAlign w:val="center"/>
                </w:tcPr>
                <w:p w14:paraId="1B351B67">
                  <w:pPr>
                    <w:pStyle w:val="28"/>
                    <w:bidi w:val="0"/>
                    <w:rPr>
                      <w:rFonts w:hint="default"/>
                      <w:b/>
                      <w:bCs w:val="0"/>
                      <w:color w:val="auto"/>
                      <w:lang w:val="en-US" w:eastAsia="zh-CN"/>
                    </w:rPr>
                  </w:pPr>
                  <w:r>
                    <w:rPr>
                      <w:rFonts w:hint="default"/>
                      <w:b/>
                      <w:bCs w:val="0"/>
                      <w:color w:val="auto"/>
                      <w:lang w:val="en-US" w:eastAsia="zh-CN"/>
                    </w:rPr>
                    <w:t>监测频率</w:t>
                  </w:r>
                </w:p>
              </w:tc>
              <w:tc>
                <w:tcPr>
                  <w:tcW w:w="2542" w:type="dxa"/>
                  <w:tcBorders>
                    <w:tl2br w:val="nil"/>
                    <w:tr2bl w:val="nil"/>
                  </w:tcBorders>
                  <w:noWrap/>
                  <w:vAlign w:val="center"/>
                </w:tcPr>
                <w:p w14:paraId="6E1D8547">
                  <w:pPr>
                    <w:pStyle w:val="28"/>
                    <w:bidi w:val="0"/>
                    <w:rPr>
                      <w:rFonts w:hint="default"/>
                      <w:b/>
                      <w:bCs w:val="0"/>
                      <w:color w:val="auto"/>
                      <w:lang w:val="en-US" w:eastAsia="zh-CN"/>
                    </w:rPr>
                  </w:pPr>
                  <w:r>
                    <w:rPr>
                      <w:rFonts w:hint="default"/>
                      <w:b/>
                      <w:bCs w:val="0"/>
                      <w:color w:val="auto"/>
                      <w:lang w:val="en-US" w:eastAsia="zh-CN"/>
                    </w:rPr>
                    <w:t>执行排放标准</w:t>
                  </w:r>
                </w:p>
              </w:tc>
            </w:tr>
            <w:tr w14:paraId="0DE52B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470" w:type="dxa"/>
                  <w:tcBorders>
                    <w:tl2br w:val="nil"/>
                    <w:tr2bl w:val="nil"/>
                  </w:tcBorders>
                  <w:noWrap/>
                  <w:vAlign w:val="center"/>
                </w:tcPr>
                <w:p w14:paraId="691A56AF">
                  <w:pPr>
                    <w:pStyle w:val="28"/>
                    <w:bidi w:val="0"/>
                    <w:rPr>
                      <w:rFonts w:hint="default"/>
                      <w:color w:val="auto"/>
                      <w:lang w:val="en-US" w:eastAsia="zh-CN"/>
                    </w:rPr>
                  </w:pPr>
                  <w:r>
                    <w:rPr>
                      <w:rFonts w:hint="eastAsia"/>
                      <w:color w:val="auto"/>
                      <w:lang w:val="en-US" w:eastAsia="zh-CN"/>
                    </w:rPr>
                    <w:t>医疗废水、</w:t>
                  </w:r>
                  <w:r>
                    <w:rPr>
                      <w:rFonts w:hint="eastAsia" w:cs="Times New Roman"/>
                      <w:color w:val="auto"/>
                      <w:highlight w:val="none"/>
                      <w:lang w:val="en-US" w:eastAsia="zh-CN"/>
                    </w:rPr>
                    <w:t>清洗消毒废水</w:t>
                  </w:r>
                </w:p>
              </w:tc>
              <w:tc>
                <w:tcPr>
                  <w:tcW w:w="1269" w:type="dxa"/>
                  <w:tcBorders>
                    <w:tl2br w:val="nil"/>
                    <w:tr2bl w:val="nil"/>
                  </w:tcBorders>
                  <w:noWrap/>
                  <w:vAlign w:val="center"/>
                </w:tcPr>
                <w:p w14:paraId="69063A38">
                  <w:pPr>
                    <w:pStyle w:val="28"/>
                    <w:bidi w:val="0"/>
                    <w:rPr>
                      <w:rFonts w:hint="default"/>
                      <w:color w:val="auto"/>
                      <w:lang w:val="en-US" w:eastAsia="zh-CN"/>
                    </w:rPr>
                  </w:pPr>
                  <w:r>
                    <w:rPr>
                      <w:rFonts w:hint="eastAsia"/>
                      <w:color w:val="auto"/>
                      <w:lang w:val="en-US" w:eastAsia="zh-CN"/>
                    </w:rPr>
                    <w:t>污水处理设施</w:t>
                  </w:r>
                  <w:r>
                    <w:rPr>
                      <w:rFonts w:hint="default"/>
                      <w:color w:val="auto"/>
                      <w:lang w:val="en-US" w:eastAsia="zh-CN"/>
                    </w:rPr>
                    <w:t>出口</w:t>
                  </w:r>
                </w:p>
              </w:tc>
              <w:tc>
                <w:tcPr>
                  <w:tcW w:w="1477" w:type="dxa"/>
                  <w:tcBorders>
                    <w:tl2br w:val="nil"/>
                    <w:tr2bl w:val="nil"/>
                  </w:tcBorders>
                  <w:noWrap/>
                  <w:vAlign w:val="center"/>
                </w:tcPr>
                <w:p w14:paraId="3CD94120">
                  <w:pPr>
                    <w:pStyle w:val="28"/>
                    <w:bidi w:val="0"/>
                    <w:rPr>
                      <w:rFonts w:hint="default"/>
                      <w:color w:val="auto"/>
                      <w:lang w:val="en-US" w:eastAsia="zh-CN"/>
                    </w:rPr>
                  </w:pPr>
                  <w:r>
                    <w:rPr>
                      <w:rFonts w:hint="default"/>
                      <w:color w:val="auto"/>
                      <w:lang w:val="en-US" w:eastAsia="zh-CN"/>
                    </w:rPr>
                    <w:t>pH、COD、BOD</w:t>
                  </w:r>
                  <w:r>
                    <w:rPr>
                      <w:rFonts w:hint="default"/>
                      <w:color w:val="auto"/>
                      <w:vertAlign w:val="subscript"/>
                      <w:lang w:val="en-US" w:eastAsia="zh-CN"/>
                    </w:rPr>
                    <w:t>5</w:t>
                  </w:r>
                  <w:r>
                    <w:rPr>
                      <w:rFonts w:hint="default"/>
                      <w:color w:val="auto"/>
                      <w:lang w:val="en-US" w:eastAsia="zh-CN"/>
                    </w:rPr>
                    <w:t>、SS、NH</w:t>
                  </w:r>
                  <w:r>
                    <w:rPr>
                      <w:rFonts w:hint="default"/>
                      <w:color w:val="auto"/>
                      <w:vertAlign w:val="subscript"/>
                      <w:lang w:val="en-US" w:eastAsia="zh-CN"/>
                    </w:rPr>
                    <w:t>3</w:t>
                  </w:r>
                  <w:r>
                    <w:rPr>
                      <w:rFonts w:hint="default"/>
                      <w:color w:val="auto"/>
                      <w:lang w:val="en-US" w:eastAsia="zh-CN"/>
                    </w:rPr>
                    <w:t>-N、粪大肠菌群数</w:t>
                  </w:r>
                  <w:r>
                    <w:rPr>
                      <w:rFonts w:hint="eastAsia"/>
                      <w:color w:val="auto"/>
                      <w:lang w:val="en-US" w:eastAsia="zh-CN"/>
                    </w:rPr>
                    <w:t>、总余氯</w:t>
                  </w:r>
                </w:p>
              </w:tc>
              <w:tc>
                <w:tcPr>
                  <w:tcW w:w="1188" w:type="dxa"/>
                  <w:tcBorders>
                    <w:tl2br w:val="nil"/>
                    <w:tr2bl w:val="nil"/>
                  </w:tcBorders>
                  <w:noWrap/>
                  <w:vAlign w:val="center"/>
                </w:tcPr>
                <w:p w14:paraId="603D6DCA">
                  <w:pPr>
                    <w:pStyle w:val="28"/>
                    <w:bidi w:val="0"/>
                    <w:rPr>
                      <w:rFonts w:hint="default"/>
                      <w:color w:val="auto"/>
                      <w:lang w:val="en-US" w:eastAsia="zh-CN"/>
                    </w:rPr>
                  </w:pPr>
                  <w:r>
                    <w:rPr>
                      <w:rFonts w:hint="default"/>
                      <w:color w:val="auto"/>
                      <w:lang w:val="en-US" w:eastAsia="zh-CN"/>
                    </w:rPr>
                    <w:t>一年一次</w:t>
                  </w:r>
                </w:p>
              </w:tc>
              <w:tc>
                <w:tcPr>
                  <w:tcW w:w="2542" w:type="dxa"/>
                  <w:tcBorders>
                    <w:tl2br w:val="nil"/>
                    <w:tr2bl w:val="nil"/>
                  </w:tcBorders>
                  <w:noWrap/>
                  <w:vAlign w:val="center"/>
                </w:tcPr>
                <w:p w14:paraId="490722C9">
                  <w:pPr>
                    <w:pStyle w:val="28"/>
                    <w:bidi w:val="0"/>
                    <w:rPr>
                      <w:rFonts w:hint="default"/>
                      <w:color w:val="auto"/>
                      <w:lang w:val="en-US" w:eastAsia="zh-CN"/>
                    </w:rPr>
                  </w:pPr>
                  <w:r>
                    <w:rPr>
                      <w:rFonts w:hint="default"/>
                      <w:color w:val="auto"/>
                      <w:lang w:val="en-US" w:eastAsia="zh-CN"/>
                    </w:rPr>
                    <w:t>《医疗机构水污染物排放标准》（GB18466-2005，含2026年修改单）表2中</w:t>
                  </w:r>
                  <w:r>
                    <w:rPr>
                      <w:rFonts w:hint="eastAsia"/>
                      <w:color w:val="auto"/>
                      <w:lang w:val="en-US" w:eastAsia="zh-CN"/>
                    </w:rPr>
                    <w:t>预处理标准限值要求</w:t>
                  </w:r>
                </w:p>
              </w:tc>
            </w:tr>
          </w:tbl>
          <w:p w14:paraId="18AE9BE6">
            <w:pPr>
              <w:pStyle w:val="4"/>
              <w:bidi w:val="0"/>
              <w:rPr>
                <w:rFonts w:hint="default"/>
                <w:color w:val="auto"/>
                <w:lang w:val="en-US" w:eastAsia="zh-CN"/>
              </w:rPr>
            </w:pPr>
            <w:r>
              <w:rPr>
                <w:rFonts w:hint="eastAsia"/>
                <w:color w:val="auto"/>
                <w:lang w:val="en-US" w:eastAsia="zh-CN"/>
              </w:rPr>
              <w:t>4.6.4</w:t>
            </w:r>
            <w:r>
              <w:rPr>
                <w:rFonts w:hint="default"/>
                <w:color w:val="auto"/>
                <w:lang w:val="en-US" w:eastAsia="zh-CN"/>
              </w:rPr>
              <w:t>依托可行性分析</w:t>
            </w:r>
          </w:p>
          <w:p w14:paraId="1420508A">
            <w:pPr>
              <w:pStyle w:val="29"/>
              <w:bidi w:val="0"/>
              <w:rPr>
                <w:rFonts w:hint="default" w:cs="Times New Roman"/>
                <w:color w:val="auto"/>
                <w:highlight w:val="none"/>
                <w:lang w:val="en-US" w:eastAsia="zh-CN"/>
              </w:rPr>
            </w:pPr>
            <w:r>
              <w:rPr>
                <w:rFonts w:hint="eastAsia" w:cs="Times New Roman"/>
                <w:color w:val="auto"/>
                <w:highlight w:val="none"/>
                <w:lang w:val="en-US" w:eastAsia="zh-CN"/>
              </w:rPr>
              <w:t>库尔勒市</w:t>
            </w:r>
            <w:r>
              <w:rPr>
                <w:rFonts w:hint="eastAsia" w:ascii="Times New Roman" w:hAnsi="Times New Roman" w:eastAsia="宋体" w:cs="Times New Roman"/>
                <w:bCs/>
                <w:snapToGrid w:val="0"/>
                <w:color w:val="auto"/>
                <w:spacing w:val="8"/>
                <w:kern w:val="0"/>
                <w:sz w:val="24"/>
                <w:szCs w:val="72"/>
                <w:highlight w:val="none"/>
                <w:lang w:val="en-US" w:eastAsia="zh-CN"/>
              </w:rPr>
              <w:t>老城区</w:t>
            </w:r>
            <w:r>
              <w:rPr>
                <w:rFonts w:hint="eastAsia" w:cs="Times New Roman"/>
                <w:color w:val="auto"/>
                <w:highlight w:val="none"/>
                <w:lang w:val="en-US" w:eastAsia="zh-CN"/>
              </w:rPr>
              <w:t>污水处理厂（</w:t>
            </w:r>
            <w:r>
              <w:rPr>
                <w:rFonts w:ascii="宋体" w:hAnsi="宋体" w:eastAsia="宋体" w:cs="宋体"/>
                <w:sz w:val="24"/>
                <w:szCs w:val="24"/>
              </w:rPr>
              <w:t>库尔勒金城洁净排水有限责任公司</w:t>
            </w:r>
            <w:r>
              <w:rPr>
                <w:rFonts w:hint="eastAsia" w:cs="Times New Roman"/>
                <w:color w:val="auto"/>
                <w:highlight w:val="none"/>
                <w:lang w:val="en-US" w:eastAsia="zh-CN"/>
              </w:rPr>
              <w:t>）于2001年</w:t>
            </w:r>
            <w:r>
              <w:rPr>
                <w:rFonts w:ascii="宋体" w:hAnsi="宋体" w:eastAsia="宋体" w:cs="宋体"/>
                <w:sz w:val="24"/>
                <w:szCs w:val="24"/>
              </w:rPr>
              <w:t>建成投运，后续实施改扩建与提标改造；提标改造工程2018年10月开工</w:t>
            </w:r>
            <w:r>
              <w:rPr>
                <w:rFonts w:hint="eastAsia" w:cs="Times New Roman"/>
                <w:color w:val="auto"/>
                <w:highlight w:val="none"/>
                <w:lang w:val="en-US" w:eastAsia="zh-CN"/>
              </w:rPr>
              <w:t>，2020年完成竣工验收。总设计规模7.5万立方米/日，提标改造段设计规模4万立方米/日，现状实际处理规模约3万立方米/日，位于库尔勒市兰干乡结帕尔村以西约2km（孔雀河兰干路北端12公里处），污水收集范围为孔雀河以北老城区城市生活污水。污水处理工艺为改良型A²/O+深度气浮处理+紫外线+接触消毒；污泥采用浓缩、脱水工艺，脱水污泥用于园林绿化资源化利用。排放标准执行《城镇污水处理厂污染物排放标准》（GB18918-2002）一级 A 排放标准。排放去向：中水优先回用于库尔勒石油石化产业园工业用水，剩余尾水排至厂区西侧和什力克乡污水库。</w:t>
            </w:r>
          </w:p>
          <w:p w14:paraId="37296ADA">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本项目污水排放量仅为</w:t>
            </w:r>
            <w:r>
              <w:rPr>
                <w:rFonts w:hint="eastAsia" w:cs="Times New Roman"/>
                <w:color w:val="auto"/>
                <w:highlight w:val="none"/>
                <w:lang w:val="en-US" w:eastAsia="zh-CN"/>
              </w:rPr>
              <w:t>0.55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/d</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库尔勒市</w:t>
            </w:r>
            <w:r>
              <w:rPr>
                <w:rFonts w:hint="eastAsia"/>
                <w:color w:val="auto"/>
                <w:lang w:val="en-US" w:eastAsia="zh-CN"/>
              </w:rPr>
              <w:t>老城区</w:t>
            </w:r>
            <w:r>
              <w:rPr>
                <w:rFonts w:hint="eastAsia" w:cs="Times New Roman"/>
                <w:color w:val="auto"/>
                <w:highlight w:val="none"/>
                <w:lang w:val="en-US" w:eastAsia="zh-CN"/>
              </w:rPr>
              <w:t>污水处理厂</w:t>
            </w:r>
            <w:r>
              <w:rPr>
                <w:rFonts w:hint="default" w:ascii="Times New Roman" w:hAnsi="Times New Roman" w:cs="Times New Roman"/>
                <w:color w:val="auto"/>
                <w:highlight w:val="none"/>
              </w:rPr>
              <w:t>有足够的余量接纳项目营运期废水。从废水水量来说，废水接管是可行的。</w:t>
            </w:r>
          </w:p>
          <w:p w14:paraId="630531CE">
            <w:pPr>
              <w:pStyle w:val="29"/>
              <w:bidi w:val="0"/>
              <w:rPr>
                <w:rFonts w:hint="default" w:ascii="Times New Roman" w:hAnsi="Times New Roman" w:cs="Times New Roman"/>
                <w:color w:val="auto"/>
                <w:highlight w:val="none"/>
              </w:rPr>
            </w:pPr>
            <w:r>
              <w:rPr>
                <w:rFonts w:hint="default" w:ascii="Times New Roman" w:hAnsi="Times New Roman" w:cs="Times New Roman"/>
                <w:bCs/>
                <w:color w:val="auto"/>
                <w:kern w:val="0"/>
                <w:highlight w:val="none"/>
                <w:lang w:bidi="ar"/>
              </w:rPr>
              <w:t>建设项目废水水质简单，</w:t>
            </w:r>
            <w:r>
              <w:rPr>
                <w:rFonts w:hint="default" w:ascii="Times New Roman" w:hAnsi="Times New Roman" w:eastAsia="宋体" w:cs="Times New Roman"/>
                <w:color w:val="auto"/>
                <w:kern w:val="0"/>
                <w:szCs w:val="24"/>
                <w:highlight w:val="none"/>
                <w:shd w:val="clear" w:color="auto" w:fill="auto"/>
                <w:lang w:val="en-US" w:eastAsia="zh-CN" w:bidi="ar"/>
              </w:rPr>
              <w:t>医疗废水</w:t>
            </w:r>
            <w:r>
              <w:rPr>
                <w:rFonts w:hint="eastAsia" w:cs="Times New Roman"/>
                <w:color w:val="auto"/>
                <w:kern w:val="0"/>
                <w:szCs w:val="24"/>
                <w:highlight w:val="none"/>
                <w:shd w:val="clear" w:color="auto" w:fill="auto"/>
                <w:lang w:val="en-US" w:eastAsia="zh-CN" w:bidi="ar"/>
              </w:rPr>
              <w:t>、清洗消毒废水</w:t>
            </w:r>
            <w:r>
              <w:rPr>
                <w:rFonts w:hint="default" w:ascii="Times New Roman" w:hAnsi="Times New Roman" w:eastAsia="宋体" w:cs="Times New Roman"/>
                <w:color w:val="auto"/>
                <w:kern w:val="0"/>
                <w:szCs w:val="24"/>
                <w:highlight w:val="none"/>
                <w:shd w:val="clear" w:color="auto" w:fill="auto"/>
                <w:lang w:val="en-US" w:eastAsia="zh-CN" w:bidi="ar"/>
              </w:rPr>
              <w:t>经</w:t>
            </w:r>
            <w:r>
              <w:rPr>
                <w:rFonts w:hint="default" w:ascii="Times New Roman" w:hAnsi="Times New Roman" w:eastAsia="宋体" w:cs="Times New Roman"/>
                <w:color w:val="auto"/>
                <w:szCs w:val="24"/>
                <w:highlight w:val="none"/>
                <w:shd w:val="clear" w:color="auto" w:fill="auto"/>
                <w:lang w:val="en-US" w:eastAsia="zh-CN"/>
              </w:rPr>
              <w:t>一</w:t>
            </w:r>
            <w:r>
              <w:rPr>
                <w:rFonts w:hint="default" w:ascii="Times New Roman" w:hAnsi="Times New Roman" w:cs="Times New Roman"/>
                <w:color w:val="auto"/>
                <w:highlight w:val="none"/>
                <w:lang w:val="en-US" w:eastAsia="zh-CN"/>
              </w:rPr>
              <w:t>体化污水处理设施</w:t>
            </w:r>
            <w:r>
              <w:rPr>
                <w:rFonts w:hint="default" w:ascii="Times New Roman" w:hAnsi="Times New Roman" w:eastAsia="宋体" w:cs="Times New Roman"/>
                <w:color w:val="auto"/>
                <w:szCs w:val="24"/>
                <w:highlight w:val="none"/>
                <w:shd w:val="clear" w:color="auto" w:fill="auto"/>
                <w:lang w:val="en-US" w:eastAsia="zh-CN"/>
              </w:rPr>
              <w:t>（处理规模为</w:t>
            </w:r>
            <w:r>
              <w:rPr>
                <w:rFonts w:hint="eastAsia" w:cs="Times New Roman"/>
                <w:color w:val="auto"/>
                <w:szCs w:val="24"/>
                <w:highlight w:val="none"/>
                <w:shd w:val="clear" w:color="auto" w:fill="auto"/>
                <w:lang w:val="en-US" w:eastAsia="zh-CN"/>
              </w:rPr>
              <w:t>0.2m</w:t>
            </w:r>
            <w:r>
              <w:rPr>
                <w:rFonts w:hint="eastAsia" w:cs="Times New Roman"/>
                <w:color w:val="auto"/>
                <w:szCs w:val="24"/>
                <w:highlight w:val="none"/>
                <w:shd w:val="clear" w:color="auto" w:fill="auto"/>
                <w:vertAlign w:val="superscript"/>
                <w:lang w:val="en-US" w:eastAsia="zh-CN"/>
              </w:rPr>
              <w:t>3</w:t>
            </w:r>
            <w:r>
              <w:rPr>
                <w:rFonts w:hint="eastAsia" w:cs="Times New Roman"/>
                <w:color w:val="auto"/>
                <w:szCs w:val="24"/>
                <w:highlight w:val="none"/>
                <w:shd w:val="clear" w:color="auto" w:fill="auto"/>
                <w:lang w:val="en-US" w:eastAsia="zh-CN"/>
              </w:rPr>
              <w:t>/d</w:t>
            </w:r>
            <w:r>
              <w:rPr>
                <w:rFonts w:hint="default" w:ascii="Times New Roman" w:hAnsi="Times New Roman" w:eastAsia="宋体" w:cs="Times New Roman"/>
                <w:color w:val="auto"/>
                <w:szCs w:val="24"/>
                <w:highlight w:val="none"/>
                <w:shd w:val="clear" w:color="auto" w:fill="auto"/>
                <w:lang w:val="en-US" w:eastAsia="zh-CN"/>
              </w:rPr>
              <w:t>）</w:t>
            </w:r>
            <w:r>
              <w:rPr>
                <w:rFonts w:hint="default" w:ascii="Times New Roman" w:hAnsi="Times New Roman" w:cs="Times New Roman"/>
                <w:color w:val="auto"/>
                <w:highlight w:val="none"/>
                <w:lang w:val="en-US" w:eastAsia="zh-CN"/>
              </w:rPr>
              <w:t>经</w:t>
            </w:r>
            <w:bookmarkStart w:id="34" w:name="OLE_LINK107"/>
            <w:r>
              <w:rPr>
                <w:rFonts w:hint="eastAsia" w:cs="Times New Roman"/>
                <w:color w:val="auto"/>
                <w:highlight w:val="none"/>
                <w:lang w:val="en-US" w:eastAsia="zh-CN"/>
              </w:rPr>
              <w:t>滤筛+氯片消毒</w:t>
            </w:r>
            <w:bookmarkEnd w:id="34"/>
            <w:r>
              <w:rPr>
                <w:rFonts w:hint="default" w:ascii="Times New Roman" w:hAnsi="Times New Roman" w:eastAsia="宋体" w:cs="Times New Roman"/>
                <w:color w:val="auto"/>
                <w:szCs w:val="24"/>
                <w:highlight w:val="none"/>
                <w:shd w:val="clear" w:color="auto" w:fill="auto"/>
                <w:lang w:val="en-US" w:eastAsia="zh-CN"/>
              </w:rPr>
              <w:t>处理达到</w:t>
            </w:r>
            <w:r>
              <w:rPr>
                <w:rFonts w:hint="default" w:ascii="Times New Roman" w:hAnsi="Times New Roman" w:cs="Times New Roman"/>
                <w:color w:val="auto"/>
                <w:szCs w:val="24"/>
                <w:highlight w:val="none"/>
                <w:lang w:val="en-US" w:eastAsia="zh-CN"/>
              </w:rPr>
              <w:t>《医疗机构水污染物排放标准》</w:t>
            </w:r>
            <w:r>
              <w:rPr>
                <w:rFonts w:hint="default"/>
                <w:color w:val="auto"/>
                <w:lang w:val="en-US" w:eastAsia="zh-CN"/>
              </w:rPr>
              <w:t>（GB18466-2005，含2026年修改单）</w:t>
            </w:r>
            <w:r>
              <w:rPr>
                <w:rFonts w:hint="default" w:ascii="Times New Roman" w:hAnsi="Times New Roman" w:cs="Times New Roman"/>
                <w:color w:val="auto"/>
                <w:szCs w:val="24"/>
                <w:highlight w:val="none"/>
                <w:lang w:val="en-US" w:eastAsia="zh-CN"/>
              </w:rPr>
              <w:t>中表2预处理标准限值要求后</w:t>
            </w:r>
            <w:r>
              <w:rPr>
                <w:rFonts w:hint="default" w:ascii="Times New Roman" w:hAnsi="Times New Roman" w:eastAsia="宋体" w:cs="Times New Roman"/>
                <w:color w:val="auto"/>
                <w:szCs w:val="24"/>
                <w:highlight w:val="none"/>
                <w:shd w:val="clear" w:color="auto" w:fill="auto"/>
                <w:lang w:val="en-US" w:eastAsia="zh-CN"/>
              </w:rPr>
              <w:t>与生活污水一同排入市政下水管网</w:t>
            </w:r>
            <w:r>
              <w:rPr>
                <w:rFonts w:hint="default" w:ascii="Times New Roman" w:hAnsi="Times New Roman" w:eastAsia="宋体" w:cs="Times New Roman"/>
                <w:color w:val="auto"/>
                <w:kern w:val="0"/>
                <w:szCs w:val="24"/>
                <w:highlight w:val="none"/>
                <w:shd w:val="clear" w:color="auto" w:fill="auto"/>
                <w:lang w:val="en-US" w:eastAsia="zh-CN" w:bidi="ar"/>
              </w:rPr>
              <w:t>，</w:t>
            </w:r>
            <w:bookmarkStart w:id="35" w:name="OLE_LINK108"/>
            <w:r>
              <w:rPr>
                <w:rFonts w:hint="default" w:ascii="Times New Roman" w:hAnsi="Times New Roman" w:eastAsia="宋体" w:cs="Times New Roman"/>
                <w:color w:val="auto"/>
                <w:kern w:val="0"/>
                <w:szCs w:val="24"/>
                <w:highlight w:val="none"/>
                <w:shd w:val="clear" w:color="auto" w:fill="auto"/>
                <w:lang w:val="en-US" w:eastAsia="zh-CN" w:bidi="ar"/>
              </w:rPr>
              <w:t>最终排入</w:t>
            </w:r>
            <w:r>
              <w:rPr>
                <w:rFonts w:hint="eastAsia" w:cs="Times New Roman"/>
                <w:color w:val="auto"/>
                <w:kern w:val="0"/>
                <w:szCs w:val="24"/>
                <w:highlight w:val="none"/>
                <w:shd w:val="clear" w:color="auto" w:fill="auto"/>
                <w:lang w:val="en-US" w:eastAsia="zh-CN" w:bidi="ar"/>
              </w:rPr>
              <w:t>库尔勒市</w:t>
            </w:r>
            <w:r>
              <w:rPr>
                <w:rFonts w:hint="eastAsia"/>
                <w:color w:val="auto"/>
                <w:lang w:val="en-US" w:eastAsia="zh-CN"/>
              </w:rPr>
              <w:t>老城区</w:t>
            </w:r>
            <w:r>
              <w:rPr>
                <w:rFonts w:hint="eastAsia" w:cs="Times New Roman"/>
                <w:color w:val="auto"/>
                <w:kern w:val="0"/>
                <w:szCs w:val="24"/>
                <w:highlight w:val="none"/>
                <w:shd w:val="clear" w:color="auto" w:fill="auto"/>
                <w:lang w:val="en-US" w:eastAsia="zh-CN" w:bidi="ar"/>
              </w:rPr>
              <w:t>污水处理厂</w:t>
            </w:r>
            <w:r>
              <w:rPr>
                <w:rFonts w:hint="default" w:ascii="Times New Roman" w:hAnsi="Times New Roman" w:eastAsia="宋体" w:cs="Times New Roman"/>
                <w:color w:val="auto"/>
                <w:kern w:val="0"/>
                <w:szCs w:val="24"/>
                <w:highlight w:val="none"/>
                <w:shd w:val="clear" w:color="auto" w:fill="auto"/>
                <w:lang w:val="en-US" w:eastAsia="zh-CN" w:bidi="ar"/>
              </w:rPr>
              <w:t>处理</w:t>
            </w:r>
            <w:bookmarkEnd w:id="35"/>
            <w:r>
              <w:rPr>
                <w:rFonts w:hint="eastAsia" w:cs="Times New Roman"/>
                <w:color w:val="auto"/>
                <w:kern w:val="0"/>
                <w:szCs w:val="24"/>
                <w:highlight w:val="none"/>
                <w:shd w:val="clear" w:color="auto" w:fill="auto"/>
                <w:lang w:val="en-US" w:eastAsia="zh-CN" w:bidi="ar"/>
              </w:rPr>
              <w:t>，</w:t>
            </w:r>
            <w:r>
              <w:rPr>
                <w:rFonts w:hint="default" w:ascii="Times New Roman" w:hAnsi="Times New Roman" w:cs="Times New Roman"/>
                <w:color w:val="auto"/>
                <w:highlight w:val="none"/>
                <w:lang w:val="en-US" w:eastAsia="zh-CN"/>
              </w:rPr>
              <w:t>本项目废水排放</w:t>
            </w:r>
            <w:r>
              <w:rPr>
                <w:rFonts w:hint="default" w:ascii="Times New Roman" w:hAnsi="Times New Roman" w:cs="Times New Roman"/>
                <w:color w:val="auto"/>
                <w:highlight w:val="none"/>
              </w:rPr>
              <w:t>不会对污水处理厂的正常运行产生冲击负荷，不影响其水质稳定达标排放。因此，从水质上说，废水接管是可行的。</w:t>
            </w:r>
          </w:p>
          <w:p w14:paraId="0AD33137">
            <w:pPr>
              <w:pStyle w:val="29"/>
              <w:bidi w:val="0"/>
              <w:rPr>
                <w:rFonts w:hint="default"/>
                <w:color w:val="auto"/>
                <w:lang w:val="en-US" w:eastAsia="zh-CN"/>
              </w:rPr>
            </w:pPr>
            <w:r>
              <w:rPr>
                <w:rFonts w:hint="eastAsia"/>
                <w:color w:val="auto"/>
              </w:rPr>
              <w:t>综上所述，本项目产生的废水排入</w:t>
            </w:r>
            <w:r>
              <w:rPr>
                <w:rFonts w:hint="eastAsia"/>
                <w:color w:val="auto"/>
                <w:lang w:val="en-US" w:eastAsia="zh-CN"/>
              </w:rPr>
              <w:t>库尔勒市老城区污水处理厂</w:t>
            </w:r>
            <w:r>
              <w:rPr>
                <w:rFonts w:hint="eastAsia"/>
                <w:color w:val="auto"/>
              </w:rPr>
              <w:t>接管可行。由于本项目废水排放量很小，项目运营后</w:t>
            </w:r>
            <w:r>
              <w:rPr>
                <w:rFonts w:hint="eastAsia"/>
                <w:color w:val="auto"/>
                <w:lang w:val="en-US" w:eastAsia="zh-CN"/>
              </w:rPr>
              <w:t>排水</w:t>
            </w:r>
            <w:r>
              <w:rPr>
                <w:rFonts w:hint="eastAsia"/>
                <w:color w:val="auto"/>
              </w:rPr>
              <w:t>不会对</w:t>
            </w:r>
            <w:r>
              <w:rPr>
                <w:rFonts w:hint="eastAsia"/>
                <w:color w:val="auto"/>
                <w:lang w:val="en-US" w:eastAsia="zh-CN"/>
              </w:rPr>
              <w:t>库尔勒市老城区污水处理厂</w:t>
            </w:r>
            <w:r>
              <w:rPr>
                <w:rFonts w:hint="eastAsia"/>
                <w:color w:val="auto"/>
              </w:rPr>
              <w:t>造成明显不良影响。</w:t>
            </w:r>
          </w:p>
          <w:p w14:paraId="0553FC65">
            <w:pPr>
              <w:pStyle w:val="3"/>
              <w:bidi w:val="0"/>
              <w:rPr>
                <w:color w:val="auto"/>
                <w:lang w:eastAsia="zh-CN"/>
              </w:rPr>
            </w:pPr>
            <w:r>
              <w:rPr>
                <w:rFonts w:hint="eastAsia"/>
                <w:color w:val="auto"/>
                <w:lang w:val="en-US" w:eastAsia="zh-CN"/>
              </w:rPr>
              <w:t>4.7</w:t>
            </w:r>
            <w:r>
              <w:rPr>
                <w:rFonts w:hint="eastAsia"/>
                <w:color w:val="auto"/>
                <w:lang w:eastAsia="zh-CN"/>
              </w:rPr>
              <w:t>、声环境影响及保护措施分析</w:t>
            </w:r>
          </w:p>
          <w:p w14:paraId="783E577F">
            <w:pPr>
              <w:pStyle w:val="4"/>
              <w:bidi w:val="0"/>
              <w:rPr>
                <w:color w:val="auto"/>
                <w:lang w:eastAsia="zh-CN"/>
              </w:rPr>
            </w:pPr>
            <w:r>
              <w:rPr>
                <w:rFonts w:hint="eastAsia"/>
                <w:color w:val="auto"/>
                <w:lang w:val="en-US" w:eastAsia="zh-CN"/>
              </w:rPr>
              <w:t>4.7.1</w:t>
            </w:r>
            <w:r>
              <w:rPr>
                <w:color w:val="auto"/>
                <w:lang w:eastAsia="zh-CN"/>
              </w:rPr>
              <w:t>噪声源强</w:t>
            </w:r>
          </w:p>
          <w:p w14:paraId="2B6E0723">
            <w:pPr>
              <w:pStyle w:val="29"/>
              <w:bidi w:val="0"/>
              <w:rPr>
                <w:rFonts w:hint="default"/>
                <w:color w:val="auto"/>
                <w:lang w:val="en-US" w:eastAsia="zh-CN"/>
              </w:rPr>
            </w:pPr>
            <w:r>
              <w:rPr>
                <w:color w:val="auto"/>
              </w:rPr>
              <w:t>项目主要噪声源为就诊的动物叫声的噪声，接诊动物均为小型宠物，动物的叫声最高强度一</w:t>
            </w:r>
            <w:r>
              <w:rPr>
                <w:rFonts w:hint="eastAsia"/>
                <w:color w:val="auto"/>
                <w:lang w:eastAsia="zh-CN"/>
              </w:rPr>
              <w:t>般在</w:t>
            </w:r>
            <w:r>
              <w:rPr>
                <w:rFonts w:hint="default"/>
                <w:color w:val="auto"/>
                <w:lang w:val="en-US" w:eastAsia="zh-CN"/>
              </w:rPr>
              <w:t>50</w:t>
            </w:r>
            <w:r>
              <w:rPr>
                <w:rFonts w:hint="default"/>
                <w:color w:val="auto"/>
              </w:rPr>
              <w:t>~7</w:t>
            </w:r>
            <w:r>
              <w:rPr>
                <w:rFonts w:hint="eastAsia"/>
                <w:color w:val="auto"/>
                <w:lang w:val="en-US" w:eastAsia="zh-CN"/>
              </w:rPr>
              <w:t>0</w:t>
            </w:r>
            <w:r>
              <w:rPr>
                <w:color w:val="auto"/>
              </w:rPr>
              <w:t>dB</w:t>
            </w:r>
            <w:r>
              <w:rPr>
                <w:rFonts w:hint="eastAsia"/>
                <w:color w:val="auto"/>
                <w:lang w:eastAsia="zh-CN"/>
              </w:rPr>
              <w:t>（</w:t>
            </w:r>
            <w:r>
              <w:rPr>
                <w:color w:val="auto"/>
              </w:rPr>
              <w:t>A</w:t>
            </w:r>
            <w:r>
              <w:rPr>
                <w:rFonts w:hint="eastAsia"/>
                <w:color w:val="auto"/>
                <w:lang w:eastAsia="zh-CN"/>
              </w:rPr>
              <w:t>）</w:t>
            </w:r>
            <w:r>
              <w:rPr>
                <w:color w:val="auto"/>
              </w:rPr>
              <w:t>之间，多属于间歇性噪声</w:t>
            </w:r>
            <w:r>
              <w:rPr>
                <w:rFonts w:hint="eastAsia"/>
                <w:color w:val="auto"/>
                <w:lang w:eastAsia="zh-CN"/>
              </w:rPr>
              <w:t>。</w:t>
            </w:r>
            <w:r>
              <w:rPr>
                <w:rFonts w:hint="eastAsia"/>
                <w:color w:val="auto"/>
                <w:lang w:val="en-US" w:eastAsia="zh-CN"/>
              </w:rPr>
              <w:t>项目新风系统采用静音风机，医院使用的医疗设备均为低噪声设备，噪声普遍低于</w:t>
            </w:r>
            <w:r>
              <w:rPr>
                <w:rFonts w:hint="default"/>
                <w:color w:val="auto"/>
                <w:lang w:val="en-US" w:eastAsia="zh-CN"/>
              </w:rPr>
              <w:t>50</w:t>
            </w:r>
            <w:r>
              <w:rPr>
                <w:rFonts w:hint="default"/>
                <w:color w:val="auto"/>
              </w:rPr>
              <w:t>dB（A</w:t>
            </w:r>
            <w:r>
              <w:rPr>
                <w:color w:val="auto"/>
              </w:rPr>
              <w:t>）</w:t>
            </w:r>
            <w:r>
              <w:rPr>
                <w:rFonts w:hint="eastAsia"/>
                <w:color w:val="auto"/>
                <w:lang w:eastAsia="zh-CN"/>
              </w:rPr>
              <w:t>。</w:t>
            </w:r>
            <w:r>
              <w:rPr>
                <w:rFonts w:hint="default"/>
                <w:color w:val="auto"/>
                <w:lang w:val="en-US" w:eastAsia="zh-CN"/>
              </w:rPr>
              <w:t>本项目噪声污染源源强调查清单见表4-</w:t>
            </w:r>
            <w:r>
              <w:rPr>
                <w:rFonts w:hint="eastAsia"/>
                <w:color w:val="auto"/>
                <w:lang w:val="en-US" w:eastAsia="zh-CN"/>
              </w:rPr>
              <w:t>7、4-8及4-9</w:t>
            </w:r>
            <w:r>
              <w:rPr>
                <w:rFonts w:hint="default"/>
                <w:color w:val="auto"/>
                <w:lang w:val="en-US" w:eastAsia="zh-CN"/>
              </w:rPr>
              <w:t>。</w:t>
            </w:r>
          </w:p>
          <w:p w14:paraId="6C3B6C52">
            <w:pPr>
              <w:pStyle w:val="22"/>
              <w:bidi w:val="0"/>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7</w:t>
            </w:r>
            <w:r>
              <w:rPr>
                <w:rFonts w:hint="default"/>
                <w:color w:val="auto"/>
                <w:lang w:val="en-US" w:eastAsia="zh-CN"/>
              </w:rPr>
              <w:t xml:space="preserve">  本项目主要噪声污染源源强调查清单</w:t>
            </w:r>
          </w:p>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978"/>
              <w:gridCol w:w="698"/>
              <w:gridCol w:w="807"/>
              <w:gridCol w:w="1832"/>
              <w:gridCol w:w="1017"/>
              <w:gridCol w:w="1017"/>
              <w:gridCol w:w="1018"/>
            </w:tblGrid>
            <w:tr w14:paraId="2138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noWrap w:val="0"/>
                  <w:vAlign w:val="center"/>
                </w:tcPr>
                <w:p w14:paraId="03A3D016">
                  <w:pPr>
                    <w:pStyle w:val="28"/>
                    <w:widowControl w:val="0"/>
                    <w:bidi w:val="0"/>
                    <w:rPr>
                      <w:rFonts w:hint="default"/>
                      <w:b/>
                      <w:bCs w:val="0"/>
                      <w:color w:val="auto"/>
                      <w:lang w:val="en-US" w:eastAsia="zh-CN"/>
                    </w:rPr>
                  </w:pPr>
                  <w:r>
                    <w:rPr>
                      <w:rFonts w:hint="eastAsia"/>
                      <w:b/>
                      <w:bCs w:val="0"/>
                      <w:color w:val="auto"/>
                      <w:lang w:val="en-US" w:eastAsia="zh-CN"/>
                    </w:rPr>
                    <w:t>工序</w:t>
                  </w:r>
                </w:p>
              </w:tc>
              <w:tc>
                <w:tcPr>
                  <w:tcW w:w="601" w:type="pct"/>
                  <w:noWrap w:val="0"/>
                  <w:vAlign w:val="center"/>
                </w:tcPr>
                <w:p w14:paraId="60198625">
                  <w:pPr>
                    <w:pStyle w:val="28"/>
                    <w:widowControl w:val="0"/>
                    <w:bidi w:val="0"/>
                    <w:rPr>
                      <w:rFonts w:hint="default"/>
                      <w:b/>
                      <w:bCs w:val="0"/>
                      <w:color w:val="auto"/>
                      <w:lang w:val="en-US" w:eastAsia="zh-CN"/>
                    </w:rPr>
                  </w:pPr>
                  <w:r>
                    <w:rPr>
                      <w:rFonts w:hint="eastAsia"/>
                      <w:b/>
                      <w:bCs w:val="0"/>
                      <w:color w:val="auto"/>
                      <w:lang w:val="en-US" w:eastAsia="zh-CN"/>
                    </w:rPr>
                    <w:t>噪声源</w:t>
                  </w:r>
                </w:p>
              </w:tc>
              <w:tc>
                <w:tcPr>
                  <w:tcW w:w="429" w:type="pct"/>
                  <w:noWrap w:val="0"/>
                  <w:vAlign w:val="center"/>
                </w:tcPr>
                <w:p w14:paraId="4CB1D593">
                  <w:pPr>
                    <w:pStyle w:val="28"/>
                    <w:widowControl w:val="0"/>
                    <w:bidi w:val="0"/>
                    <w:rPr>
                      <w:rFonts w:hint="default"/>
                      <w:b/>
                      <w:bCs w:val="0"/>
                      <w:color w:val="auto"/>
                      <w:lang w:val="en-US" w:eastAsia="zh-CN"/>
                    </w:rPr>
                  </w:pPr>
                  <w:r>
                    <w:rPr>
                      <w:rFonts w:hint="eastAsia"/>
                      <w:b/>
                      <w:bCs w:val="0"/>
                      <w:color w:val="auto"/>
                      <w:lang w:val="en-US" w:eastAsia="zh-CN"/>
                    </w:rPr>
                    <w:t>声源类型</w:t>
                  </w:r>
                </w:p>
              </w:tc>
              <w:tc>
                <w:tcPr>
                  <w:tcW w:w="496" w:type="pct"/>
                  <w:noWrap w:val="0"/>
                  <w:vAlign w:val="center"/>
                </w:tcPr>
                <w:p w14:paraId="7C39BACD">
                  <w:pPr>
                    <w:pStyle w:val="28"/>
                    <w:widowControl w:val="0"/>
                    <w:bidi w:val="0"/>
                    <w:rPr>
                      <w:rFonts w:hint="default"/>
                      <w:b/>
                      <w:bCs w:val="0"/>
                      <w:color w:val="auto"/>
                      <w:lang w:val="en-US" w:eastAsia="zh-CN"/>
                    </w:rPr>
                  </w:pPr>
                  <w:r>
                    <w:rPr>
                      <w:rFonts w:hint="eastAsia"/>
                      <w:b/>
                      <w:bCs w:val="0"/>
                      <w:color w:val="auto"/>
                      <w:lang w:val="en-US" w:eastAsia="zh-CN"/>
                    </w:rPr>
                    <w:t>噪声源强</w:t>
                  </w:r>
                  <w:r>
                    <w:rPr>
                      <w:rFonts w:hint="default"/>
                      <w:b/>
                      <w:bCs w:val="0"/>
                      <w:color w:val="auto"/>
                      <w:lang w:val="en-US" w:eastAsia="zh-CN"/>
                    </w:rPr>
                    <w:t>dB(A)</w:t>
                  </w:r>
                </w:p>
              </w:tc>
              <w:tc>
                <w:tcPr>
                  <w:tcW w:w="1126" w:type="pct"/>
                  <w:noWrap w:val="0"/>
                  <w:vAlign w:val="center"/>
                </w:tcPr>
                <w:p w14:paraId="459DB23F">
                  <w:pPr>
                    <w:pStyle w:val="28"/>
                    <w:widowControl w:val="0"/>
                    <w:bidi w:val="0"/>
                    <w:rPr>
                      <w:rFonts w:hint="default"/>
                      <w:b/>
                      <w:bCs w:val="0"/>
                      <w:color w:val="auto"/>
                      <w:lang w:val="en-US" w:eastAsia="zh-CN"/>
                    </w:rPr>
                  </w:pPr>
                  <w:r>
                    <w:rPr>
                      <w:rFonts w:hint="eastAsia"/>
                      <w:b/>
                      <w:bCs w:val="0"/>
                      <w:color w:val="auto"/>
                      <w:lang w:val="en-US" w:eastAsia="zh-CN"/>
                    </w:rPr>
                    <w:t>降噪措施</w:t>
                  </w:r>
                </w:p>
              </w:tc>
              <w:tc>
                <w:tcPr>
                  <w:tcW w:w="625" w:type="pct"/>
                  <w:noWrap w:val="0"/>
                  <w:vAlign w:val="center"/>
                </w:tcPr>
                <w:p w14:paraId="0BA00AB3">
                  <w:pPr>
                    <w:pStyle w:val="28"/>
                    <w:widowControl w:val="0"/>
                    <w:bidi w:val="0"/>
                    <w:rPr>
                      <w:rFonts w:hint="eastAsia"/>
                      <w:b/>
                      <w:bCs w:val="0"/>
                      <w:color w:val="auto"/>
                      <w:lang w:val="en-US" w:eastAsia="zh-CN"/>
                    </w:rPr>
                  </w:pPr>
                  <w:r>
                    <w:rPr>
                      <w:rFonts w:hint="eastAsia"/>
                      <w:b/>
                      <w:bCs w:val="0"/>
                      <w:color w:val="auto"/>
                      <w:lang w:val="en-US" w:eastAsia="zh-CN"/>
                    </w:rPr>
                    <w:t>降噪</w:t>
                  </w:r>
                </w:p>
                <w:p w14:paraId="5D62A79B">
                  <w:pPr>
                    <w:pStyle w:val="28"/>
                    <w:widowControl w:val="0"/>
                    <w:bidi w:val="0"/>
                    <w:rPr>
                      <w:rFonts w:hint="default"/>
                      <w:b/>
                      <w:bCs w:val="0"/>
                      <w:color w:val="auto"/>
                      <w:lang w:val="en-US" w:eastAsia="zh-CN"/>
                    </w:rPr>
                  </w:pPr>
                  <w:r>
                    <w:rPr>
                      <w:rFonts w:hint="eastAsia"/>
                      <w:b/>
                      <w:bCs w:val="0"/>
                      <w:color w:val="auto"/>
                      <w:lang w:val="en-US" w:eastAsia="zh-CN"/>
                    </w:rPr>
                    <w:t>效果</w:t>
                  </w:r>
                  <w:r>
                    <w:rPr>
                      <w:rFonts w:hint="default"/>
                      <w:b/>
                      <w:bCs w:val="0"/>
                      <w:color w:val="auto"/>
                      <w:lang w:val="en-US" w:eastAsia="zh-CN"/>
                    </w:rPr>
                    <w:t>dB(A)</w:t>
                  </w:r>
                </w:p>
              </w:tc>
              <w:tc>
                <w:tcPr>
                  <w:tcW w:w="625" w:type="pct"/>
                  <w:noWrap w:val="0"/>
                  <w:vAlign w:val="center"/>
                </w:tcPr>
                <w:p w14:paraId="2F830879">
                  <w:pPr>
                    <w:pStyle w:val="28"/>
                    <w:widowControl w:val="0"/>
                    <w:bidi w:val="0"/>
                    <w:rPr>
                      <w:rFonts w:hint="default"/>
                      <w:b/>
                      <w:bCs w:val="0"/>
                      <w:color w:val="auto"/>
                      <w:lang w:val="en-US" w:eastAsia="zh-CN"/>
                    </w:rPr>
                  </w:pPr>
                  <w:r>
                    <w:rPr>
                      <w:rFonts w:hint="eastAsia"/>
                      <w:b/>
                      <w:bCs w:val="0"/>
                      <w:color w:val="auto"/>
                      <w:lang w:val="en-US" w:eastAsia="zh-CN"/>
                    </w:rPr>
                    <w:t>噪声排放值</w:t>
                  </w:r>
                  <w:r>
                    <w:rPr>
                      <w:rFonts w:hint="default"/>
                      <w:b/>
                      <w:bCs w:val="0"/>
                      <w:color w:val="auto"/>
                      <w:lang w:val="en-US" w:eastAsia="zh-CN"/>
                    </w:rPr>
                    <w:t>dB(A)</w:t>
                  </w:r>
                </w:p>
              </w:tc>
              <w:tc>
                <w:tcPr>
                  <w:tcW w:w="625" w:type="pct"/>
                  <w:noWrap w:val="0"/>
                  <w:vAlign w:val="center"/>
                </w:tcPr>
                <w:p w14:paraId="42DF9581">
                  <w:pPr>
                    <w:pStyle w:val="28"/>
                    <w:widowControl w:val="0"/>
                    <w:bidi w:val="0"/>
                    <w:rPr>
                      <w:rFonts w:hint="eastAsia"/>
                      <w:b/>
                      <w:bCs w:val="0"/>
                      <w:color w:val="auto"/>
                      <w:lang w:val="en-US" w:eastAsia="zh-CN"/>
                    </w:rPr>
                  </w:pPr>
                  <w:r>
                    <w:rPr>
                      <w:rFonts w:hint="eastAsia"/>
                      <w:b/>
                      <w:bCs w:val="0"/>
                      <w:color w:val="auto"/>
                      <w:lang w:val="en-US" w:eastAsia="zh-CN"/>
                    </w:rPr>
                    <w:t>持续</w:t>
                  </w:r>
                </w:p>
                <w:p w14:paraId="039A3A07">
                  <w:pPr>
                    <w:pStyle w:val="28"/>
                    <w:widowControl w:val="0"/>
                    <w:bidi w:val="0"/>
                    <w:rPr>
                      <w:rFonts w:hint="default"/>
                      <w:b/>
                      <w:bCs w:val="0"/>
                      <w:color w:val="auto"/>
                      <w:lang w:val="en-US" w:eastAsia="zh-CN"/>
                    </w:rPr>
                  </w:pPr>
                  <w:r>
                    <w:rPr>
                      <w:rFonts w:hint="eastAsia"/>
                      <w:b/>
                      <w:bCs w:val="0"/>
                      <w:color w:val="auto"/>
                      <w:lang w:val="en-US" w:eastAsia="zh-CN"/>
                    </w:rPr>
                    <w:t>时间</w:t>
                  </w:r>
                </w:p>
              </w:tc>
            </w:tr>
            <w:tr w14:paraId="0F5E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0" w:type="pct"/>
                  <w:noWrap w:val="0"/>
                  <w:vAlign w:val="center"/>
                </w:tcPr>
                <w:p w14:paraId="6265E386">
                  <w:pPr>
                    <w:pStyle w:val="28"/>
                    <w:widowControl w:val="0"/>
                    <w:bidi w:val="0"/>
                    <w:rPr>
                      <w:rFonts w:hint="default"/>
                      <w:color w:val="auto"/>
                      <w:lang w:val="en-US" w:eastAsia="zh-CN"/>
                    </w:rPr>
                  </w:pPr>
                  <w:bookmarkStart w:id="36" w:name="OLE_LINK42" w:colFirst="1" w:colLast="1"/>
                  <w:r>
                    <w:rPr>
                      <w:rFonts w:hint="eastAsia"/>
                      <w:color w:val="auto"/>
                      <w:lang w:val="en-US" w:eastAsia="zh-CN"/>
                    </w:rPr>
                    <w:t>治疗</w:t>
                  </w:r>
                </w:p>
              </w:tc>
              <w:tc>
                <w:tcPr>
                  <w:tcW w:w="601" w:type="pct"/>
                  <w:noWrap w:val="0"/>
                  <w:vAlign w:val="center"/>
                </w:tcPr>
                <w:p w14:paraId="75268467">
                  <w:pPr>
                    <w:pStyle w:val="28"/>
                    <w:widowControl w:val="0"/>
                    <w:bidi w:val="0"/>
                    <w:rPr>
                      <w:rFonts w:hint="eastAsia"/>
                      <w:color w:val="auto"/>
                      <w:lang w:val="en-US" w:eastAsia="zh-CN"/>
                    </w:rPr>
                  </w:pPr>
                  <w:r>
                    <w:rPr>
                      <w:rFonts w:hint="eastAsia"/>
                      <w:color w:val="auto"/>
                      <w:lang w:val="en-US" w:eastAsia="zh-CN"/>
                    </w:rPr>
                    <w:t>宠物</w:t>
                  </w:r>
                </w:p>
                <w:p w14:paraId="18DB9EC2">
                  <w:pPr>
                    <w:pStyle w:val="28"/>
                    <w:widowControl w:val="0"/>
                    <w:bidi w:val="0"/>
                    <w:rPr>
                      <w:rFonts w:hint="default"/>
                      <w:color w:val="auto"/>
                      <w:lang w:val="en-US" w:eastAsia="zh-CN"/>
                    </w:rPr>
                  </w:pPr>
                  <w:r>
                    <w:rPr>
                      <w:rFonts w:hint="eastAsia"/>
                      <w:color w:val="auto"/>
                      <w:lang w:val="en-US" w:eastAsia="zh-CN"/>
                    </w:rPr>
                    <w:t>叫声</w:t>
                  </w:r>
                </w:p>
              </w:tc>
              <w:tc>
                <w:tcPr>
                  <w:tcW w:w="429" w:type="pct"/>
                  <w:noWrap w:val="0"/>
                  <w:vAlign w:val="center"/>
                </w:tcPr>
                <w:p w14:paraId="5CF4527C">
                  <w:pPr>
                    <w:pStyle w:val="28"/>
                    <w:widowControl w:val="0"/>
                    <w:bidi w:val="0"/>
                    <w:rPr>
                      <w:rFonts w:hint="default"/>
                      <w:color w:val="auto"/>
                      <w:lang w:val="en-US" w:eastAsia="zh-CN"/>
                    </w:rPr>
                  </w:pPr>
                  <w:r>
                    <w:rPr>
                      <w:rFonts w:hint="eastAsia"/>
                      <w:color w:val="auto"/>
                      <w:lang w:val="en-US" w:eastAsia="zh-CN"/>
                    </w:rPr>
                    <w:t>偶发</w:t>
                  </w:r>
                </w:p>
              </w:tc>
              <w:tc>
                <w:tcPr>
                  <w:tcW w:w="496" w:type="pct"/>
                  <w:noWrap w:val="0"/>
                  <w:vAlign w:val="center"/>
                </w:tcPr>
                <w:p w14:paraId="55310C7F">
                  <w:pPr>
                    <w:pStyle w:val="28"/>
                    <w:widowControl w:val="0"/>
                    <w:bidi w:val="0"/>
                    <w:rPr>
                      <w:rFonts w:hint="default"/>
                      <w:color w:val="auto"/>
                      <w:lang w:val="en-US" w:eastAsia="zh-CN"/>
                    </w:rPr>
                  </w:pPr>
                  <w:r>
                    <w:rPr>
                      <w:rFonts w:hint="eastAsia"/>
                      <w:color w:val="auto"/>
                      <w:lang w:val="en-US" w:eastAsia="zh-CN"/>
                    </w:rPr>
                    <w:t>70</w:t>
                  </w:r>
                </w:p>
              </w:tc>
              <w:tc>
                <w:tcPr>
                  <w:tcW w:w="1126" w:type="pct"/>
                  <w:noWrap w:val="0"/>
                  <w:vAlign w:val="center"/>
                </w:tcPr>
                <w:p w14:paraId="3760592B">
                  <w:pPr>
                    <w:pStyle w:val="28"/>
                    <w:widowControl w:val="0"/>
                    <w:bidi w:val="0"/>
                    <w:rPr>
                      <w:rFonts w:hint="default"/>
                      <w:color w:val="auto"/>
                      <w:lang w:val="en-US" w:eastAsia="zh-CN"/>
                    </w:rPr>
                  </w:pPr>
                  <w:r>
                    <w:rPr>
                      <w:rFonts w:hint="eastAsia"/>
                      <w:color w:val="auto"/>
                      <w:lang w:val="en-US" w:eastAsia="zh-CN"/>
                    </w:rPr>
                    <w:t>隔声、合理喂食、加强管理、宠物嘴套等</w:t>
                  </w:r>
                </w:p>
              </w:tc>
              <w:tc>
                <w:tcPr>
                  <w:tcW w:w="625" w:type="pct"/>
                  <w:noWrap w:val="0"/>
                  <w:vAlign w:val="center"/>
                </w:tcPr>
                <w:p w14:paraId="50E19E43">
                  <w:pPr>
                    <w:pStyle w:val="28"/>
                    <w:widowControl w:val="0"/>
                    <w:bidi w:val="0"/>
                    <w:rPr>
                      <w:rFonts w:hint="default"/>
                      <w:color w:val="auto"/>
                      <w:lang w:val="en-US" w:eastAsia="zh-CN"/>
                    </w:rPr>
                  </w:pPr>
                  <w:r>
                    <w:rPr>
                      <w:rFonts w:hint="eastAsia"/>
                      <w:color w:val="auto"/>
                      <w:lang w:val="en-US" w:eastAsia="zh-CN"/>
                    </w:rPr>
                    <w:t>20</w:t>
                  </w:r>
                </w:p>
              </w:tc>
              <w:tc>
                <w:tcPr>
                  <w:tcW w:w="625" w:type="pct"/>
                  <w:noWrap w:val="0"/>
                  <w:vAlign w:val="center"/>
                </w:tcPr>
                <w:p w14:paraId="40D7C7ED">
                  <w:pPr>
                    <w:pStyle w:val="28"/>
                    <w:widowControl w:val="0"/>
                    <w:bidi w:val="0"/>
                    <w:rPr>
                      <w:rFonts w:hint="default"/>
                      <w:color w:val="auto"/>
                      <w:lang w:val="en-US" w:eastAsia="zh-CN"/>
                    </w:rPr>
                  </w:pPr>
                  <w:r>
                    <w:rPr>
                      <w:rFonts w:hint="eastAsia"/>
                      <w:color w:val="auto"/>
                      <w:lang w:val="en-US" w:eastAsia="zh-CN"/>
                    </w:rPr>
                    <w:t>44</w:t>
                  </w:r>
                </w:p>
              </w:tc>
              <w:tc>
                <w:tcPr>
                  <w:tcW w:w="625" w:type="pct"/>
                  <w:noWrap w:val="0"/>
                  <w:vAlign w:val="center"/>
                </w:tcPr>
                <w:p w14:paraId="56E59359">
                  <w:pPr>
                    <w:pStyle w:val="28"/>
                    <w:widowControl w:val="0"/>
                    <w:bidi w:val="0"/>
                    <w:rPr>
                      <w:rFonts w:hint="default"/>
                      <w:color w:val="auto"/>
                      <w:lang w:val="en-US" w:eastAsia="zh-CN"/>
                    </w:rPr>
                  </w:pPr>
                  <w:r>
                    <w:rPr>
                      <w:rFonts w:hint="eastAsia"/>
                      <w:color w:val="auto"/>
                      <w:lang w:val="en-US" w:eastAsia="zh-CN"/>
                    </w:rPr>
                    <w:t>间断</w:t>
                  </w:r>
                </w:p>
              </w:tc>
            </w:tr>
            <w:tr w14:paraId="171B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0" w:type="pct"/>
                  <w:noWrap w:val="0"/>
                  <w:vAlign w:val="center"/>
                </w:tcPr>
                <w:p w14:paraId="29A07C6D">
                  <w:pPr>
                    <w:pStyle w:val="28"/>
                    <w:widowControl w:val="0"/>
                    <w:bidi w:val="0"/>
                    <w:rPr>
                      <w:rFonts w:hint="eastAsia"/>
                      <w:color w:val="auto"/>
                      <w:lang w:val="en-US" w:eastAsia="zh-CN"/>
                    </w:rPr>
                  </w:pPr>
                  <w:r>
                    <w:rPr>
                      <w:rFonts w:hint="default" w:ascii="Times New Roman" w:hAnsi="Times New Roman" w:cs="Times New Roman"/>
                      <w:color w:val="auto"/>
                      <w:lang w:val="en-US" w:eastAsia="zh-CN"/>
                    </w:rPr>
                    <w:t>空调外机</w:t>
                  </w:r>
                </w:p>
              </w:tc>
              <w:tc>
                <w:tcPr>
                  <w:tcW w:w="601" w:type="pct"/>
                  <w:noWrap w:val="0"/>
                  <w:vAlign w:val="center"/>
                </w:tcPr>
                <w:p w14:paraId="78736969">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空调</w:t>
                  </w:r>
                </w:p>
                <w:p w14:paraId="0959ED49">
                  <w:pPr>
                    <w:pStyle w:val="28"/>
                    <w:widowControl w:val="0"/>
                    <w:bidi w:val="0"/>
                    <w:rPr>
                      <w:rFonts w:hint="eastAsia"/>
                      <w:color w:val="auto"/>
                      <w:lang w:val="en-US" w:eastAsia="zh-CN"/>
                    </w:rPr>
                  </w:pPr>
                  <w:r>
                    <w:rPr>
                      <w:rFonts w:hint="default" w:ascii="Times New Roman" w:hAnsi="Times New Roman" w:cs="Times New Roman"/>
                      <w:color w:val="auto"/>
                      <w:lang w:val="en-US" w:eastAsia="zh-CN"/>
                    </w:rPr>
                    <w:t>外机</w:t>
                  </w:r>
                </w:p>
              </w:tc>
              <w:tc>
                <w:tcPr>
                  <w:tcW w:w="429" w:type="pct"/>
                  <w:noWrap w:val="0"/>
                  <w:vAlign w:val="center"/>
                </w:tcPr>
                <w:p w14:paraId="108CFBD9">
                  <w:pPr>
                    <w:pStyle w:val="28"/>
                    <w:widowControl w:val="0"/>
                    <w:bidi w:val="0"/>
                    <w:rPr>
                      <w:rFonts w:hint="eastAsia"/>
                      <w:color w:val="auto"/>
                      <w:lang w:val="en-US" w:eastAsia="zh-CN"/>
                    </w:rPr>
                  </w:pPr>
                  <w:r>
                    <w:rPr>
                      <w:rFonts w:hint="default" w:ascii="Times New Roman" w:hAnsi="Times New Roman" w:cs="Times New Roman"/>
                      <w:color w:val="auto"/>
                      <w:lang w:val="en-US" w:eastAsia="zh-CN"/>
                    </w:rPr>
                    <w:t>频发</w:t>
                  </w:r>
                </w:p>
              </w:tc>
              <w:tc>
                <w:tcPr>
                  <w:tcW w:w="496" w:type="pct"/>
                  <w:noWrap w:val="0"/>
                  <w:vAlign w:val="center"/>
                </w:tcPr>
                <w:p w14:paraId="41774B62">
                  <w:pPr>
                    <w:pStyle w:val="28"/>
                    <w:widowControl w:val="0"/>
                    <w:bidi w:val="0"/>
                    <w:rPr>
                      <w:rFonts w:hint="eastAsia"/>
                      <w:color w:val="auto"/>
                      <w:lang w:val="en-US" w:eastAsia="zh-CN"/>
                    </w:rPr>
                  </w:pPr>
                  <w:r>
                    <w:rPr>
                      <w:rFonts w:hint="default" w:ascii="Times New Roman" w:hAnsi="Times New Roman" w:cs="Times New Roman"/>
                      <w:color w:val="auto"/>
                      <w:lang w:val="en-US" w:eastAsia="zh-CN"/>
                    </w:rPr>
                    <w:t>60</w:t>
                  </w:r>
                </w:p>
              </w:tc>
              <w:tc>
                <w:tcPr>
                  <w:tcW w:w="1126" w:type="pct"/>
                  <w:noWrap w:val="0"/>
                  <w:vAlign w:val="center"/>
                </w:tcPr>
                <w:p w14:paraId="55881D42">
                  <w:pPr>
                    <w:pStyle w:val="28"/>
                    <w:widowControl w:val="0"/>
                    <w:bidi w:val="0"/>
                    <w:rPr>
                      <w:rFonts w:hint="eastAsia"/>
                      <w:color w:val="auto"/>
                      <w:lang w:val="en-US" w:eastAsia="zh-CN"/>
                    </w:rPr>
                  </w:pPr>
                  <w:r>
                    <w:rPr>
                      <w:rFonts w:hint="default" w:ascii="Times New Roman" w:hAnsi="Times New Roman" w:cs="Times New Roman"/>
                      <w:color w:val="auto"/>
                      <w:lang w:val="en-US" w:eastAsia="zh-CN"/>
                    </w:rPr>
                    <w:t>选用低噪合格设备、减振垫等</w:t>
                  </w:r>
                </w:p>
              </w:tc>
              <w:tc>
                <w:tcPr>
                  <w:tcW w:w="625" w:type="pct"/>
                  <w:noWrap w:val="0"/>
                  <w:vAlign w:val="center"/>
                </w:tcPr>
                <w:p w14:paraId="2BEE9831">
                  <w:pPr>
                    <w:pStyle w:val="28"/>
                    <w:widowControl w:val="0"/>
                    <w:bidi w:val="0"/>
                    <w:rPr>
                      <w:rFonts w:hint="eastAsia"/>
                      <w:color w:val="auto"/>
                      <w:lang w:val="en-US" w:eastAsia="zh-CN"/>
                    </w:rPr>
                  </w:pPr>
                  <w:r>
                    <w:rPr>
                      <w:rFonts w:hint="default" w:ascii="Times New Roman" w:hAnsi="Times New Roman" w:cs="Times New Roman"/>
                      <w:color w:val="auto"/>
                      <w:lang w:val="en-US" w:eastAsia="zh-CN"/>
                    </w:rPr>
                    <w:t>10</w:t>
                  </w:r>
                </w:p>
              </w:tc>
              <w:tc>
                <w:tcPr>
                  <w:tcW w:w="625" w:type="pct"/>
                  <w:noWrap w:val="0"/>
                  <w:vAlign w:val="center"/>
                </w:tcPr>
                <w:p w14:paraId="60005BBB">
                  <w:pPr>
                    <w:pStyle w:val="28"/>
                    <w:widowControl w:val="0"/>
                    <w:bidi w:val="0"/>
                    <w:rPr>
                      <w:rFonts w:hint="eastAsia"/>
                      <w:color w:val="auto"/>
                      <w:lang w:val="en-US" w:eastAsia="zh-CN"/>
                    </w:rPr>
                  </w:pPr>
                  <w:r>
                    <w:rPr>
                      <w:rFonts w:hint="default" w:ascii="Times New Roman" w:hAnsi="Times New Roman" w:cs="Times New Roman"/>
                      <w:color w:val="auto"/>
                      <w:lang w:val="en-US" w:eastAsia="zh-CN"/>
                    </w:rPr>
                    <w:t>50</w:t>
                  </w:r>
                </w:p>
              </w:tc>
              <w:tc>
                <w:tcPr>
                  <w:tcW w:w="625" w:type="pct"/>
                  <w:noWrap w:val="0"/>
                  <w:vAlign w:val="center"/>
                </w:tcPr>
                <w:p w14:paraId="2B4C25DB">
                  <w:pPr>
                    <w:pStyle w:val="28"/>
                    <w:widowControl w:val="0"/>
                    <w:bidi w:val="0"/>
                    <w:rPr>
                      <w:rFonts w:hint="eastAsia"/>
                      <w:color w:val="auto"/>
                      <w:lang w:val="en-US" w:eastAsia="zh-CN"/>
                    </w:rPr>
                  </w:pPr>
                  <w:r>
                    <w:rPr>
                      <w:rFonts w:hint="default" w:ascii="Times New Roman" w:hAnsi="Times New Roman" w:cs="Times New Roman"/>
                      <w:color w:val="auto"/>
                      <w:lang w:val="en-US" w:eastAsia="zh-CN"/>
                    </w:rPr>
                    <w:t>持续</w:t>
                  </w:r>
                </w:p>
              </w:tc>
            </w:tr>
            <w:tr w14:paraId="10BF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0" w:type="pct"/>
                  <w:noWrap w:val="0"/>
                  <w:vAlign w:val="center"/>
                </w:tcPr>
                <w:p w14:paraId="10AB528B">
                  <w:pPr>
                    <w:pStyle w:val="28"/>
                    <w:widowControl w:val="0"/>
                    <w:bidi w:val="0"/>
                    <w:rPr>
                      <w:rFonts w:hint="default" w:ascii="Times New Roman" w:hAnsi="Times New Roman" w:cs="Times New Roman"/>
                      <w:color w:val="auto"/>
                      <w:lang w:val="en-US" w:eastAsia="zh-CN"/>
                    </w:rPr>
                  </w:pPr>
                  <w:r>
                    <w:rPr>
                      <w:rFonts w:hint="eastAsia" w:cs="Times New Roman"/>
                      <w:color w:val="auto"/>
                      <w:lang w:val="en-US" w:eastAsia="zh-CN"/>
                    </w:rPr>
                    <w:t>/</w:t>
                  </w:r>
                </w:p>
              </w:tc>
              <w:tc>
                <w:tcPr>
                  <w:tcW w:w="601" w:type="pct"/>
                  <w:noWrap w:val="0"/>
                  <w:vAlign w:val="center"/>
                </w:tcPr>
                <w:p w14:paraId="3E6CF819">
                  <w:pPr>
                    <w:pStyle w:val="28"/>
                    <w:widowControl w:val="0"/>
                    <w:bidi w:val="0"/>
                    <w:rPr>
                      <w:rFonts w:hint="default" w:ascii="Times New Roman" w:hAnsi="Times New Roman" w:cs="Times New Roman"/>
                      <w:color w:val="auto"/>
                      <w:lang w:val="en-US" w:eastAsia="zh-CN"/>
                    </w:rPr>
                  </w:pPr>
                  <w:r>
                    <w:rPr>
                      <w:rFonts w:hint="eastAsia" w:cs="Times New Roman"/>
                      <w:color w:val="auto"/>
                      <w:lang w:val="en-US" w:eastAsia="zh-CN"/>
                    </w:rPr>
                    <w:t>离心机</w:t>
                  </w:r>
                </w:p>
              </w:tc>
              <w:tc>
                <w:tcPr>
                  <w:tcW w:w="429" w:type="pct"/>
                  <w:noWrap w:val="0"/>
                  <w:vAlign w:val="center"/>
                </w:tcPr>
                <w:p w14:paraId="46D1AD5D">
                  <w:pPr>
                    <w:pStyle w:val="28"/>
                    <w:widowControl w:val="0"/>
                    <w:bidi w:val="0"/>
                    <w:rPr>
                      <w:rFonts w:hint="default" w:ascii="Times New Roman" w:hAnsi="Times New Roman" w:cs="Times New Roman"/>
                      <w:color w:val="auto"/>
                      <w:lang w:val="en-US" w:eastAsia="zh-CN"/>
                    </w:rPr>
                  </w:pPr>
                  <w:r>
                    <w:rPr>
                      <w:rFonts w:hint="eastAsia" w:cs="Times New Roman"/>
                      <w:color w:val="auto"/>
                      <w:lang w:val="en-US" w:eastAsia="zh-CN"/>
                    </w:rPr>
                    <w:t>间歇</w:t>
                  </w:r>
                </w:p>
              </w:tc>
              <w:tc>
                <w:tcPr>
                  <w:tcW w:w="496" w:type="pct"/>
                  <w:noWrap w:val="0"/>
                  <w:vAlign w:val="center"/>
                </w:tcPr>
                <w:p w14:paraId="782C32AE">
                  <w:pPr>
                    <w:pStyle w:val="28"/>
                    <w:widowControl w:val="0"/>
                    <w:bidi w:val="0"/>
                    <w:rPr>
                      <w:rFonts w:hint="default" w:ascii="Times New Roman" w:hAnsi="Times New Roman" w:cs="Times New Roman"/>
                      <w:color w:val="auto"/>
                      <w:lang w:val="en-US" w:eastAsia="zh-CN"/>
                    </w:rPr>
                  </w:pPr>
                  <w:r>
                    <w:rPr>
                      <w:rFonts w:hint="eastAsia" w:cs="Times New Roman"/>
                      <w:color w:val="auto"/>
                      <w:lang w:val="en-US" w:eastAsia="zh-CN"/>
                    </w:rPr>
                    <w:t>70</w:t>
                  </w:r>
                </w:p>
              </w:tc>
              <w:tc>
                <w:tcPr>
                  <w:tcW w:w="1126" w:type="pct"/>
                  <w:noWrap w:val="0"/>
                  <w:vAlign w:val="center"/>
                </w:tcPr>
                <w:p w14:paraId="7EDD2F09">
                  <w:pPr>
                    <w:pStyle w:val="28"/>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低噪声设备、基础</w:t>
                  </w:r>
                  <w:r>
                    <w:rPr>
                      <w:rFonts w:hint="eastAsia" w:cs="Times New Roman"/>
                      <w:color w:val="auto"/>
                      <w:lang w:val="en-US" w:eastAsia="zh-CN"/>
                    </w:rPr>
                    <w:t>减振</w:t>
                  </w:r>
                  <w:r>
                    <w:rPr>
                      <w:rFonts w:hint="default" w:ascii="Times New Roman" w:hAnsi="Times New Roman" w:cs="Times New Roman"/>
                      <w:color w:val="auto"/>
                      <w:lang w:val="en-US" w:eastAsia="zh-CN"/>
                    </w:rPr>
                    <w:t>、墙体隔声</w:t>
                  </w:r>
                </w:p>
              </w:tc>
              <w:tc>
                <w:tcPr>
                  <w:tcW w:w="625" w:type="pct"/>
                  <w:noWrap w:val="0"/>
                  <w:vAlign w:val="center"/>
                </w:tcPr>
                <w:p w14:paraId="4F8A064F">
                  <w:pPr>
                    <w:pStyle w:val="28"/>
                    <w:widowControl w:val="0"/>
                    <w:bidi w:val="0"/>
                    <w:rPr>
                      <w:rFonts w:hint="default" w:ascii="Times New Roman" w:hAnsi="Times New Roman" w:cs="Times New Roman"/>
                      <w:color w:val="auto"/>
                      <w:lang w:val="en-US" w:eastAsia="zh-CN"/>
                    </w:rPr>
                  </w:pPr>
                  <w:r>
                    <w:rPr>
                      <w:rFonts w:hint="eastAsia" w:cs="Times New Roman"/>
                      <w:color w:val="auto"/>
                      <w:lang w:val="en-US" w:eastAsia="zh-CN"/>
                    </w:rPr>
                    <w:t>20</w:t>
                  </w:r>
                </w:p>
              </w:tc>
              <w:tc>
                <w:tcPr>
                  <w:tcW w:w="625" w:type="pct"/>
                  <w:noWrap w:val="0"/>
                  <w:vAlign w:val="center"/>
                </w:tcPr>
                <w:p w14:paraId="16B07CA5">
                  <w:pPr>
                    <w:pStyle w:val="28"/>
                    <w:widowControl w:val="0"/>
                    <w:bidi w:val="0"/>
                    <w:rPr>
                      <w:rFonts w:hint="default" w:ascii="Times New Roman" w:hAnsi="Times New Roman" w:cs="Times New Roman"/>
                      <w:color w:val="auto"/>
                      <w:lang w:val="en-US" w:eastAsia="zh-CN"/>
                    </w:rPr>
                  </w:pPr>
                  <w:r>
                    <w:rPr>
                      <w:rFonts w:hint="eastAsia" w:cs="Times New Roman"/>
                      <w:color w:val="auto"/>
                      <w:lang w:val="en-US" w:eastAsia="zh-CN"/>
                    </w:rPr>
                    <w:t>44</w:t>
                  </w:r>
                </w:p>
              </w:tc>
              <w:tc>
                <w:tcPr>
                  <w:tcW w:w="625" w:type="pct"/>
                  <w:noWrap w:val="0"/>
                  <w:vAlign w:val="center"/>
                </w:tcPr>
                <w:p w14:paraId="31748AFB">
                  <w:pPr>
                    <w:pStyle w:val="28"/>
                    <w:widowControl w:val="0"/>
                    <w:bidi w:val="0"/>
                    <w:rPr>
                      <w:rFonts w:hint="default" w:ascii="Times New Roman" w:hAnsi="Times New Roman" w:cs="Times New Roman"/>
                      <w:color w:val="auto"/>
                      <w:lang w:val="en-US" w:eastAsia="zh-CN"/>
                    </w:rPr>
                  </w:pPr>
                  <w:r>
                    <w:rPr>
                      <w:rFonts w:hint="eastAsia"/>
                      <w:color w:val="auto"/>
                      <w:lang w:val="en-US" w:eastAsia="zh-CN"/>
                    </w:rPr>
                    <w:t>间断</w:t>
                  </w:r>
                </w:p>
              </w:tc>
            </w:tr>
            <w:bookmarkEnd w:id="36"/>
          </w:tbl>
          <w:p w14:paraId="4988CC16">
            <w:pPr>
              <w:pStyle w:val="22"/>
              <w:bidi w:val="0"/>
              <w:rPr>
                <w:rFonts w:hint="eastAsia"/>
                <w:color w:val="auto"/>
                <w:lang w:eastAsia="zh-CN"/>
              </w:rPr>
            </w:pPr>
            <w:r>
              <w:rPr>
                <w:rFonts w:hint="default"/>
                <w:color w:val="auto"/>
                <w:lang w:eastAsia="zh-CN"/>
              </w:rPr>
              <w:t>表4-</w:t>
            </w:r>
            <w:r>
              <w:rPr>
                <w:rFonts w:hint="eastAsia"/>
                <w:color w:val="auto"/>
                <w:lang w:val="en-US" w:eastAsia="zh-CN"/>
              </w:rPr>
              <w:t xml:space="preserve">8  </w:t>
            </w:r>
            <w:r>
              <w:rPr>
                <w:rFonts w:hint="default"/>
                <w:color w:val="auto"/>
                <w:lang w:eastAsia="zh-CN"/>
              </w:rPr>
              <w:t xml:space="preserve"> </w:t>
            </w:r>
            <w:r>
              <w:rPr>
                <w:rFonts w:hint="eastAsia"/>
                <w:color w:val="auto"/>
                <w:lang w:eastAsia="zh-CN"/>
              </w:rPr>
              <w:t>项目主要噪声源强调查清单（室</w:t>
            </w:r>
            <w:r>
              <w:rPr>
                <w:rFonts w:hint="eastAsia"/>
                <w:color w:val="auto"/>
                <w:lang w:val="en-US" w:eastAsia="zh-CN"/>
              </w:rPr>
              <w:t>内</w:t>
            </w:r>
            <w:r>
              <w:rPr>
                <w:rFonts w:hint="eastAsia"/>
                <w:color w:val="auto"/>
                <w:lang w:eastAsia="zh-CN"/>
              </w:rPr>
              <w:t>声源）</w:t>
            </w:r>
          </w:p>
          <w:tbl>
            <w:tblPr>
              <w:tblStyle w:val="14"/>
              <w:tblW w:w="822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709"/>
              <w:gridCol w:w="793"/>
              <w:gridCol w:w="857"/>
              <w:gridCol w:w="514"/>
              <w:gridCol w:w="379"/>
              <w:gridCol w:w="240"/>
              <w:gridCol w:w="1117"/>
              <w:gridCol w:w="750"/>
              <w:gridCol w:w="1106"/>
              <w:gridCol w:w="975"/>
              <w:gridCol w:w="780"/>
            </w:tblGrid>
            <w:tr w14:paraId="6404987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40" w:hRule="atLeast"/>
                <w:jc w:val="center"/>
              </w:trPr>
              <w:tc>
                <w:tcPr>
                  <w:tcW w:w="709" w:type="dxa"/>
                  <w:vMerge w:val="restart"/>
                  <w:tcBorders>
                    <w:tl2br w:val="nil"/>
                    <w:tr2bl w:val="nil"/>
                  </w:tcBorders>
                  <w:noWrap w:val="0"/>
                  <w:vAlign w:val="center"/>
                </w:tcPr>
                <w:p w14:paraId="666F50D0">
                  <w:pPr>
                    <w:pStyle w:val="28"/>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声源名称</w:t>
                  </w:r>
                </w:p>
              </w:tc>
              <w:tc>
                <w:tcPr>
                  <w:tcW w:w="793" w:type="dxa"/>
                  <w:vMerge w:val="restart"/>
                  <w:tcBorders>
                    <w:tl2br w:val="nil"/>
                    <w:tr2bl w:val="nil"/>
                  </w:tcBorders>
                  <w:noWrap w:val="0"/>
                  <w:vAlign w:val="center"/>
                </w:tcPr>
                <w:p w14:paraId="7EA8138A">
                  <w:pPr>
                    <w:pStyle w:val="28"/>
                    <w:bidi w:val="0"/>
                    <w:rPr>
                      <w:rFonts w:hint="default"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lang w:val="en-US" w:eastAsia="zh-CN"/>
                    </w:rPr>
                    <w:t>噪声级dB（A）</w:t>
                  </w:r>
                </w:p>
              </w:tc>
              <w:tc>
                <w:tcPr>
                  <w:tcW w:w="857" w:type="dxa"/>
                  <w:vMerge w:val="restart"/>
                  <w:tcBorders>
                    <w:bottom w:val="single" w:color="auto" w:sz="4" w:space="0"/>
                    <w:tl2br w:val="nil"/>
                    <w:tr2bl w:val="nil"/>
                  </w:tcBorders>
                  <w:noWrap w:val="0"/>
                  <w:vAlign w:val="center"/>
                </w:tcPr>
                <w:p w14:paraId="59A8505F">
                  <w:pPr>
                    <w:pStyle w:val="28"/>
                    <w:bidi w:val="0"/>
                    <w:rPr>
                      <w:rFonts w:hint="eastAsia"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lang w:val="en-US" w:eastAsia="zh-CN"/>
                    </w:rPr>
                    <w:t>设备防噪措施</w:t>
                  </w:r>
                </w:p>
              </w:tc>
              <w:tc>
                <w:tcPr>
                  <w:tcW w:w="1133" w:type="dxa"/>
                  <w:gridSpan w:val="3"/>
                  <w:tcBorders>
                    <w:tl2br w:val="nil"/>
                    <w:tr2bl w:val="nil"/>
                  </w:tcBorders>
                  <w:noWrap w:val="0"/>
                  <w:vAlign w:val="center"/>
                </w:tcPr>
                <w:p w14:paraId="1ED61158">
                  <w:pPr>
                    <w:pStyle w:val="28"/>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空间位置</w:t>
                  </w:r>
                </w:p>
              </w:tc>
              <w:tc>
                <w:tcPr>
                  <w:tcW w:w="1117" w:type="dxa"/>
                  <w:vMerge w:val="restart"/>
                  <w:tcBorders>
                    <w:tl2br w:val="nil"/>
                    <w:tr2bl w:val="nil"/>
                  </w:tcBorders>
                  <w:noWrap w:val="0"/>
                  <w:vAlign w:val="center"/>
                </w:tcPr>
                <w:p w14:paraId="1BF25C32">
                  <w:pPr>
                    <w:pStyle w:val="28"/>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距室内边界位置m</w:t>
                  </w:r>
                </w:p>
              </w:tc>
              <w:tc>
                <w:tcPr>
                  <w:tcW w:w="750" w:type="dxa"/>
                  <w:vMerge w:val="restart"/>
                  <w:tcBorders>
                    <w:tl2br w:val="nil"/>
                    <w:tr2bl w:val="nil"/>
                  </w:tcBorders>
                  <w:noWrap w:val="0"/>
                  <w:vAlign w:val="center"/>
                </w:tcPr>
                <w:p w14:paraId="66F31B23">
                  <w:pPr>
                    <w:pStyle w:val="28"/>
                    <w:bidi w:val="0"/>
                    <w:rPr>
                      <w:rFonts w:hint="eastAsia" w:ascii="Times New Roman" w:hAnsi="Times New Roman" w:eastAsia="宋体" w:cs="Times New Roman"/>
                      <w:b/>
                      <w:bCs w:val="0"/>
                      <w:color w:val="auto"/>
                      <w:lang w:val="en-US" w:eastAsia="zh-CN"/>
                    </w:rPr>
                  </w:pPr>
                  <w:r>
                    <w:rPr>
                      <w:rFonts w:hint="default"/>
                      <w:b/>
                      <w:bCs w:val="0"/>
                      <w:color w:val="auto"/>
                      <w:lang w:val="en-US" w:eastAsia="zh-CN"/>
                    </w:rPr>
                    <w:t>运行时段</w:t>
                  </w:r>
                </w:p>
              </w:tc>
              <w:tc>
                <w:tcPr>
                  <w:tcW w:w="1106" w:type="dxa"/>
                  <w:vMerge w:val="restart"/>
                  <w:tcBorders>
                    <w:tl2br w:val="nil"/>
                    <w:tr2bl w:val="nil"/>
                  </w:tcBorders>
                  <w:noWrap w:val="0"/>
                  <w:vAlign w:val="center"/>
                </w:tcPr>
                <w:p w14:paraId="1CCC4F14">
                  <w:pPr>
                    <w:pStyle w:val="28"/>
                    <w:bidi w:val="0"/>
                    <w:rPr>
                      <w:rFonts w:hint="eastAsia" w:ascii="Times New Roman" w:hAnsi="Times New Roman" w:eastAsia="宋体" w:cs="Times New Roman"/>
                      <w:b/>
                      <w:bCs w:val="0"/>
                      <w:color w:val="auto"/>
                      <w:lang w:val="en-US" w:eastAsia="zh-CN"/>
                    </w:rPr>
                  </w:pPr>
                  <w:r>
                    <w:rPr>
                      <w:rFonts w:hint="eastAsia" w:cs="Times New Roman"/>
                      <w:b/>
                      <w:bCs/>
                      <w:i w:val="0"/>
                      <w:iCs w:val="0"/>
                      <w:caps w:val="0"/>
                      <w:spacing w:val="0"/>
                      <w:sz w:val="21"/>
                      <w:szCs w:val="21"/>
                      <w:shd w:val="clear" w:color="auto" w:fill="FFFFFF"/>
                      <w:lang w:val="en-US" w:eastAsia="zh-CN"/>
                    </w:rPr>
                    <w:t>建筑物插入损失</w:t>
                  </w:r>
                  <w:r>
                    <w:rPr>
                      <w:b/>
                      <w:bCs/>
                      <w:color w:val="auto"/>
                      <w:kern w:val="0"/>
                      <w:szCs w:val="21"/>
                      <w:highlight w:val="none"/>
                    </w:rPr>
                    <w:t>d</w:t>
                  </w:r>
                  <w:r>
                    <w:rPr>
                      <w:b/>
                      <w:bCs/>
                      <w:caps/>
                      <w:color w:val="auto"/>
                      <w:kern w:val="0"/>
                      <w:szCs w:val="21"/>
                      <w:highlight w:val="none"/>
                    </w:rPr>
                    <w:t>B（A）</w:t>
                  </w:r>
                </w:p>
              </w:tc>
              <w:tc>
                <w:tcPr>
                  <w:tcW w:w="1755" w:type="dxa"/>
                  <w:gridSpan w:val="2"/>
                  <w:tcBorders>
                    <w:tl2br w:val="nil"/>
                    <w:tr2bl w:val="nil"/>
                  </w:tcBorders>
                  <w:noWrap w:val="0"/>
                  <w:vAlign w:val="center"/>
                </w:tcPr>
                <w:p w14:paraId="7D316808">
                  <w:pPr>
                    <w:pStyle w:val="28"/>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建筑物外噪声</w:t>
                  </w:r>
                </w:p>
              </w:tc>
            </w:tr>
            <w:tr w14:paraId="5E6E728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71" w:hRule="atLeast"/>
                <w:jc w:val="center"/>
              </w:trPr>
              <w:tc>
                <w:tcPr>
                  <w:tcW w:w="709" w:type="dxa"/>
                  <w:vMerge w:val="continue"/>
                  <w:tcBorders>
                    <w:tl2br w:val="nil"/>
                    <w:tr2bl w:val="nil"/>
                  </w:tcBorders>
                  <w:noWrap w:val="0"/>
                  <w:vAlign w:val="center"/>
                </w:tcPr>
                <w:p w14:paraId="2E5D7933">
                  <w:pPr>
                    <w:pStyle w:val="28"/>
                    <w:bidi w:val="0"/>
                    <w:rPr>
                      <w:rFonts w:hint="default" w:ascii="Times New Roman" w:hAnsi="Times New Roman" w:eastAsia="宋体" w:cs="Times New Roman"/>
                      <w:b/>
                      <w:bCs w:val="0"/>
                      <w:color w:val="auto"/>
                      <w:lang w:val="en-US" w:eastAsia="zh-CN"/>
                    </w:rPr>
                  </w:pPr>
                </w:p>
              </w:tc>
              <w:tc>
                <w:tcPr>
                  <w:tcW w:w="793" w:type="dxa"/>
                  <w:vMerge w:val="continue"/>
                  <w:tcBorders>
                    <w:tl2br w:val="nil"/>
                    <w:tr2bl w:val="nil"/>
                  </w:tcBorders>
                  <w:noWrap w:val="0"/>
                  <w:vAlign w:val="center"/>
                </w:tcPr>
                <w:p w14:paraId="3BF7D9A7">
                  <w:pPr>
                    <w:pStyle w:val="28"/>
                    <w:bidi w:val="0"/>
                    <w:rPr>
                      <w:rFonts w:hint="default" w:ascii="Times New Roman" w:hAnsi="Times New Roman" w:eastAsia="宋体" w:cs="Times New Roman"/>
                      <w:b/>
                      <w:bCs w:val="0"/>
                      <w:color w:val="auto"/>
                      <w:lang w:val="en-US" w:eastAsia="zh-CN"/>
                    </w:rPr>
                  </w:pPr>
                </w:p>
              </w:tc>
              <w:tc>
                <w:tcPr>
                  <w:tcW w:w="857" w:type="dxa"/>
                  <w:vMerge w:val="continue"/>
                  <w:tcBorders>
                    <w:top w:val="single" w:color="auto" w:sz="4" w:space="0"/>
                    <w:tl2br w:val="nil"/>
                    <w:tr2bl w:val="nil"/>
                  </w:tcBorders>
                  <w:noWrap w:val="0"/>
                  <w:vAlign w:val="center"/>
                </w:tcPr>
                <w:p w14:paraId="0A25EC94">
                  <w:pPr>
                    <w:pStyle w:val="28"/>
                    <w:bidi w:val="0"/>
                    <w:rPr>
                      <w:rFonts w:hint="default" w:ascii="Times New Roman" w:hAnsi="Times New Roman" w:eastAsia="宋体" w:cs="Times New Roman"/>
                      <w:b/>
                      <w:bCs w:val="0"/>
                      <w:color w:val="auto"/>
                      <w:lang w:val="en-US" w:eastAsia="zh-CN"/>
                    </w:rPr>
                  </w:pPr>
                </w:p>
              </w:tc>
              <w:tc>
                <w:tcPr>
                  <w:tcW w:w="514" w:type="dxa"/>
                  <w:tcBorders>
                    <w:bottom w:val="single" w:color="auto" w:sz="4" w:space="0"/>
                    <w:tl2br w:val="nil"/>
                    <w:tr2bl w:val="nil"/>
                  </w:tcBorders>
                  <w:noWrap w:val="0"/>
                  <w:vAlign w:val="center"/>
                </w:tcPr>
                <w:p w14:paraId="21995685">
                  <w:pPr>
                    <w:pStyle w:val="28"/>
                    <w:bidi w:val="0"/>
                    <w:jc w:val="both"/>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X</w:t>
                  </w:r>
                </w:p>
              </w:tc>
              <w:tc>
                <w:tcPr>
                  <w:tcW w:w="379" w:type="dxa"/>
                  <w:tcBorders>
                    <w:bottom w:val="single" w:color="auto" w:sz="4" w:space="0"/>
                    <w:tl2br w:val="nil"/>
                    <w:tr2bl w:val="nil"/>
                  </w:tcBorders>
                  <w:noWrap w:val="0"/>
                  <w:vAlign w:val="center"/>
                </w:tcPr>
                <w:p w14:paraId="5E5A74FE">
                  <w:pPr>
                    <w:pStyle w:val="28"/>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Y</w:t>
                  </w:r>
                </w:p>
              </w:tc>
              <w:tc>
                <w:tcPr>
                  <w:tcW w:w="240" w:type="dxa"/>
                  <w:tcBorders>
                    <w:bottom w:val="single" w:color="auto" w:sz="4" w:space="0"/>
                    <w:tl2br w:val="nil"/>
                    <w:tr2bl w:val="nil"/>
                  </w:tcBorders>
                  <w:noWrap w:val="0"/>
                  <w:vAlign w:val="center"/>
                </w:tcPr>
                <w:p w14:paraId="487DB580">
                  <w:pPr>
                    <w:pStyle w:val="28"/>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Z</w:t>
                  </w:r>
                </w:p>
              </w:tc>
              <w:tc>
                <w:tcPr>
                  <w:tcW w:w="1117" w:type="dxa"/>
                  <w:vMerge w:val="continue"/>
                  <w:tcBorders>
                    <w:bottom w:val="single" w:color="auto" w:sz="4" w:space="0"/>
                    <w:tl2br w:val="nil"/>
                    <w:tr2bl w:val="nil"/>
                  </w:tcBorders>
                  <w:noWrap w:val="0"/>
                  <w:vAlign w:val="center"/>
                </w:tcPr>
                <w:p w14:paraId="393C6907">
                  <w:pPr>
                    <w:pStyle w:val="28"/>
                    <w:bidi w:val="0"/>
                    <w:rPr>
                      <w:rFonts w:hint="default" w:ascii="Times New Roman" w:hAnsi="Times New Roman" w:eastAsia="宋体" w:cs="Times New Roman"/>
                      <w:b/>
                      <w:bCs w:val="0"/>
                      <w:color w:val="auto"/>
                      <w:lang w:val="en-US" w:eastAsia="zh-CN"/>
                    </w:rPr>
                  </w:pPr>
                </w:p>
              </w:tc>
              <w:tc>
                <w:tcPr>
                  <w:tcW w:w="750" w:type="dxa"/>
                  <w:vMerge w:val="continue"/>
                  <w:tcBorders>
                    <w:bottom w:val="single" w:color="auto" w:sz="4" w:space="0"/>
                    <w:tl2br w:val="nil"/>
                    <w:tr2bl w:val="nil"/>
                  </w:tcBorders>
                  <w:noWrap w:val="0"/>
                  <w:vAlign w:val="center"/>
                </w:tcPr>
                <w:p w14:paraId="24AD9895">
                  <w:pPr>
                    <w:pStyle w:val="28"/>
                    <w:bidi w:val="0"/>
                    <w:rPr>
                      <w:rFonts w:hint="default" w:ascii="Times New Roman" w:hAnsi="Times New Roman" w:eastAsia="宋体" w:cs="Times New Roman"/>
                      <w:b/>
                      <w:bCs w:val="0"/>
                      <w:color w:val="auto"/>
                      <w:lang w:val="en-US" w:eastAsia="zh-CN"/>
                    </w:rPr>
                  </w:pPr>
                </w:p>
              </w:tc>
              <w:tc>
                <w:tcPr>
                  <w:tcW w:w="1106" w:type="dxa"/>
                  <w:vMerge w:val="continue"/>
                  <w:tcBorders>
                    <w:bottom w:val="single" w:color="auto" w:sz="4" w:space="0"/>
                    <w:tl2br w:val="nil"/>
                    <w:tr2bl w:val="nil"/>
                  </w:tcBorders>
                  <w:noWrap w:val="0"/>
                  <w:vAlign w:val="center"/>
                </w:tcPr>
                <w:p w14:paraId="3C3D47A0">
                  <w:pPr>
                    <w:pStyle w:val="28"/>
                    <w:bidi w:val="0"/>
                    <w:rPr>
                      <w:rFonts w:hint="default" w:ascii="Times New Roman" w:hAnsi="Times New Roman" w:eastAsia="宋体" w:cs="Times New Roman"/>
                      <w:b/>
                      <w:bCs w:val="0"/>
                      <w:color w:val="auto"/>
                      <w:lang w:val="en-US" w:eastAsia="zh-CN"/>
                    </w:rPr>
                  </w:pPr>
                </w:p>
              </w:tc>
              <w:tc>
                <w:tcPr>
                  <w:tcW w:w="975" w:type="dxa"/>
                  <w:tcBorders>
                    <w:bottom w:val="single" w:color="auto" w:sz="4" w:space="0"/>
                    <w:tl2br w:val="nil"/>
                    <w:tr2bl w:val="nil"/>
                  </w:tcBorders>
                  <w:noWrap w:val="0"/>
                  <w:vAlign w:val="center"/>
                </w:tcPr>
                <w:p w14:paraId="010B08C2">
                  <w:pPr>
                    <w:pStyle w:val="43"/>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lang w:val="en-US" w:eastAsia="zh-CN"/>
                    </w:rPr>
                  </w:pPr>
                  <w:r>
                    <w:rPr>
                      <w:rFonts w:hint="eastAsia" w:cs="Times New Roman"/>
                      <w:b/>
                      <w:bCs/>
                      <w:i w:val="0"/>
                      <w:iCs w:val="0"/>
                      <w:caps w:val="0"/>
                      <w:spacing w:val="0"/>
                      <w:sz w:val="21"/>
                      <w:szCs w:val="21"/>
                      <w:shd w:val="clear" w:color="auto" w:fill="FFFFFF"/>
                      <w:lang w:val="en-US" w:eastAsia="zh-CN"/>
                    </w:rPr>
                    <w:t>距离建筑物外距离m</w:t>
                  </w:r>
                </w:p>
              </w:tc>
              <w:tc>
                <w:tcPr>
                  <w:tcW w:w="780" w:type="dxa"/>
                  <w:tcBorders>
                    <w:bottom w:val="single" w:color="auto" w:sz="4" w:space="0"/>
                    <w:tl2br w:val="nil"/>
                    <w:tr2bl w:val="nil"/>
                  </w:tcBorders>
                  <w:noWrap w:val="0"/>
                  <w:vAlign w:val="center"/>
                </w:tcPr>
                <w:p w14:paraId="6498D608">
                  <w:pPr>
                    <w:pStyle w:val="43"/>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lang w:val="en-US" w:eastAsia="zh-CN"/>
                    </w:rPr>
                  </w:pPr>
                  <w:r>
                    <w:rPr>
                      <w:rFonts w:hint="eastAsia" w:cs="Times New Roman"/>
                      <w:b/>
                      <w:bCs/>
                      <w:i w:val="0"/>
                      <w:iCs w:val="0"/>
                      <w:caps w:val="0"/>
                      <w:spacing w:val="0"/>
                      <w:sz w:val="21"/>
                      <w:szCs w:val="21"/>
                      <w:shd w:val="clear" w:color="auto" w:fill="FFFFFF"/>
                      <w:lang w:val="en-US" w:eastAsia="zh-CN"/>
                    </w:rPr>
                    <w:t>声压级</w:t>
                  </w:r>
                  <w:r>
                    <w:rPr>
                      <w:b/>
                      <w:bCs/>
                      <w:color w:val="auto"/>
                      <w:kern w:val="0"/>
                      <w:szCs w:val="21"/>
                      <w:highlight w:val="none"/>
                    </w:rPr>
                    <w:t>d</w:t>
                  </w:r>
                  <w:r>
                    <w:rPr>
                      <w:b/>
                      <w:bCs/>
                      <w:caps/>
                      <w:color w:val="auto"/>
                      <w:kern w:val="0"/>
                      <w:szCs w:val="21"/>
                      <w:highlight w:val="none"/>
                    </w:rPr>
                    <w:t>B（A）</w:t>
                  </w:r>
                </w:p>
              </w:tc>
            </w:tr>
            <w:tr w14:paraId="05D652C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05" w:hRule="atLeast"/>
                <w:jc w:val="center"/>
              </w:trPr>
              <w:tc>
                <w:tcPr>
                  <w:tcW w:w="709" w:type="dxa"/>
                  <w:tcBorders>
                    <w:tl2br w:val="nil"/>
                    <w:tr2bl w:val="nil"/>
                  </w:tcBorders>
                  <w:noWrap w:val="0"/>
                  <w:vAlign w:val="center"/>
                </w:tcPr>
                <w:p w14:paraId="3B501408">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宠物</w:t>
                  </w:r>
                </w:p>
                <w:p w14:paraId="27628B52">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叫声</w:t>
                  </w:r>
                </w:p>
              </w:tc>
              <w:tc>
                <w:tcPr>
                  <w:tcW w:w="793" w:type="dxa"/>
                  <w:tcBorders>
                    <w:tl2br w:val="nil"/>
                    <w:tr2bl w:val="nil"/>
                  </w:tcBorders>
                  <w:noWrap w:val="0"/>
                  <w:vAlign w:val="center"/>
                </w:tcPr>
                <w:p w14:paraId="5E85146B">
                  <w:pPr>
                    <w:pStyle w:val="28"/>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70</w:t>
                  </w:r>
                </w:p>
              </w:tc>
              <w:tc>
                <w:tcPr>
                  <w:tcW w:w="857" w:type="dxa"/>
                  <w:tcBorders>
                    <w:top w:val="single" w:color="auto" w:sz="4" w:space="0"/>
                    <w:bottom w:val="single" w:color="auto" w:sz="4" w:space="0"/>
                    <w:tl2br w:val="nil"/>
                    <w:tr2bl w:val="nil"/>
                  </w:tcBorders>
                  <w:noWrap w:val="0"/>
                  <w:vAlign w:val="center"/>
                </w:tcPr>
                <w:p w14:paraId="2304E250">
                  <w:pPr>
                    <w:pStyle w:val="28"/>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厂房隔声</w:t>
                  </w:r>
                </w:p>
              </w:tc>
              <w:tc>
                <w:tcPr>
                  <w:tcW w:w="514" w:type="dxa"/>
                  <w:tcBorders>
                    <w:tl2br w:val="nil"/>
                    <w:tr2bl w:val="nil"/>
                  </w:tcBorders>
                  <w:noWrap w:val="0"/>
                  <w:vAlign w:val="center"/>
                </w:tcPr>
                <w:p w14:paraId="2C2C0062">
                  <w:pPr>
                    <w:pStyle w:val="28"/>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379" w:type="dxa"/>
                  <w:tcBorders>
                    <w:tl2br w:val="nil"/>
                    <w:tr2bl w:val="nil"/>
                  </w:tcBorders>
                  <w:noWrap w:val="0"/>
                  <w:vAlign w:val="center"/>
                </w:tcPr>
                <w:p w14:paraId="59F54B62">
                  <w:pPr>
                    <w:pStyle w:val="28"/>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240" w:type="dxa"/>
                  <w:tcBorders>
                    <w:tl2br w:val="nil"/>
                    <w:tr2bl w:val="nil"/>
                  </w:tcBorders>
                  <w:noWrap w:val="0"/>
                  <w:vAlign w:val="center"/>
                </w:tcPr>
                <w:p w14:paraId="29E3EB54">
                  <w:pPr>
                    <w:pStyle w:val="28"/>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17" w:type="dxa"/>
                  <w:tcBorders>
                    <w:tl2br w:val="nil"/>
                    <w:tr2bl w:val="nil"/>
                  </w:tcBorders>
                  <w:noWrap w:val="0"/>
                  <w:vAlign w:val="center"/>
                </w:tcPr>
                <w:p w14:paraId="714A686F">
                  <w:pPr>
                    <w:pStyle w:val="28"/>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750" w:type="dxa"/>
                  <w:tcBorders>
                    <w:tl2br w:val="nil"/>
                    <w:tr2bl w:val="nil"/>
                  </w:tcBorders>
                  <w:noWrap w:val="0"/>
                  <w:vAlign w:val="center"/>
                </w:tcPr>
                <w:p w14:paraId="0711D1AD">
                  <w:pPr>
                    <w:pStyle w:val="28"/>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24小时</w:t>
                  </w:r>
                </w:p>
              </w:tc>
              <w:tc>
                <w:tcPr>
                  <w:tcW w:w="1106" w:type="dxa"/>
                  <w:tcBorders>
                    <w:tl2br w:val="nil"/>
                    <w:tr2bl w:val="nil"/>
                  </w:tcBorders>
                  <w:noWrap w:val="0"/>
                  <w:vAlign w:val="center"/>
                </w:tcPr>
                <w:p w14:paraId="01CFEA67">
                  <w:pPr>
                    <w:pStyle w:val="28"/>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w:t>
                  </w:r>
                </w:p>
              </w:tc>
              <w:tc>
                <w:tcPr>
                  <w:tcW w:w="975" w:type="dxa"/>
                  <w:tcBorders>
                    <w:tl2br w:val="nil"/>
                    <w:tr2bl w:val="nil"/>
                  </w:tcBorders>
                  <w:noWrap w:val="0"/>
                  <w:vAlign w:val="center"/>
                </w:tcPr>
                <w:p w14:paraId="4B366E76">
                  <w:pPr>
                    <w:pStyle w:val="28"/>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780" w:type="dxa"/>
                  <w:tcBorders>
                    <w:tl2br w:val="nil"/>
                    <w:tr2bl w:val="nil"/>
                  </w:tcBorders>
                  <w:noWrap w:val="0"/>
                  <w:vAlign w:val="center"/>
                </w:tcPr>
                <w:p w14:paraId="6BFA6609">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44</w:t>
                  </w:r>
                </w:p>
              </w:tc>
            </w:tr>
            <w:tr w14:paraId="09D016E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05" w:hRule="atLeast"/>
                <w:jc w:val="center"/>
              </w:trPr>
              <w:tc>
                <w:tcPr>
                  <w:tcW w:w="709" w:type="dxa"/>
                  <w:tcBorders>
                    <w:tl2br w:val="nil"/>
                    <w:tr2bl w:val="nil"/>
                  </w:tcBorders>
                  <w:noWrap w:val="0"/>
                  <w:vAlign w:val="center"/>
                </w:tcPr>
                <w:p w14:paraId="70C0370A">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离心机</w:t>
                  </w:r>
                </w:p>
              </w:tc>
              <w:tc>
                <w:tcPr>
                  <w:tcW w:w="793" w:type="dxa"/>
                  <w:tcBorders>
                    <w:tl2br w:val="nil"/>
                    <w:tr2bl w:val="nil"/>
                  </w:tcBorders>
                  <w:noWrap w:val="0"/>
                  <w:vAlign w:val="center"/>
                </w:tcPr>
                <w:p w14:paraId="7883ADBB">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70</w:t>
                  </w:r>
                </w:p>
              </w:tc>
              <w:tc>
                <w:tcPr>
                  <w:tcW w:w="857" w:type="dxa"/>
                  <w:tcBorders>
                    <w:top w:val="single" w:color="auto" w:sz="4" w:space="0"/>
                    <w:tl2br w:val="nil"/>
                    <w:tr2bl w:val="nil"/>
                  </w:tcBorders>
                  <w:noWrap w:val="0"/>
                  <w:vAlign w:val="center"/>
                </w:tcPr>
                <w:p w14:paraId="29485951">
                  <w:pPr>
                    <w:pStyle w:val="28"/>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厂房隔声</w:t>
                  </w:r>
                </w:p>
              </w:tc>
              <w:tc>
                <w:tcPr>
                  <w:tcW w:w="514" w:type="dxa"/>
                  <w:tcBorders>
                    <w:tl2br w:val="nil"/>
                    <w:tr2bl w:val="nil"/>
                  </w:tcBorders>
                  <w:noWrap w:val="0"/>
                  <w:vAlign w:val="center"/>
                </w:tcPr>
                <w:p w14:paraId="0F3E0793">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3.5</w:t>
                  </w:r>
                </w:p>
              </w:tc>
              <w:tc>
                <w:tcPr>
                  <w:tcW w:w="379" w:type="dxa"/>
                  <w:tcBorders>
                    <w:tl2br w:val="nil"/>
                    <w:tr2bl w:val="nil"/>
                  </w:tcBorders>
                  <w:noWrap w:val="0"/>
                  <w:vAlign w:val="center"/>
                </w:tcPr>
                <w:p w14:paraId="5585FC3E">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240" w:type="dxa"/>
                  <w:tcBorders>
                    <w:tl2br w:val="nil"/>
                    <w:tr2bl w:val="nil"/>
                  </w:tcBorders>
                  <w:noWrap w:val="0"/>
                  <w:vAlign w:val="center"/>
                </w:tcPr>
                <w:p w14:paraId="1E2C8C20">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1117" w:type="dxa"/>
                  <w:tcBorders>
                    <w:tl2br w:val="nil"/>
                    <w:tr2bl w:val="nil"/>
                  </w:tcBorders>
                  <w:noWrap w:val="0"/>
                  <w:vAlign w:val="center"/>
                </w:tcPr>
                <w:p w14:paraId="3DC36A92">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750" w:type="dxa"/>
                  <w:tcBorders>
                    <w:tl2br w:val="nil"/>
                    <w:tr2bl w:val="nil"/>
                  </w:tcBorders>
                  <w:noWrap w:val="0"/>
                  <w:vAlign w:val="center"/>
                </w:tcPr>
                <w:p w14:paraId="32FDD6C6">
                  <w:pPr>
                    <w:pStyle w:val="28"/>
                    <w:bidi w:val="0"/>
                    <w:rPr>
                      <w:rFonts w:hint="eastAsia" w:ascii="Times New Roman" w:hAnsi="Times New Roman" w:eastAsia="宋体" w:cs="Times New Roman"/>
                      <w:color w:val="auto"/>
                      <w:lang w:val="en-US" w:eastAsia="zh-CN"/>
                    </w:rPr>
                  </w:pPr>
                  <w:r>
                    <w:rPr>
                      <w:rFonts w:hint="eastAsia" w:cs="Times New Roman"/>
                      <w:color w:val="auto"/>
                      <w:lang w:val="en-US" w:eastAsia="zh-CN"/>
                    </w:rPr>
                    <w:t>昼间</w:t>
                  </w:r>
                </w:p>
              </w:tc>
              <w:tc>
                <w:tcPr>
                  <w:tcW w:w="1106" w:type="dxa"/>
                  <w:tcBorders>
                    <w:tl2br w:val="nil"/>
                    <w:tr2bl w:val="nil"/>
                  </w:tcBorders>
                  <w:noWrap w:val="0"/>
                  <w:vAlign w:val="center"/>
                </w:tcPr>
                <w:p w14:paraId="2EB18AA5">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20</w:t>
                  </w:r>
                </w:p>
              </w:tc>
              <w:tc>
                <w:tcPr>
                  <w:tcW w:w="975" w:type="dxa"/>
                  <w:tcBorders>
                    <w:tl2br w:val="nil"/>
                    <w:tr2bl w:val="nil"/>
                  </w:tcBorders>
                  <w:noWrap w:val="0"/>
                  <w:vAlign w:val="center"/>
                </w:tcPr>
                <w:p w14:paraId="7ADBCED4">
                  <w:pPr>
                    <w:pStyle w:val="28"/>
                    <w:bidi w:val="0"/>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780" w:type="dxa"/>
                  <w:tcBorders>
                    <w:tl2br w:val="nil"/>
                    <w:tr2bl w:val="nil"/>
                  </w:tcBorders>
                  <w:noWrap w:val="0"/>
                  <w:vAlign w:val="center"/>
                </w:tcPr>
                <w:p w14:paraId="0AF15081">
                  <w:pPr>
                    <w:pStyle w:val="28"/>
                    <w:bidi w:val="0"/>
                    <w:rPr>
                      <w:rFonts w:hint="default" w:cs="Times New Roman"/>
                      <w:color w:val="auto"/>
                      <w:lang w:val="en-US" w:eastAsia="zh-CN"/>
                    </w:rPr>
                  </w:pPr>
                  <w:r>
                    <w:rPr>
                      <w:rFonts w:hint="eastAsia" w:cs="Times New Roman"/>
                      <w:color w:val="auto"/>
                      <w:lang w:val="en-US" w:eastAsia="zh-CN"/>
                    </w:rPr>
                    <w:t>44</w:t>
                  </w:r>
                </w:p>
              </w:tc>
            </w:tr>
          </w:tbl>
          <w:p w14:paraId="540EB3F1">
            <w:pPr>
              <w:keepNext w:val="0"/>
              <w:keepLines w:val="0"/>
              <w:suppressLineNumbers w:val="0"/>
              <w:adjustRightInd w:val="0"/>
              <w:snapToGrid w:val="0"/>
              <w:spacing w:before="0" w:beforeAutospacing="0" w:after="0" w:afterAutospacing="0" w:line="240" w:lineRule="auto"/>
              <w:ind w:left="0" w:right="0" w:firstLine="0"/>
              <w:rPr>
                <w:rFonts w:hint="eastAsia"/>
                <w:color w:val="auto"/>
                <w:sz w:val="21"/>
                <w:szCs w:val="21"/>
                <w:lang w:eastAsia="zh-CN"/>
              </w:rPr>
            </w:pPr>
            <w:r>
              <w:rPr>
                <w:rFonts w:hint="eastAsia"/>
                <w:color w:val="auto"/>
                <w:sz w:val="21"/>
                <w:szCs w:val="21"/>
              </w:rPr>
              <w:t>注：以项目区</w:t>
            </w:r>
            <w:r>
              <w:rPr>
                <w:rFonts w:hint="eastAsia"/>
                <w:color w:val="auto"/>
                <w:sz w:val="21"/>
                <w:szCs w:val="21"/>
                <w:lang w:val="en-US" w:eastAsia="zh-CN"/>
              </w:rPr>
              <w:t>中心</w:t>
            </w:r>
            <w:r>
              <w:rPr>
                <w:rFonts w:hint="eastAsia"/>
                <w:color w:val="auto"/>
                <w:sz w:val="21"/>
                <w:szCs w:val="21"/>
              </w:rPr>
              <w:t>为坐标原点（0，0，0），以向</w:t>
            </w:r>
            <w:r>
              <w:rPr>
                <w:rFonts w:hint="eastAsia"/>
                <w:color w:val="auto"/>
                <w:sz w:val="21"/>
                <w:szCs w:val="21"/>
                <w:lang w:val="en-US" w:eastAsia="zh-CN"/>
              </w:rPr>
              <w:t>东</w:t>
            </w:r>
            <w:r>
              <w:rPr>
                <w:rFonts w:hint="eastAsia"/>
                <w:color w:val="auto"/>
                <w:sz w:val="21"/>
                <w:szCs w:val="21"/>
              </w:rPr>
              <w:t>为X轴向，以向</w:t>
            </w:r>
            <w:r>
              <w:rPr>
                <w:rFonts w:hint="eastAsia"/>
                <w:color w:val="auto"/>
                <w:sz w:val="21"/>
                <w:szCs w:val="21"/>
                <w:lang w:val="en-US" w:eastAsia="zh-CN"/>
              </w:rPr>
              <w:t>北</w:t>
            </w:r>
            <w:r>
              <w:rPr>
                <w:rFonts w:hint="eastAsia"/>
                <w:color w:val="auto"/>
                <w:sz w:val="21"/>
                <w:szCs w:val="21"/>
              </w:rPr>
              <w:t>为Y轴向，以向上为Z轴向</w:t>
            </w:r>
            <w:r>
              <w:rPr>
                <w:rFonts w:hint="eastAsia"/>
                <w:color w:val="auto"/>
                <w:sz w:val="21"/>
                <w:szCs w:val="21"/>
                <w:lang w:eastAsia="zh-CN"/>
              </w:rPr>
              <w:t>。</w:t>
            </w:r>
          </w:p>
          <w:p w14:paraId="74BAD860">
            <w:pPr>
              <w:pStyle w:val="22"/>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表4-</w:t>
            </w:r>
            <w:r>
              <w:rPr>
                <w:rFonts w:hint="eastAsia" w:cs="Times New Roman"/>
                <w:color w:val="auto"/>
                <w:lang w:val="en-US" w:eastAsia="zh-CN"/>
              </w:rPr>
              <w:t>9</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lang w:eastAsia="zh-CN"/>
              </w:rPr>
              <w:t xml:space="preserve"> 项目主要噪声源强调查清单（室外声源）</w:t>
            </w:r>
          </w:p>
          <w:tbl>
            <w:tblPr>
              <w:tblStyle w:val="14"/>
              <w:tblW w:w="4984" w:type="pct"/>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437"/>
              <w:gridCol w:w="1136"/>
              <w:gridCol w:w="816"/>
              <w:gridCol w:w="649"/>
              <w:gridCol w:w="686"/>
              <w:gridCol w:w="602"/>
              <w:gridCol w:w="1650"/>
              <w:gridCol w:w="1209"/>
              <w:gridCol w:w="926"/>
            </w:tblGrid>
            <w:tr w14:paraId="4AFE459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1" w:hRule="atLeast"/>
                <w:jc w:val="center"/>
              </w:trPr>
              <w:tc>
                <w:tcPr>
                  <w:tcW w:w="269" w:type="pct"/>
                  <w:vMerge w:val="restart"/>
                  <w:tcBorders>
                    <w:tl2br w:val="nil"/>
                    <w:tr2bl w:val="nil"/>
                  </w:tcBorders>
                  <w:noWrap w:val="0"/>
                  <w:vAlign w:val="center"/>
                </w:tcPr>
                <w:p w14:paraId="18DFD65A">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序号</w:t>
                  </w:r>
                </w:p>
              </w:tc>
              <w:tc>
                <w:tcPr>
                  <w:tcW w:w="700" w:type="pct"/>
                  <w:vMerge w:val="restart"/>
                  <w:tcBorders>
                    <w:tl2br w:val="nil"/>
                    <w:tr2bl w:val="nil"/>
                  </w:tcBorders>
                  <w:noWrap w:val="0"/>
                  <w:vAlign w:val="center"/>
                </w:tcPr>
                <w:p w14:paraId="603DC121">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设备名称</w:t>
                  </w:r>
                </w:p>
              </w:tc>
              <w:tc>
                <w:tcPr>
                  <w:tcW w:w="503" w:type="pct"/>
                  <w:vMerge w:val="restart"/>
                  <w:tcBorders>
                    <w:tl2br w:val="nil"/>
                    <w:tr2bl w:val="nil"/>
                  </w:tcBorders>
                  <w:noWrap w:val="0"/>
                  <w:vAlign w:val="center"/>
                </w:tcPr>
                <w:p w14:paraId="254FEFA0">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型号/规格</w:t>
                  </w:r>
                </w:p>
              </w:tc>
              <w:tc>
                <w:tcPr>
                  <w:tcW w:w="1194" w:type="pct"/>
                  <w:gridSpan w:val="3"/>
                  <w:tcBorders>
                    <w:bottom w:val="single" w:color="auto" w:sz="4" w:space="0"/>
                    <w:tl2br w:val="nil"/>
                    <w:tr2bl w:val="nil"/>
                  </w:tcBorders>
                  <w:noWrap w:val="0"/>
                  <w:vAlign w:val="center"/>
                </w:tcPr>
                <w:p w14:paraId="1ECF956A">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坐标</w:t>
                  </w:r>
                  <w:r>
                    <w:rPr>
                      <w:rFonts w:hint="eastAsia" w:cs="Times New Roman"/>
                      <w:b/>
                      <w:bCs w:val="0"/>
                      <w:color w:val="auto"/>
                      <w:lang w:val="en-US" w:eastAsia="zh-CN"/>
                    </w:rPr>
                    <w:t>（</w:t>
                  </w:r>
                  <w:r>
                    <w:rPr>
                      <w:rFonts w:hint="default" w:ascii="Times New Roman" w:hAnsi="Times New Roman" w:cs="Times New Roman"/>
                      <w:b/>
                      <w:bCs w:val="0"/>
                      <w:color w:val="auto"/>
                      <w:lang w:val="en-US" w:eastAsia="zh-CN"/>
                    </w:rPr>
                    <w:t>m</w:t>
                  </w:r>
                  <w:r>
                    <w:rPr>
                      <w:rFonts w:hint="eastAsia" w:cs="Times New Roman"/>
                      <w:b/>
                      <w:bCs w:val="0"/>
                      <w:color w:val="auto"/>
                      <w:lang w:val="en-US" w:eastAsia="zh-CN"/>
                    </w:rPr>
                    <w:t>）</w:t>
                  </w:r>
                </w:p>
              </w:tc>
              <w:tc>
                <w:tcPr>
                  <w:tcW w:w="1017" w:type="pct"/>
                  <w:vMerge w:val="restart"/>
                  <w:tcBorders>
                    <w:tl2br w:val="nil"/>
                    <w:tr2bl w:val="nil"/>
                  </w:tcBorders>
                  <w:noWrap w:val="0"/>
                  <w:vAlign w:val="center"/>
                </w:tcPr>
                <w:p w14:paraId="5EFF34C1">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声级值</w:t>
                  </w:r>
                </w:p>
                <w:p w14:paraId="7D439E11">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dB(A)(r0=1m)</w:t>
                  </w:r>
                </w:p>
              </w:tc>
              <w:tc>
                <w:tcPr>
                  <w:tcW w:w="745" w:type="pct"/>
                  <w:vMerge w:val="restart"/>
                  <w:tcBorders>
                    <w:tl2br w:val="nil"/>
                    <w:tr2bl w:val="nil"/>
                  </w:tcBorders>
                  <w:noWrap w:val="0"/>
                  <w:vAlign w:val="center"/>
                </w:tcPr>
                <w:p w14:paraId="2D69521E">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降噪措施</w:t>
                  </w:r>
                </w:p>
              </w:tc>
              <w:tc>
                <w:tcPr>
                  <w:tcW w:w="570" w:type="pct"/>
                  <w:vMerge w:val="restart"/>
                  <w:tcBorders>
                    <w:tl2br w:val="nil"/>
                    <w:tr2bl w:val="nil"/>
                  </w:tcBorders>
                  <w:noWrap w:val="0"/>
                  <w:vAlign w:val="center"/>
                </w:tcPr>
                <w:p w14:paraId="7B3E0C71">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运行时段</w:t>
                  </w:r>
                </w:p>
              </w:tc>
            </w:tr>
            <w:tr w14:paraId="16F984D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71" w:hRule="atLeast"/>
                <w:jc w:val="center"/>
              </w:trPr>
              <w:tc>
                <w:tcPr>
                  <w:tcW w:w="269" w:type="pct"/>
                  <w:vMerge w:val="continue"/>
                  <w:tcBorders>
                    <w:tl2br w:val="nil"/>
                    <w:tr2bl w:val="nil"/>
                  </w:tcBorders>
                  <w:noWrap w:val="0"/>
                  <w:vAlign w:val="center"/>
                </w:tcPr>
                <w:p w14:paraId="1DC20E07">
                  <w:pPr>
                    <w:pStyle w:val="28"/>
                    <w:bidi w:val="0"/>
                    <w:rPr>
                      <w:rFonts w:hint="default" w:ascii="Times New Roman" w:hAnsi="Times New Roman" w:cs="Times New Roman"/>
                      <w:color w:val="auto"/>
                      <w:lang w:val="en-US" w:eastAsia="zh-CN"/>
                    </w:rPr>
                  </w:pPr>
                </w:p>
              </w:tc>
              <w:tc>
                <w:tcPr>
                  <w:tcW w:w="700" w:type="pct"/>
                  <w:vMerge w:val="continue"/>
                  <w:tcBorders>
                    <w:tl2br w:val="nil"/>
                    <w:tr2bl w:val="nil"/>
                  </w:tcBorders>
                  <w:noWrap w:val="0"/>
                  <w:vAlign w:val="center"/>
                </w:tcPr>
                <w:p w14:paraId="0EE3DCBA">
                  <w:pPr>
                    <w:pStyle w:val="28"/>
                    <w:bidi w:val="0"/>
                    <w:rPr>
                      <w:rFonts w:hint="default" w:ascii="Times New Roman" w:hAnsi="Times New Roman" w:cs="Times New Roman"/>
                      <w:color w:val="auto"/>
                      <w:lang w:val="en-US" w:eastAsia="zh-CN"/>
                    </w:rPr>
                  </w:pPr>
                </w:p>
              </w:tc>
              <w:tc>
                <w:tcPr>
                  <w:tcW w:w="503" w:type="pct"/>
                  <w:vMerge w:val="continue"/>
                  <w:tcBorders>
                    <w:tl2br w:val="nil"/>
                    <w:tr2bl w:val="nil"/>
                  </w:tcBorders>
                  <w:noWrap w:val="0"/>
                  <w:vAlign w:val="center"/>
                </w:tcPr>
                <w:p w14:paraId="2122B1D3">
                  <w:pPr>
                    <w:pStyle w:val="28"/>
                    <w:bidi w:val="0"/>
                    <w:rPr>
                      <w:rFonts w:hint="default" w:ascii="Times New Roman" w:hAnsi="Times New Roman" w:cs="Times New Roman"/>
                      <w:color w:val="auto"/>
                      <w:lang w:val="en-US" w:eastAsia="zh-CN"/>
                    </w:rPr>
                  </w:pPr>
                </w:p>
              </w:tc>
              <w:tc>
                <w:tcPr>
                  <w:tcW w:w="400" w:type="pct"/>
                  <w:tcBorders>
                    <w:top w:val="single" w:color="auto" w:sz="4" w:space="0"/>
                    <w:tl2br w:val="nil"/>
                    <w:tr2bl w:val="nil"/>
                  </w:tcBorders>
                  <w:noWrap w:val="0"/>
                  <w:vAlign w:val="center"/>
                </w:tcPr>
                <w:p w14:paraId="02746215">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X</w:t>
                  </w:r>
                </w:p>
              </w:tc>
              <w:tc>
                <w:tcPr>
                  <w:tcW w:w="422" w:type="pct"/>
                  <w:tcBorders>
                    <w:top w:val="single" w:color="auto" w:sz="4" w:space="0"/>
                    <w:tl2br w:val="nil"/>
                    <w:tr2bl w:val="nil"/>
                  </w:tcBorders>
                  <w:noWrap w:val="0"/>
                  <w:vAlign w:val="center"/>
                </w:tcPr>
                <w:p w14:paraId="6EB3905A">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Y</w:t>
                  </w:r>
                </w:p>
              </w:tc>
              <w:tc>
                <w:tcPr>
                  <w:tcW w:w="371" w:type="pct"/>
                  <w:tcBorders>
                    <w:top w:val="single" w:color="auto" w:sz="4" w:space="0"/>
                    <w:tl2br w:val="nil"/>
                    <w:tr2bl w:val="nil"/>
                  </w:tcBorders>
                  <w:noWrap w:val="0"/>
                  <w:vAlign w:val="center"/>
                </w:tcPr>
                <w:p w14:paraId="5F11F974">
                  <w:pPr>
                    <w:pStyle w:val="28"/>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Z</w:t>
                  </w:r>
                </w:p>
              </w:tc>
              <w:tc>
                <w:tcPr>
                  <w:tcW w:w="1017" w:type="pct"/>
                  <w:vMerge w:val="continue"/>
                  <w:tcBorders>
                    <w:tl2br w:val="nil"/>
                    <w:tr2bl w:val="nil"/>
                  </w:tcBorders>
                  <w:noWrap w:val="0"/>
                  <w:vAlign w:val="center"/>
                </w:tcPr>
                <w:p w14:paraId="7225497C">
                  <w:pPr>
                    <w:pStyle w:val="28"/>
                    <w:bidi w:val="0"/>
                    <w:rPr>
                      <w:rFonts w:hint="default" w:ascii="Times New Roman" w:hAnsi="Times New Roman" w:cs="Times New Roman"/>
                      <w:color w:val="auto"/>
                      <w:lang w:val="en-US" w:eastAsia="zh-CN"/>
                    </w:rPr>
                  </w:pPr>
                </w:p>
              </w:tc>
              <w:tc>
                <w:tcPr>
                  <w:tcW w:w="745" w:type="pct"/>
                  <w:vMerge w:val="continue"/>
                  <w:tcBorders>
                    <w:bottom w:val="single" w:color="auto" w:sz="4" w:space="0"/>
                    <w:tl2br w:val="nil"/>
                    <w:tr2bl w:val="nil"/>
                  </w:tcBorders>
                  <w:noWrap w:val="0"/>
                  <w:vAlign w:val="center"/>
                </w:tcPr>
                <w:p w14:paraId="7E6297B9">
                  <w:pPr>
                    <w:pStyle w:val="28"/>
                    <w:bidi w:val="0"/>
                    <w:rPr>
                      <w:rFonts w:hint="default" w:ascii="Times New Roman" w:hAnsi="Times New Roman" w:cs="Times New Roman"/>
                      <w:color w:val="auto"/>
                      <w:lang w:val="en-US" w:eastAsia="zh-CN"/>
                    </w:rPr>
                  </w:pPr>
                </w:p>
              </w:tc>
              <w:tc>
                <w:tcPr>
                  <w:tcW w:w="570" w:type="pct"/>
                  <w:vMerge w:val="continue"/>
                  <w:tcBorders>
                    <w:bottom w:val="single" w:color="auto" w:sz="4" w:space="0"/>
                    <w:tl2br w:val="nil"/>
                    <w:tr2bl w:val="nil"/>
                  </w:tcBorders>
                  <w:noWrap w:val="0"/>
                  <w:vAlign w:val="center"/>
                </w:tcPr>
                <w:p w14:paraId="27A8E3A1">
                  <w:pPr>
                    <w:pStyle w:val="28"/>
                    <w:bidi w:val="0"/>
                    <w:rPr>
                      <w:rFonts w:hint="default" w:ascii="Times New Roman" w:hAnsi="Times New Roman" w:cs="Times New Roman"/>
                      <w:color w:val="auto"/>
                      <w:lang w:val="en-US" w:eastAsia="zh-CN"/>
                    </w:rPr>
                  </w:pPr>
                </w:p>
              </w:tc>
            </w:tr>
            <w:tr w14:paraId="177375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77" w:hRule="atLeast"/>
                <w:jc w:val="center"/>
              </w:trPr>
              <w:tc>
                <w:tcPr>
                  <w:tcW w:w="269" w:type="pct"/>
                  <w:tcBorders>
                    <w:tl2br w:val="nil"/>
                    <w:tr2bl w:val="nil"/>
                  </w:tcBorders>
                  <w:noWrap w:val="0"/>
                  <w:vAlign w:val="center"/>
                </w:tcPr>
                <w:p w14:paraId="7391638D">
                  <w:pPr>
                    <w:pStyle w:val="28"/>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w:t>
                  </w:r>
                </w:p>
              </w:tc>
              <w:tc>
                <w:tcPr>
                  <w:tcW w:w="700" w:type="pct"/>
                  <w:tcBorders>
                    <w:tl2br w:val="nil"/>
                    <w:tr2bl w:val="nil"/>
                  </w:tcBorders>
                  <w:noWrap w:val="0"/>
                  <w:vAlign w:val="center"/>
                </w:tcPr>
                <w:p w14:paraId="57DA9CB3">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空调外机</w:t>
                  </w:r>
                </w:p>
              </w:tc>
              <w:tc>
                <w:tcPr>
                  <w:tcW w:w="503" w:type="pct"/>
                  <w:tcBorders>
                    <w:tl2br w:val="nil"/>
                    <w:tr2bl w:val="nil"/>
                  </w:tcBorders>
                  <w:noWrap w:val="0"/>
                  <w:vAlign w:val="center"/>
                </w:tcPr>
                <w:p w14:paraId="00D0DA98">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400" w:type="pct"/>
                  <w:tcBorders>
                    <w:top w:val="single" w:color="auto" w:sz="4" w:space="0"/>
                    <w:tl2br w:val="nil"/>
                    <w:tr2bl w:val="nil"/>
                  </w:tcBorders>
                  <w:noWrap w:val="0"/>
                  <w:vAlign w:val="center"/>
                </w:tcPr>
                <w:p w14:paraId="3BF72A7B">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8.5</w:t>
                  </w:r>
                </w:p>
              </w:tc>
              <w:tc>
                <w:tcPr>
                  <w:tcW w:w="422" w:type="pct"/>
                  <w:tcBorders>
                    <w:top w:val="single" w:color="auto" w:sz="4" w:space="0"/>
                    <w:tl2br w:val="nil"/>
                    <w:tr2bl w:val="nil"/>
                  </w:tcBorders>
                  <w:noWrap w:val="0"/>
                  <w:vAlign w:val="center"/>
                </w:tcPr>
                <w:p w14:paraId="7C026C7E">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371" w:type="pct"/>
                  <w:tcBorders>
                    <w:top w:val="single" w:color="auto" w:sz="4" w:space="0"/>
                    <w:tl2br w:val="nil"/>
                    <w:tr2bl w:val="nil"/>
                  </w:tcBorders>
                  <w:noWrap w:val="0"/>
                  <w:vAlign w:val="center"/>
                </w:tcPr>
                <w:p w14:paraId="774EEBC6">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1017" w:type="pct"/>
                  <w:vMerge w:val="restart"/>
                  <w:tcBorders>
                    <w:tl2br w:val="nil"/>
                    <w:tr2bl w:val="nil"/>
                  </w:tcBorders>
                  <w:noWrap w:val="0"/>
                  <w:vAlign w:val="center"/>
                </w:tcPr>
                <w:p w14:paraId="1DB77F88">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60/1</w:t>
                  </w:r>
                </w:p>
              </w:tc>
              <w:tc>
                <w:tcPr>
                  <w:tcW w:w="745" w:type="pct"/>
                  <w:vMerge w:val="restart"/>
                  <w:tcBorders>
                    <w:tl2br w:val="nil"/>
                    <w:tr2bl w:val="nil"/>
                  </w:tcBorders>
                  <w:noWrap w:val="0"/>
                  <w:vAlign w:val="center"/>
                </w:tcPr>
                <w:p w14:paraId="0736AF64">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设置减振垫</w:t>
                  </w:r>
                </w:p>
              </w:tc>
              <w:tc>
                <w:tcPr>
                  <w:tcW w:w="570" w:type="pct"/>
                  <w:vMerge w:val="restart"/>
                  <w:tcBorders>
                    <w:tl2br w:val="nil"/>
                    <w:tr2bl w:val="nil"/>
                  </w:tcBorders>
                  <w:noWrap w:val="0"/>
                  <w:vAlign w:val="center"/>
                </w:tcPr>
                <w:p w14:paraId="3CCEAAC7">
                  <w:pPr>
                    <w:pStyle w:val="28"/>
                    <w:bidi w:val="0"/>
                    <w:rPr>
                      <w:rFonts w:hint="default" w:ascii="Times New Roman" w:hAnsi="Times New Roman" w:cs="Times New Roman"/>
                      <w:color w:val="FF0000"/>
                      <w:lang w:val="en-US" w:eastAsia="zh-CN"/>
                    </w:rPr>
                  </w:pPr>
                  <w:r>
                    <w:rPr>
                      <w:rFonts w:hint="eastAsia"/>
                      <w:color w:val="auto"/>
                      <w:lang w:val="en-US" w:eastAsia="zh-CN"/>
                    </w:rPr>
                    <w:t>昼间</w:t>
                  </w:r>
                </w:p>
              </w:tc>
            </w:tr>
            <w:tr w14:paraId="21FC471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02" w:hRule="atLeast"/>
                <w:jc w:val="center"/>
              </w:trPr>
              <w:tc>
                <w:tcPr>
                  <w:tcW w:w="269" w:type="pct"/>
                  <w:tcBorders>
                    <w:tl2br w:val="nil"/>
                    <w:tr2bl w:val="nil"/>
                  </w:tcBorders>
                  <w:noWrap w:val="0"/>
                  <w:vAlign w:val="center"/>
                </w:tcPr>
                <w:p w14:paraId="374D56B0">
                  <w:pPr>
                    <w:pStyle w:val="28"/>
                    <w:bidi w:val="0"/>
                    <w:rPr>
                      <w:rFonts w:hint="default" w:ascii="Times New Roman" w:hAnsi="Times New Roman" w:cs="Times New Roman"/>
                      <w:color w:val="auto"/>
                      <w:lang w:val="en-US" w:eastAsia="zh-CN"/>
                    </w:rPr>
                  </w:pPr>
                  <w:r>
                    <w:rPr>
                      <w:rFonts w:hint="eastAsia" w:cs="Times New Roman"/>
                      <w:color w:val="auto"/>
                      <w:lang w:val="en-US" w:eastAsia="zh-CN"/>
                    </w:rPr>
                    <w:t>2</w:t>
                  </w:r>
                </w:p>
              </w:tc>
              <w:tc>
                <w:tcPr>
                  <w:tcW w:w="700" w:type="pct"/>
                  <w:tcBorders>
                    <w:tl2br w:val="nil"/>
                    <w:tr2bl w:val="nil"/>
                  </w:tcBorders>
                  <w:noWrap w:val="0"/>
                  <w:vAlign w:val="center"/>
                </w:tcPr>
                <w:p w14:paraId="59E8F029">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空调外机</w:t>
                  </w:r>
                </w:p>
              </w:tc>
              <w:tc>
                <w:tcPr>
                  <w:tcW w:w="503" w:type="pct"/>
                  <w:tcBorders>
                    <w:tl2br w:val="nil"/>
                    <w:tr2bl w:val="nil"/>
                  </w:tcBorders>
                  <w:noWrap w:val="0"/>
                  <w:vAlign w:val="center"/>
                </w:tcPr>
                <w:p w14:paraId="1EC59F26">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400" w:type="pct"/>
                  <w:tcBorders>
                    <w:top w:val="single" w:color="auto" w:sz="4" w:space="0"/>
                    <w:tl2br w:val="nil"/>
                    <w:tr2bl w:val="nil"/>
                  </w:tcBorders>
                  <w:noWrap w:val="0"/>
                  <w:vAlign w:val="center"/>
                </w:tcPr>
                <w:p w14:paraId="47E930CE">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8.5</w:t>
                  </w:r>
                </w:p>
              </w:tc>
              <w:tc>
                <w:tcPr>
                  <w:tcW w:w="422" w:type="pct"/>
                  <w:tcBorders>
                    <w:top w:val="single" w:color="auto" w:sz="4" w:space="0"/>
                    <w:tl2br w:val="nil"/>
                    <w:tr2bl w:val="nil"/>
                  </w:tcBorders>
                  <w:noWrap w:val="0"/>
                  <w:vAlign w:val="center"/>
                </w:tcPr>
                <w:p w14:paraId="7ED30597">
                  <w:pPr>
                    <w:pStyle w:val="28"/>
                    <w:bidi w:val="0"/>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371" w:type="pct"/>
                  <w:tcBorders>
                    <w:top w:val="single" w:color="auto" w:sz="4" w:space="0"/>
                    <w:tl2br w:val="nil"/>
                    <w:tr2bl w:val="nil"/>
                  </w:tcBorders>
                  <w:noWrap w:val="0"/>
                  <w:vAlign w:val="center"/>
                </w:tcPr>
                <w:p w14:paraId="07D6D476">
                  <w:pPr>
                    <w:pStyle w:val="28"/>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1017" w:type="pct"/>
                  <w:vMerge w:val="continue"/>
                  <w:tcBorders>
                    <w:tl2br w:val="nil"/>
                    <w:tr2bl w:val="nil"/>
                  </w:tcBorders>
                  <w:noWrap w:val="0"/>
                  <w:vAlign w:val="center"/>
                </w:tcPr>
                <w:p w14:paraId="5AB24F76">
                  <w:pPr>
                    <w:pStyle w:val="28"/>
                    <w:bidi w:val="0"/>
                    <w:rPr>
                      <w:rFonts w:hint="default" w:ascii="Times New Roman" w:hAnsi="Times New Roman" w:cs="Times New Roman"/>
                      <w:color w:val="000000" w:themeColor="text1"/>
                      <w:lang w:val="en-US" w:eastAsia="zh-CN"/>
                      <w14:textFill>
                        <w14:solidFill>
                          <w14:schemeClr w14:val="tx1"/>
                        </w14:solidFill>
                      </w14:textFill>
                    </w:rPr>
                  </w:pPr>
                </w:p>
              </w:tc>
              <w:tc>
                <w:tcPr>
                  <w:tcW w:w="745" w:type="pct"/>
                  <w:vMerge w:val="continue"/>
                  <w:tcBorders>
                    <w:tl2br w:val="nil"/>
                    <w:tr2bl w:val="nil"/>
                  </w:tcBorders>
                  <w:noWrap w:val="0"/>
                  <w:vAlign w:val="center"/>
                </w:tcPr>
                <w:p w14:paraId="7F3C6D5F">
                  <w:pPr>
                    <w:pStyle w:val="28"/>
                    <w:bidi w:val="0"/>
                    <w:rPr>
                      <w:rFonts w:hint="default" w:ascii="Times New Roman" w:hAnsi="Times New Roman" w:cs="Times New Roman"/>
                      <w:color w:val="000000" w:themeColor="text1"/>
                      <w:lang w:val="en-US" w:eastAsia="zh-CN"/>
                      <w14:textFill>
                        <w14:solidFill>
                          <w14:schemeClr w14:val="tx1"/>
                        </w14:solidFill>
                      </w14:textFill>
                    </w:rPr>
                  </w:pPr>
                </w:p>
              </w:tc>
              <w:tc>
                <w:tcPr>
                  <w:tcW w:w="570" w:type="pct"/>
                  <w:vMerge w:val="continue"/>
                  <w:tcBorders>
                    <w:tl2br w:val="nil"/>
                    <w:tr2bl w:val="nil"/>
                  </w:tcBorders>
                  <w:noWrap w:val="0"/>
                  <w:vAlign w:val="center"/>
                </w:tcPr>
                <w:p w14:paraId="65C26186">
                  <w:pPr>
                    <w:pStyle w:val="28"/>
                    <w:bidi w:val="0"/>
                    <w:rPr>
                      <w:rFonts w:hint="eastAsia"/>
                      <w:color w:val="auto"/>
                      <w:lang w:val="en-US" w:eastAsia="zh-CN"/>
                    </w:rPr>
                  </w:pPr>
                </w:p>
              </w:tc>
            </w:tr>
            <w:tr w14:paraId="157DA4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5000" w:type="pct"/>
                  <w:gridSpan w:val="9"/>
                  <w:tcBorders>
                    <w:tl2br w:val="nil"/>
                    <w:tr2bl w:val="nil"/>
                  </w:tcBorders>
                  <w:noWrap w:val="0"/>
                  <w:vAlign w:val="center"/>
                </w:tcPr>
                <w:p w14:paraId="03D97104">
                  <w:pPr>
                    <w:pStyle w:val="28"/>
                    <w:bidi w:val="0"/>
                    <w:rPr>
                      <w:rFonts w:hint="default" w:ascii="Times New Roman" w:hAnsi="Times New Roman" w:cs="Times New Roman"/>
                      <w:color w:val="auto"/>
                      <w:lang w:val="en-US"/>
                    </w:rPr>
                  </w:pPr>
                  <w:r>
                    <w:rPr>
                      <w:rFonts w:hint="default" w:ascii="Times New Roman" w:hAnsi="Times New Roman" w:cs="Times New Roman"/>
                      <w:color w:val="auto"/>
                    </w:rPr>
                    <w:t>备注：</w:t>
                  </w:r>
                  <w:r>
                    <w:rPr>
                      <w:rFonts w:hint="eastAsia" w:cs="Times New Roman"/>
                      <w:color w:val="auto"/>
                      <w:lang w:val="en-US" w:eastAsia="zh-CN"/>
                    </w:rPr>
                    <w:t>2台</w:t>
                  </w:r>
                  <w:r>
                    <w:rPr>
                      <w:rFonts w:hint="default" w:ascii="Times New Roman" w:hAnsi="Times New Roman" w:cs="Times New Roman"/>
                      <w:color w:val="auto"/>
                    </w:rPr>
                    <w:t>空调</w:t>
                  </w:r>
                  <w:r>
                    <w:rPr>
                      <w:rFonts w:hint="eastAsia" w:cs="Times New Roman"/>
                      <w:color w:val="auto"/>
                      <w:lang w:val="en-US" w:eastAsia="zh-CN"/>
                    </w:rPr>
                    <w:t>外机均位于项目区东侧外墙，</w:t>
                  </w:r>
                  <w:r>
                    <w:rPr>
                      <w:rFonts w:hint="eastAsia" w:ascii="Times New Roman" w:hAnsi="Times New Roman" w:cs="Times New Roman"/>
                      <w:color w:val="auto"/>
                      <w:lang w:val="en-US" w:eastAsia="zh-CN"/>
                    </w:rPr>
                    <w:t>夜间不</w:t>
                  </w:r>
                  <w:r>
                    <w:rPr>
                      <w:rFonts w:hint="default" w:ascii="Times New Roman" w:hAnsi="Times New Roman" w:cs="Times New Roman"/>
                      <w:color w:val="auto"/>
                      <w:lang w:val="en-US" w:eastAsia="zh-CN"/>
                    </w:rPr>
                    <w:t>运行</w:t>
                  </w:r>
                </w:p>
              </w:tc>
            </w:tr>
          </w:tbl>
          <w:p w14:paraId="53D843CB">
            <w:pPr>
              <w:keepNext w:val="0"/>
              <w:keepLines w:val="0"/>
              <w:suppressLineNumbers w:val="0"/>
              <w:adjustRightInd w:val="0"/>
              <w:snapToGrid w:val="0"/>
              <w:spacing w:before="0" w:beforeAutospacing="0" w:after="0" w:afterAutospacing="0" w:line="240" w:lineRule="auto"/>
              <w:ind w:left="0" w:right="0" w:firstLine="0"/>
              <w:rPr>
                <w:rFonts w:hint="default"/>
                <w:lang w:eastAsia="zh-CN"/>
              </w:rPr>
            </w:pPr>
            <w:r>
              <w:rPr>
                <w:rFonts w:hint="default" w:ascii="Times New Roman" w:hAnsi="Times New Roman" w:cs="Times New Roman"/>
                <w:color w:val="auto"/>
                <w:sz w:val="21"/>
                <w:szCs w:val="21"/>
              </w:rPr>
              <w:t>注：以项目区</w:t>
            </w:r>
            <w:r>
              <w:rPr>
                <w:rFonts w:hint="default" w:ascii="Times New Roman" w:hAnsi="Times New Roman" w:cs="Times New Roman"/>
                <w:color w:val="auto"/>
                <w:sz w:val="21"/>
                <w:szCs w:val="21"/>
                <w:lang w:val="en-US" w:eastAsia="zh-CN"/>
              </w:rPr>
              <w:t>一层中心</w:t>
            </w:r>
            <w:r>
              <w:rPr>
                <w:rFonts w:hint="default" w:ascii="Times New Roman" w:hAnsi="Times New Roman" w:cs="Times New Roman"/>
                <w:color w:val="auto"/>
                <w:sz w:val="21"/>
                <w:szCs w:val="21"/>
              </w:rPr>
              <w:t>为坐标原点（0，0，0），以向</w:t>
            </w:r>
            <w:r>
              <w:rPr>
                <w:rFonts w:hint="default" w:ascii="Times New Roman" w:hAnsi="Times New Roman" w:cs="Times New Roman"/>
                <w:color w:val="auto"/>
                <w:sz w:val="21"/>
                <w:szCs w:val="21"/>
                <w:lang w:val="en-US" w:eastAsia="zh-CN"/>
              </w:rPr>
              <w:t>东</w:t>
            </w:r>
            <w:r>
              <w:rPr>
                <w:rFonts w:hint="default" w:ascii="Times New Roman" w:hAnsi="Times New Roman" w:cs="Times New Roman"/>
                <w:color w:val="auto"/>
                <w:sz w:val="21"/>
                <w:szCs w:val="21"/>
              </w:rPr>
              <w:t>为X轴向，以向</w:t>
            </w:r>
            <w:r>
              <w:rPr>
                <w:rFonts w:hint="default" w:ascii="Times New Roman" w:hAnsi="Times New Roman" w:cs="Times New Roman"/>
                <w:color w:val="auto"/>
                <w:sz w:val="21"/>
                <w:szCs w:val="21"/>
                <w:lang w:val="en-US" w:eastAsia="zh-CN"/>
              </w:rPr>
              <w:t>北</w:t>
            </w:r>
            <w:r>
              <w:rPr>
                <w:rFonts w:hint="default" w:ascii="Times New Roman" w:hAnsi="Times New Roman" w:cs="Times New Roman"/>
                <w:color w:val="auto"/>
                <w:sz w:val="21"/>
                <w:szCs w:val="21"/>
              </w:rPr>
              <w:t>为Y轴向，以向上为Z轴向</w:t>
            </w:r>
            <w:r>
              <w:rPr>
                <w:rFonts w:hint="default" w:ascii="Times New Roman" w:hAnsi="Times New Roman" w:cs="Times New Roman"/>
                <w:color w:val="auto"/>
                <w:sz w:val="21"/>
                <w:szCs w:val="21"/>
                <w:lang w:eastAsia="zh-CN"/>
              </w:rPr>
              <w:t>。</w:t>
            </w:r>
          </w:p>
          <w:p w14:paraId="42DC8A26">
            <w:pPr>
              <w:pStyle w:val="4"/>
              <w:bidi w:val="0"/>
              <w:rPr>
                <w:rFonts w:hint="eastAsia"/>
                <w:color w:val="auto"/>
                <w:lang w:eastAsia="zh-CN"/>
              </w:rPr>
            </w:pPr>
            <w:r>
              <w:rPr>
                <w:rFonts w:hint="eastAsia"/>
                <w:color w:val="auto"/>
                <w:lang w:val="en-US" w:eastAsia="zh-CN"/>
              </w:rPr>
              <w:t>4.7.2</w:t>
            </w:r>
            <w:r>
              <w:rPr>
                <w:rFonts w:hint="eastAsia"/>
                <w:color w:val="auto"/>
                <w:lang w:eastAsia="zh-CN"/>
              </w:rPr>
              <w:t>噪声影响及达标分析</w:t>
            </w:r>
          </w:p>
          <w:p w14:paraId="49627DBF">
            <w:pPr>
              <w:pStyle w:val="29"/>
              <w:bidi w:val="0"/>
              <w:rPr>
                <w:color w:val="auto"/>
                <w:lang w:eastAsia="zh-CN"/>
              </w:rPr>
            </w:pPr>
            <w:r>
              <w:rPr>
                <w:color w:val="auto"/>
                <w:lang w:eastAsia="zh-CN"/>
              </w:rPr>
              <w:t>（1）评价标准</w:t>
            </w:r>
          </w:p>
          <w:p w14:paraId="0D1EEBDB">
            <w:pPr>
              <w:pStyle w:val="29"/>
              <w:bidi w:val="0"/>
              <w:rPr>
                <w:rFonts w:hint="eastAsia"/>
                <w:color w:val="auto"/>
                <w:lang w:eastAsia="zh-CN"/>
              </w:rPr>
            </w:pPr>
            <w:r>
              <w:rPr>
                <w:rFonts w:hint="eastAsia"/>
                <w:color w:val="auto"/>
                <w:lang w:eastAsia="zh-CN"/>
              </w:rPr>
              <w:t>项目运营期</w:t>
            </w:r>
            <w:r>
              <w:rPr>
                <w:rFonts w:hint="eastAsia"/>
                <w:color w:val="auto"/>
                <w:lang w:val="en-US" w:eastAsia="zh-CN"/>
              </w:rPr>
              <w:t>厂界四周</w:t>
            </w:r>
            <w:r>
              <w:rPr>
                <w:rFonts w:hint="eastAsia"/>
                <w:color w:val="auto"/>
                <w:lang w:eastAsia="zh-CN"/>
              </w:rPr>
              <w:t>噪声执行《工业企业厂界环境噪声排放标准》（GB 12348</w:t>
            </w:r>
            <w:r>
              <w:rPr>
                <w:color w:val="auto"/>
                <w:lang w:eastAsia="zh-CN"/>
              </w:rPr>
              <w:t>-2008</w:t>
            </w:r>
            <w:r>
              <w:rPr>
                <w:rFonts w:hint="eastAsia"/>
                <w:color w:val="auto"/>
                <w:lang w:eastAsia="zh-CN"/>
              </w:rPr>
              <w:t>）</w:t>
            </w:r>
            <w:r>
              <w:rPr>
                <w:rFonts w:hint="eastAsia"/>
                <w:color w:val="auto"/>
                <w:lang w:val="en-US" w:eastAsia="zh-CN"/>
              </w:rPr>
              <w:t>2</w:t>
            </w:r>
            <w:r>
              <w:rPr>
                <w:rFonts w:hint="eastAsia"/>
                <w:color w:val="auto"/>
                <w:lang w:eastAsia="zh-CN"/>
              </w:rPr>
              <w:t>类</w:t>
            </w:r>
            <w:r>
              <w:rPr>
                <w:rFonts w:hint="eastAsia"/>
                <w:color w:val="auto"/>
                <w:lang w:val="en-US" w:eastAsia="zh-CN"/>
              </w:rPr>
              <w:t>功能</w:t>
            </w:r>
            <w:r>
              <w:rPr>
                <w:rFonts w:hint="eastAsia"/>
                <w:color w:val="auto"/>
                <w:lang w:eastAsia="zh-CN"/>
              </w:rPr>
              <w:t>区限值。</w:t>
            </w:r>
          </w:p>
          <w:p w14:paraId="2E4F3FC7">
            <w:pPr>
              <w:pStyle w:val="29"/>
              <w:bidi w:val="0"/>
              <w:rPr>
                <w:rFonts w:hint="eastAsia"/>
                <w:color w:val="auto"/>
                <w:lang w:eastAsia="zh-CN"/>
              </w:rPr>
            </w:pPr>
            <w:r>
              <w:rPr>
                <w:color w:val="auto"/>
                <w:lang w:eastAsia="zh-CN"/>
              </w:rPr>
              <w:t>（2）评价方法与预测模式</w:t>
            </w:r>
          </w:p>
          <w:p w14:paraId="680D0084">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fldChar w:fldCharType="begin"/>
            </w:r>
            <w:r>
              <w:rPr>
                <w:rFonts w:hint="eastAsia" w:ascii="Times New Roman" w:hAnsi="Times New Roman" w:eastAsia="宋体" w:cs="Times New Roman"/>
                <w:color w:val="auto"/>
                <w:sz w:val="24"/>
                <w:highlight w:val="none"/>
              </w:rPr>
              <w:instrText xml:space="preserve"> = 1 \* GB3 \* MERGEFORMAT </w:instrText>
            </w:r>
            <w:r>
              <w:rPr>
                <w:rFonts w:hint="eastAsia" w:ascii="Times New Roman" w:hAnsi="Times New Roman" w:eastAsia="宋体" w:cs="Times New Roman"/>
                <w:color w:val="auto"/>
                <w:sz w:val="24"/>
                <w:highlight w:val="none"/>
              </w:rPr>
              <w:fldChar w:fldCharType="separate"/>
            </w:r>
            <w:r>
              <w:rPr>
                <w:rFonts w:hint="eastAsia" w:ascii="Times New Roman" w:hAnsi="Times New Roman" w:eastAsia="宋体" w:cs="Times New Roman"/>
                <w:color w:val="auto"/>
                <w:sz w:val="24"/>
                <w:highlight w:val="none"/>
              </w:rPr>
              <w:t>①</w:t>
            </w:r>
            <w:r>
              <w:rPr>
                <w:rFonts w:hint="eastAsia" w:ascii="Times New Roman" w:hAnsi="Times New Roman" w:eastAsia="宋体" w:cs="Times New Roman"/>
                <w:color w:val="auto"/>
                <w:sz w:val="24"/>
                <w:highlight w:val="none"/>
              </w:rPr>
              <w:fldChar w:fldCharType="end"/>
            </w:r>
            <w:r>
              <w:rPr>
                <w:rFonts w:hint="eastAsia" w:ascii="Times New Roman" w:hAnsi="Times New Roman" w:eastAsia="宋体" w:cs="Times New Roman"/>
                <w:color w:val="auto"/>
                <w:sz w:val="24"/>
                <w:highlight w:val="none"/>
              </w:rPr>
              <w:t>工业场地界外噪声、环境噪声预测模式</w:t>
            </w:r>
          </w:p>
          <w:p w14:paraId="0F6DD314">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宋体"/>
                <w:color w:val="auto"/>
                <w:kern w:val="2"/>
                <w:sz w:val="24"/>
                <w:szCs w:val="24"/>
                <w:highlight w:val="none"/>
                <w:lang w:val="en-US" w:eastAsia="zh-CN" w:bidi="ar-SA"/>
              </w:rPr>
              <w:t>由于在声波传播的过程中，通过距离衰减、空气吸收衰减到达厂界外，故实际衰减量要低</w:t>
            </w:r>
            <w:r>
              <w:rPr>
                <w:rFonts w:hint="eastAsia" w:ascii="Times New Roman" w:hAnsi="Times New Roman" w:eastAsia="宋体" w:cs="Times New Roman"/>
                <w:color w:val="auto"/>
                <w:sz w:val="24"/>
                <w:highlight w:val="none"/>
              </w:rPr>
              <w:t>于其预测衰减量，即实际噪声值将略低于其预测值。由声源预测模式计算：</w:t>
            </w:r>
          </w:p>
          <w:p w14:paraId="1D516E61">
            <w:pPr>
              <w:spacing w:line="360" w:lineRule="auto"/>
              <w:ind w:firstLine="480" w:firstLineChars="200"/>
              <w:jc w:val="center"/>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szCs w:val="24"/>
                <w:highlight w:val="none"/>
              </w:rPr>
              <w:object>
                <v:shape id="_x0000_i1027" o:spt="75" type="#_x0000_t75" style="height:34.15pt;width:106.2pt;" o:ole="t" filled="f" stroked="f" coordsize="21600,21600">
                  <v:path/>
                  <v:fill on="f" focussize="0,0"/>
                  <v:stroke on="f"/>
                  <v:imagedata r:id="rId21" o:title=""/>
                  <o:lock v:ext="edit" aspectratio="t"/>
                  <w10:wrap type="none"/>
                  <w10:anchorlock/>
                </v:shape>
                <o:OLEObject Type="Embed" ProgID="Equation.3" ShapeID="_x0000_i1027" DrawAspect="Content" ObjectID="_1468075727" r:id="rId20">
                  <o:LockedField>false</o:LockedField>
                </o:OLEObject>
              </w:object>
            </w:r>
          </w:p>
          <w:p w14:paraId="7CD498DC">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式中：L总—几个声压级相加后的总声压级，dB;</w:t>
            </w:r>
          </w:p>
          <w:p w14:paraId="28DCB873">
            <w:pPr>
              <w:spacing w:line="360" w:lineRule="auto"/>
              <w:ind w:firstLine="1200" w:firstLineChars="5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Lij—某一个声压级，dB；</w:t>
            </w:r>
          </w:p>
          <w:p w14:paraId="6D02EF0A">
            <w:pPr>
              <w:spacing w:line="360" w:lineRule="auto"/>
              <w:ind w:firstLine="1200" w:firstLineChars="5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N—相同声压级的个数</w:t>
            </w:r>
          </w:p>
          <w:p w14:paraId="7E02341E">
            <w:pPr>
              <w:spacing w:line="360" w:lineRule="auto"/>
              <w:ind w:firstLine="480" w:firstLineChars="20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Lp=Lpo-20lg(r/r0)</w:t>
            </w:r>
          </w:p>
          <w:p w14:paraId="4429C19F">
            <w:pPr>
              <w:spacing w:line="360" w:lineRule="auto"/>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式中</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Lp—</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r</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处声压级，</w:t>
            </w:r>
            <w:r>
              <w:rPr>
                <w:rFonts w:hint="default" w:ascii="Times New Roman" w:hAnsi="Times New Roman" w:eastAsia="宋体" w:cs="Times New Roman"/>
                <w:color w:val="auto"/>
                <w:sz w:val="24"/>
                <w:highlight w:val="none"/>
                <w:lang w:val="en-US" w:eastAsia="zh-CN"/>
              </w:rPr>
              <w:t>dB(A</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w:t>
            </w:r>
          </w:p>
          <w:p w14:paraId="445EA008">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Lpo—</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r0</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处的声压级，</w:t>
            </w:r>
            <w:r>
              <w:rPr>
                <w:rFonts w:hint="default" w:ascii="Times New Roman" w:hAnsi="Times New Roman" w:eastAsia="宋体" w:cs="Times New Roman"/>
                <w:color w:val="auto"/>
                <w:sz w:val="24"/>
                <w:highlight w:val="none"/>
                <w:lang w:val="en-US" w:eastAsia="zh-CN"/>
              </w:rPr>
              <w:t>dB(A</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w:t>
            </w:r>
          </w:p>
          <w:p w14:paraId="1FB02794">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r—</w:t>
            </w:r>
            <w:r>
              <w:rPr>
                <w:rFonts w:hint="eastAsia" w:ascii="Times New Roman" w:hAnsi="Times New Roman" w:eastAsia="宋体" w:cs="Times New Roman"/>
                <w:color w:val="auto"/>
                <w:sz w:val="24"/>
                <w:highlight w:val="none"/>
                <w:lang w:val="en-US" w:eastAsia="zh-CN"/>
              </w:rPr>
              <w:t>距声源的距离，1</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w:t>
            </w:r>
          </w:p>
          <w:p w14:paraId="7A29B93D">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r0—</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1m</w:t>
            </w:r>
            <w:r>
              <w:rPr>
                <w:rFonts w:hint="eastAsia" w:ascii="Times New Roman" w:hAnsi="Times New Roman" w:eastAsia="宋体" w:cs="Times New Roman"/>
                <w:color w:val="auto"/>
                <w:sz w:val="24"/>
                <w:highlight w:val="none"/>
                <w:lang w:val="en-US" w:eastAsia="zh-CN"/>
              </w:rPr>
              <w:t>；</w:t>
            </w:r>
          </w:p>
          <w:p w14:paraId="17893250">
            <w:pPr>
              <w:spacing w:line="360" w:lineRule="auto"/>
              <w:ind w:firstLine="480" w:firstLineChars="200"/>
              <w:rPr>
                <w:rFonts w:ascii="Times New Roman" w:hAnsi="Times New Roman" w:eastAsia="宋体"/>
                <w:color w:val="auto"/>
                <w:sz w:val="24"/>
                <w:highlight w:val="none"/>
                <w:lang w:eastAsia="zh-CN"/>
              </w:rPr>
            </w:pPr>
            <w:r>
              <w:rPr>
                <w:rFonts w:hint="default" w:ascii="Times New Roman" w:hAnsi="Times New Roman" w:eastAsia="宋体" w:cs="Times New Roman"/>
                <w:color w:val="auto"/>
                <w:sz w:val="24"/>
                <w:highlight w:val="none"/>
              </w:rPr>
              <w:t>②</w:t>
            </w:r>
            <w:r>
              <w:rPr>
                <w:rFonts w:ascii="Times New Roman" w:hAnsi="Times New Roman" w:eastAsia="宋体"/>
                <w:color w:val="auto"/>
                <w:sz w:val="24"/>
                <w:highlight w:val="none"/>
                <w:lang w:eastAsia="zh-CN"/>
              </w:rPr>
              <w:t>等效室外声源声功率级法计算：</w:t>
            </w:r>
          </w:p>
          <w:p w14:paraId="055BDBAB">
            <w:pPr>
              <w:spacing w:line="360" w:lineRule="auto"/>
              <w:ind w:firstLine="480" w:firstLineChars="200"/>
              <w:rPr>
                <w:rFonts w:ascii="Times New Roman" w:hAnsi="Times New Roman" w:eastAsia="宋体"/>
                <w:color w:val="auto"/>
                <w:sz w:val="24"/>
                <w:highlight w:val="none"/>
                <w:lang w:eastAsia="zh-CN"/>
              </w:rPr>
            </w:pPr>
            <w:r>
              <w:rPr>
                <w:rFonts w:hint="eastAsia" w:ascii="Times New Roman" w:hAnsi="Times New Roman" w:eastAsia="宋体" w:cs="Times New Roman"/>
                <w:color w:val="auto"/>
                <w:sz w:val="24"/>
                <w:highlight w:val="none"/>
                <w:lang w:eastAsia="zh-CN"/>
              </w:rPr>
              <w:t>根</w:t>
            </w:r>
            <w:r>
              <w:rPr>
                <w:rFonts w:ascii="Times New Roman" w:hAnsi="Times New Roman" w:eastAsia="宋体"/>
                <w:color w:val="auto"/>
                <w:sz w:val="24"/>
                <w:highlight w:val="none"/>
                <w:lang w:eastAsia="zh-CN"/>
              </w:rPr>
              <w:t>据《环境影响评价技术导则 声环境》（</w:t>
            </w:r>
            <w:r>
              <w:rPr>
                <w:rFonts w:hint="eastAsia"/>
                <w:color w:val="auto"/>
                <w:sz w:val="24"/>
                <w:highlight w:val="none"/>
                <w:lang w:eastAsia="zh-CN"/>
              </w:rPr>
              <w:t>HJ 2</w:t>
            </w:r>
            <w:r>
              <w:rPr>
                <w:rFonts w:ascii="Times New Roman" w:hAnsi="Times New Roman" w:eastAsia="宋体"/>
                <w:color w:val="auto"/>
                <w:sz w:val="24"/>
                <w:highlight w:val="none"/>
                <w:lang w:eastAsia="zh-CN"/>
              </w:rPr>
              <w:t>.4-2021），声源位于室内，噪声源可视为点声源，根据点声源噪声衰减模式，各类机械产生的噪声影响采用以下预测模式：</w:t>
            </w:r>
          </w:p>
          <w:p w14:paraId="3006CFDE">
            <w:pPr>
              <w:spacing w:line="360" w:lineRule="auto"/>
              <w:ind w:firstLine="480" w:firstLineChars="200"/>
              <w:jc w:val="center"/>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Lp2</w:t>
            </w:r>
            <w:r>
              <w:rPr>
                <w:rFonts w:hint="eastAsia"/>
                <w:color w:val="auto"/>
                <w:sz w:val="24"/>
                <w:highlight w:val="none"/>
                <w:lang w:eastAsia="zh-CN"/>
              </w:rPr>
              <w:t>=</w:t>
            </w:r>
            <w:r>
              <w:rPr>
                <w:rFonts w:ascii="Times New Roman" w:hAnsi="Times New Roman" w:eastAsia="宋体"/>
                <w:color w:val="auto"/>
                <w:sz w:val="24"/>
                <w:highlight w:val="none"/>
                <w:lang w:eastAsia="zh-CN"/>
              </w:rPr>
              <w:t>Lp1-（TL+6）</w:t>
            </w:r>
          </w:p>
          <w:p w14:paraId="10613997">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式中：Lp1——靠近开口处（或窗户）室内某倍频带的声压级或A声级，dB；</w:t>
            </w:r>
          </w:p>
          <w:p w14:paraId="7CEB0355">
            <w:pPr>
              <w:keepNext w:val="0"/>
              <w:keepLines w:val="0"/>
              <w:pageBreakBefore w:val="0"/>
              <w:widowControl/>
              <w:kinsoku/>
              <w:wordWrap/>
              <w:overflowPunct/>
              <w:topLinePunct w:val="0"/>
              <w:autoSpaceDE w:val="0"/>
              <w:autoSpaceDN w:val="0"/>
              <w:bidi w:val="0"/>
              <w:adjustRightInd/>
              <w:snapToGrid/>
              <w:spacing w:line="360" w:lineRule="auto"/>
              <w:ind w:firstLine="1200" w:firstLineChars="500"/>
              <w:textAlignment w:val="baseline"/>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Lp2——靠近开口处（或窗户）室外某倍频带的声压级或A声级，dB；</w:t>
            </w:r>
          </w:p>
          <w:p w14:paraId="5EEBDDE5">
            <w:pPr>
              <w:spacing w:line="360" w:lineRule="auto"/>
              <w:ind w:firstLine="1200" w:firstLineChars="500"/>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TL——隔墙（或窗户）倍频带或A声级的隔声量，dB。</w:t>
            </w:r>
          </w:p>
          <w:p w14:paraId="19AC8A83">
            <w:pPr>
              <w:spacing w:line="360" w:lineRule="auto"/>
              <w:ind w:firstLine="480" w:firstLineChars="200"/>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所有室内声源在围护结构处产生的i倍频带叠加声压级：</w:t>
            </w:r>
          </w:p>
          <w:p w14:paraId="0B4A81C9">
            <w:pPr>
              <w:pStyle w:val="44"/>
              <w:spacing w:line="240" w:lineRule="auto"/>
              <w:ind w:firstLine="480"/>
              <w:jc w:val="center"/>
              <w:rPr>
                <w:rFonts w:cs="Times New Roman"/>
                <w:color w:val="auto"/>
                <w:highlight w:val="none"/>
              </w:rPr>
            </w:pPr>
            <w:r>
              <w:rPr>
                <w:rFonts w:cs="Times New Roman"/>
                <w:color w:val="auto"/>
                <w:highlight w:val="none"/>
              </w:rPr>
              <w:drawing>
                <wp:inline distT="0" distB="0" distL="114300" distR="114300">
                  <wp:extent cx="2047875" cy="533400"/>
                  <wp:effectExtent l="0" t="0" r="9525" b="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22"/>
                          <a:stretch>
                            <a:fillRect/>
                          </a:stretch>
                        </pic:blipFill>
                        <pic:spPr>
                          <a:xfrm>
                            <a:off x="0" y="0"/>
                            <a:ext cx="2047875" cy="533400"/>
                          </a:xfrm>
                          <a:prstGeom prst="rect">
                            <a:avLst/>
                          </a:prstGeom>
                          <a:noFill/>
                          <a:ln>
                            <a:noFill/>
                          </a:ln>
                        </pic:spPr>
                      </pic:pic>
                    </a:graphicData>
                  </a:graphic>
                </wp:inline>
              </w:drawing>
            </w:r>
          </w:p>
          <w:p w14:paraId="4461A65B">
            <w:pPr>
              <w:pStyle w:val="44"/>
              <w:ind w:firstLine="480"/>
              <w:jc w:val="left"/>
              <w:rPr>
                <w:rFonts w:cs="Times New Roman"/>
                <w:color w:val="auto"/>
                <w:highlight w:val="none"/>
              </w:rPr>
            </w:pPr>
            <w:r>
              <w:rPr>
                <w:rFonts w:cs="Times New Roman"/>
                <w:color w:val="auto"/>
                <w:highlight w:val="none"/>
              </w:rPr>
              <w:t>式中：Lp1i（T）——靠近围护结构处室内N个声源i倍频带的叠加声压级，dB；</w:t>
            </w:r>
          </w:p>
          <w:p w14:paraId="7137BC95">
            <w:pPr>
              <w:pStyle w:val="44"/>
              <w:ind w:firstLine="1200" w:firstLineChars="500"/>
              <w:jc w:val="left"/>
              <w:rPr>
                <w:rFonts w:cs="Times New Roman"/>
                <w:color w:val="auto"/>
                <w:highlight w:val="none"/>
              </w:rPr>
            </w:pPr>
            <w:r>
              <w:rPr>
                <w:rFonts w:cs="Times New Roman"/>
                <w:color w:val="auto"/>
                <w:highlight w:val="none"/>
              </w:rPr>
              <w:t>Lp1ij——室内j声源i倍频带的声压级，dB；</w:t>
            </w:r>
          </w:p>
          <w:p w14:paraId="024AA3EF">
            <w:pPr>
              <w:pStyle w:val="44"/>
              <w:ind w:firstLine="1185" w:firstLineChars="494"/>
              <w:jc w:val="left"/>
              <w:rPr>
                <w:rFonts w:cs="Times New Roman"/>
                <w:color w:val="auto"/>
                <w:highlight w:val="none"/>
              </w:rPr>
            </w:pPr>
            <w:r>
              <w:rPr>
                <w:rFonts w:cs="Times New Roman"/>
                <w:color w:val="auto"/>
                <w:highlight w:val="none"/>
              </w:rPr>
              <w:t>N——室内声源总数。噪声预测计算的基本公式为：</w:t>
            </w:r>
          </w:p>
          <w:p w14:paraId="047FA86C">
            <w:pPr>
              <w:pStyle w:val="44"/>
              <w:ind w:firstLine="480"/>
              <w:jc w:val="center"/>
              <w:rPr>
                <w:rFonts w:cs="Times New Roman"/>
                <w:color w:val="auto"/>
                <w:highlight w:val="none"/>
              </w:rPr>
            </w:pPr>
            <w:r>
              <w:rPr>
                <w:rFonts w:cs="Times New Roman"/>
                <w:color w:val="auto"/>
                <w:highlight w:val="none"/>
              </w:rPr>
              <w:drawing>
                <wp:inline distT="0" distB="0" distL="114300" distR="114300">
                  <wp:extent cx="3895725" cy="276225"/>
                  <wp:effectExtent l="0" t="0" r="3175" b="317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23"/>
                          <a:stretch>
                            <a:fillRect/>
                          </a:stretch>
                        </pic:blipFill>
                        <pic:spPr>
                          <a:xfrm>
                            <a:off x="0" y="0"/>
                            <a:ext cx="3895725" cy="276225"/>
                          </a:xfrm>
                          <a:prstGeom prst="rect">
                            <a:avLst/>
                          </a:prstGeom>
                          <a:noFill/>
                          <a:ln>
                            <a:noFill/>
                          </a:ln>
                        </pic:spPr>
                      </pic:pic>
                    </a:graphicData>
                  </a:graphic>
                </wp:inline>
              </w:drawing>
            </w:r>
          </w:p>
          <w:p w14:paraId="306CEB3D">
            <w:pPr>
              <w:pStyle w:val="44"/>
              <w:ind w:firstLine="480"/>
              <w:jc w:val="left"/>
              <w:rPr>
                <w:rFonts w:cs="Times New Roman"/>
                <w:color w:val="auto"/>
                <w:highlight w:val="none"/>
              </w:rPr>
            </w:pPr>
            <w:r>
              <w:rPr>
                <w:rFonts w:cs="Times New Roman"/>
                <w:color w:val="auto"/>
                <w:highlight w:val="none"/>
              </w:rPr>
              <w:t>式中：Lp（r）——预测点处声压级，dB；</w:t>
            </w:r>
          </w:p>
          <w:p w14:paraId="5D894FE0">
            <w:pPr>
              <w:pStyle w:val="44"/>
              <w:ind w:firstLine="1200" w:firstLineChars="500"/>
              <w:jc w:val="left"/>
              <w:rPr>
                <w:rFonts w:cs="Times New Roman"/>
                <w:color w:val="auto"/>
                <w:highlight w:val="none"/>
              </w:rPr>
            </w:pPr>
            <w:r>
              <w:rPr>
                <w:rFonts w:cs="Times New Roman"/>
                <w:color w:val="auto"/>
                <w:highlight w:val="none"/>
              </w:rPr>
              <w:t>Lw——由点声源产生的声功率级（A计权或倍频带），dB；</w:t>
            </w:r>
          </w:p>
          <w:p w14:paraId="77CA3554">
            <w:pPr>
              <w:pStyle w:val="44"/>
              <w:ind w:firstLine="1200" w:firstLineChars="500"/>
              <w:jc w:val="left"/>
              <w:rPr>
                <w:rFonts w:cs="Times New Roman"/>
                <w:color w:val="auto"/>
                <w:highlight w:val="none"/>
              </w:rPr>
            </w:pPr>
            <w:r>
              <w:rPr>
                <w:rFonts w:cs="Times New Roman"/>
                <w:color w:val="auto"/>
                <w:highlight w:val="none"/>
              </w:rPr>
              <w:t>DC——指向性校正，它描述点声源的等效连续声压级与产生声功率级Lw的全向点声源在规定方向的声级的偏差程度，dB；</w:t>
            </w:r>
          </w:p>
          <w:p w14:paraId="236CBDB8">
            <w:pPr>
              <w:pStyle w:val="44"/>
              <w:ind w:firstLine="1200" w:firstLineChars="500"/>
              <w:jc w:val="left"/>
              <w:rPr>
                <w:rFonts w:cs="Times New Roman"/>
                <w:color w:val="auto"/>
                <w:highlight w:val="none"/>
              </w:rPr>
            </w:pPr>
            <w:r>
              <w:rPr>
                <w:rFonts w:cs="Times New Roman"/>
                <w:color w:val="auto"/>
                <w:highlight w:val="none"/>
              </w:rPr>
              <w:t>Adiv——几何发散引起的衰减，dB；</w:t>
            </w:r>
          </w:p>
          <w:p w14:paraId="1DB70C65">
            <w:pPr>
              <w:pStyle w:val="44"/>
              <w:ind w:firstLine="1200" w:firstLineChars="500"/>
              <w:jc w:val="left"/>
              <w:rPr>
                <w:rFonts w:cs="Times New Roman"/>
                <w:color w:val="auto"/>
                <w:highlight w:val="none"/>
              </w:rPr>
            </w:pPr>
            <w:r>
              <w:rPr>
                <w:rFonts w:cs="Times New Roman"/>
                <w:color w:val="auto"/>
                <w:highlight w:val="none"/>
              </w:rPr>
              <w:t>Aatm——大气吸收引起的衰减，dB；</w:t>
            </w:r>
          </w:p>
          <w:p w14:paraId="12633C49">
            <w:pPr>
              <w:pStyle w:val="44"/>
              <w:ind w:firstLine="1200" w:firstLineChars="500"/>
              <w:jc w:val="left"/>
              <w:rPr>
                <w:rFonts w:cs="Times New Roman"/>
                <w:color w:val="auto"/>
                <w:highlight w:val="none"/>
              </w:rPr>
            </w:pPr>
            <w:r>
              <w:rPr>
                <w:rFonts w:cs="Times New Roman"/>
                <w:color w:val="auto"/>
                <w:highlight w:val="none"/>
              </w:rPr>
              <w:t>Agr——地面效应引起的衰减，dB；</w:t>
            </w:r>
          </w:p>
          <w:p w14:paraId="040C7BD7">
            <w:pPr>
              <w:pStyle w:val="44"/>
              <w:ind w:firstLine="1185" w:firstLineChars="494"/>
              <w:jc w:val="left"/>
              <w:rPr>
                <w:rFonts w:cs="Times New Roman"/>
                <w:color w:val="auto"/>
                <w:highlight w:val="none"/>
              </w:rPr>
            </w:pPr>
            <w:r>
              <w:rPr>
                <w:rFonts w:cs="Times New Roman"/>
                <w:color w:val="auto"/>
                <w:highlight w:val="none"/>
              </w:rPr>
              <w:t>Abar——障碍物屏蔽引起的衰减，dB；</w:t>
            </w:r>
          </w:p>
          <w:p w14:paraId="6DF786DF">
            <w:pPr>
              <w:pStyle w:val="44"/>
              <w:ind w:firstLine="1200" w:firstLineChars="500"/>
              <w:jc w:val="left"/>
              <w:rPr>
                <w:rFonts w:cs="Times New Roman"/>
                <w:color w:val="auto"/>
                <w:highlight w:val="none"/>
              </w:rPr>
            </w:pPr>
            <w:r>
              <w:rPr>
                <w:rFonts w:cs="Times New Roman"/>
                <w:color w:val="auto"/>
                <w:highlight w:val="none"/>
              </w:rPr>
              <w:t>Amisc——其他多方面效应引起的衰减，dB。</w:t>
            </w:r>
          </w:p>
          <w:p w14:paraId="4BFE19D0">
            <w:pPr>
              <w:pStyle w:val="44"/>
              <w:ind w:firstLine="480"/>
              <w:jc w:val="left"/>
              <w:rPr>
                <w:rFonts w:cs="Times New Roman"/>
                <w:color w:val="auto"/>
                <w:highlight w:val="none"/>
              </w:rPr>
            </w:pPr>
            <w:r>
              <w:rPr>
                <w:rFonts w:cs="Times New Roman"/>
                <w:color w:val="auto"/>
                <w:highlight w:val="none"/>
              </w:rPr>
              <w:t>点声源的几何发散衰减公式为：</w:t>
            </w:r>
          </w:p>
          <w:p w14:paraId="6E3123B1">
            <w:pPr>
              <w:pStyle w:val="44"/>
              <w:spacing w:line="240" w:lineRule="auto"/>
              <w:ind w:firstLine="480"/>
              <w:jc w:val="center"/>
              <w:rPr>
                <w:rFonts w:cs="Times New Roman"/>
                <w:color w:val="auto"/>
                <w:highlight w:val="none"/>
              </w:rPr>
            </w:pPr>
            <w:r>
              <w:rPr>
                <w:rFonts w:cs="Times New Roman"/>
                <w:color w:val="auto"/>
                <w:highlight w:val="none"/>
              </w:rPr>
              <w:drawing>
                <wp:inline distT="0" distB="0" distL="114300" distR="114300">
                  <wp:extent cx="2266950" cy="266700"/>
                  <wp:effectExtent l="0" t="0" r="6350" b="0"/>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24"/>
                          <a:stretch>
                            <a:fillRect/>
                          </a:stretch>
                        </pic:blipFill>
                        <pic:spPr>
                          <a:xfrm>
                            <a:off x="0" y="0"/>
                            <a:ext cx="2266950" cy="266700"/>
                          </a:xfrm>
                          <a:prstGeom prst="rect">
                            <a:avLst/>
                          </a:prstGeom>
                          <a:noFill/>
                          <a:ln>
                            <a:noFill/>
                          </a:ln>
                        </pic:spPr>
                      </pic:pic>
                    </a:graphicData>
                  </a:graphic>
                </wp:inline>
              </w:drawing>
            </w:r>
          </w:p>
          <w:p w14:paraId="6E33230D">
            <w:pPr>
              <w:pStyle w:val="44"/>
              <w:ind w:firstLine="480"/>
              <w:jc w:val="left"/>
              <w:rPr>
                <w:rFonts w:cs="Times New Roman"/>
                <w:color w:val="auto"/>
                <w:highlight w:val="none"/>
              </w:rPr>
            </w:pPr>
            <w:r>
              <w:rPr>
                <w:rFonts w:cs="Times New Roman"/>
                <w:color w:val="auto"/>
                <w:highlight w:val="none"/>
              </w:rPr>
              <w:t>式中：Lp（r）——预测点处声压级，dB；</w:t>
            </w:r>
          </w:p>
          <w:p w14:paraId="3AD49D56">
            <w:pPr>
              <w:pStyle w:val="44"/>
              <w:ind w:firstLine="1200" w:firstLineChars="500"/>
              <w:jc w:val="left"/>
              <w:rPr>
                <w:rFonts w:cs="Times New Roman"/>
                <w:color w:val="auto"/>
                <w:highlight w:val="none"/>
              </w:rPr>
            </w:pPr>
            <w:r>
              <w:rPr>
                <w:rFonts w:cs="Times New Roman"/>
                <w:color w:val="auto"/>
                <w:highlight w:val="none"/>
              </w:rPr>
              <w:t>Lp（r0）——参考位置r0处的声压级，dB；</w:t>
            </w:r>
          </w:p>
          <w:p w14:paraId="09A4D093">
            <w:pPr>
              <w:pStyle w:val="44"/>
              <w:ind w:firstLine="1200" w:firstLineChars="500"/>
              <w:jc w:val="left"/>
              <w:rPr>
                <w:rFonts w:cs="Times New Roman"/>
                <w:color w:val="auto"/>
                <w:highlight w:val="none"/>
              </w:rPr>
            </w:pPr>
            <w:r>
              <w:rPr>
                <w:rFonts w:cs="Times New Roman"/>
                <w:color w:val="auto"/>
                <w:highlight w:val="none"/>
              </w:rPr>
              <w:t>r——预测点距声源的距离；</w:t>
            </w:r>
          </w:p>
          <w:p w14:paraId="0957D433">
            <w:pPr>
              <w:pStyle w:val="44"/>
              <w:ind w:firstLine="1200" w:firstLineChars="500"/>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r0——参考位置距声源的距离。</w:t>
            </w:r>
          </w:p>
          <w:p w14:paraId="039FAEFC">
            <w:pPr>
              <w:kinsoku w:val="0"/>
              <w:autoSpaceDE w:val="0"/>
              <w:autoSpaceDN w:val="0"/>
              <w:bidi w:val="0"/>
              <w:adjustRightInd/>
              <w:snapToGrid/>
              <w:spacing w:line="360" w:lineRule="auto"/>
              <w:ind w:firstLine="480" w:firstLineChars="200"/>
              <w:jc w:val="left"/>
              <w:textAlignment w:val="baseline"/>
              <w:rPr>
                <w:rFonts w:ascii="宋体" w:hAnsi="宋体" w:eastAsia="宋体" w:cs="宋体"/>
                <w:bCs/>
                <w:snapToGrid w:val="0"/>
                <w:color w:val="000000"/>
                <w:spacing w:val="8"/>
                <w:kern w:val="0"/>
                <w:sz w:val="24"/>
                <w:szCs w:val="24"/>
                <w:lang w:val="en-US" w:eastAsia="zh-CN"/>
              </w:rPr>
            </w:pPr>
            <w:r>
              <w:rPr>
                <w:rFonts w:hint="default" w:ascii="Times New Roman" w:hAnsi="Times New Roman" w:eastAsia="宋体" w:cs="Times New Roman"/>
                <w:bCs w:val="0"/>
                <w:snapToGrid w:val="0"/>
                <w:color w:val="auto"/>
                <w:spacing w:val="0"/>
                <w:kern w:val="0"/>
                <w:sz w:val="24"/>
                <w:szCs w:val="21"/>
                <w:highlight w:val="none"/>
                <w:lang w:val="en-US" w:eastAsia="zh-CN"/>
              </w:rPr>
              <w:t>③</w:t>
            </w:r>
            <w:r>
              <w:rPr>
                <w:rFonts w:ascii="宋体" w:hAnsi="宋体" w:eastAsia="宋体" w:cs="宋体"/>
                <w:bCs/>
                <w:snapToGrid w:val="0"/>
                <w:color w:val="000000"/>
                <w:spacing w:val="8"/>
                <w:kern w:val="0"/>
                <w:sz w:val="24"/>
                <w:szCs w:val="24"/>
                <w:lang w:val="en-US" w:eastAsia="zh-CN"/>
              </w:rPr>
              <w:t>计算总声压级</w:t>
            </w:r>
          </w:p>
          <w:p w14:paraId="384B5F13">
            <w:pPr>
              <w:kinsoku w:val="0"/>
              <w:autoSpaceDE w:val="0"/>
              <w:autoSpaceDN w:val="0"/>
              <w:bidi w:val="0"/>
              <w:adjustRightInd/>
              <w:snapToGrid/>
              <w:spacing w:line="360" w:lineRule="auto"/>
              <w:ind w:firstLine="512" w:firstLineChars="200"/>
              <w:jc w:val="left"/>
              <w:textAlignment w:val="baseline"/>
              <w:rPr>
                <w:rFonts w:ascii="宋体" w:hAnsi="宋体" w:eastAsia="宋体" w:cs="宋体"/>
                <w:bCs/>
                <w:snapToGrid w:val="0"/>
                <w:color w:val="000000"/>
                <w:spacing w:val="8"/>
                <w:kern w:val="0"/>
                <w:sz w:val="24"/>
                <w:szCs w:val="24"/>
                <w:lang w:val="en-US" w:eastAsia="zh-CN"/>
              </w:rPr>
            </w:pPr>
            <w:r>
              <w:rPr>
                <w:rFonts w:ascii="宋体" w:hAnsi="宋体" w:eastAsia="宋体" w:cs="宋体"/>
                <w:bCs/>
                <w:snapToGrid w:val="0"/>
                <w:color w:val="000000"/>
                <w:spacing w:val="8"/>
                <w:kern w:val="0"/>
                <w:sz w:val="24"/>
                <w:szCs w:val="24"/>
                <w:lang w:val="en-US" w:eastAsia="zh-CN"/>
              </w:rPr>
              <w:t>多声源叠加噪声预测值：</w:t>
            </w:r>
          </w:p>
          <w:p w14:paraId="53A29B92">
            <w:pPr>
              <w:kinsoku w:val="0"/>
              <w:autoSpaceDE w:val="0"/>
              <w:autoSpaceDN w:val="0"/>
              <w:bidi w:val="0"/>
              <w:adjustRightInd/>
              <w:snapToGrid/>
              <w:spacing w:line="360" w:lineRule="auto"/>
              <w:ind w:firstLine="512" w:firstLineChars="200"/>
              <w:jc w:val="center"/>
              <w:textAlignment w:val="baseline"/>
              <w:rPr>
                <w:rFonts w:ascii="Times New Roman" w:hAnsi="Times New Roman" w:eastAsia="宋体" w:cs="Times New Roman"/>
                <w:bCs/>
                <w:snapToGrid w:val="0"/>
                <w:color w:val="000000"/>
                <w:spacing w:val="8"/>
                <w:kern w:val="0"/>
                <w:sz w:val="24"/>
                <w:szCs w:val="72"/>
                <w:lang w:val="en-US" w:eastAsia="zh-CN"/>
              </w:rPr>
            </w:pPr>
            <w:r>
              <w:rPr>
                <w:rFonts w:ascii="Times New Roman" w:hAnsi="Times New Roman" w:eastAsia="宋体" w:cs="Times New Roman"/>
                <w:bCs/>
                <w:snapToGrid w:val="0"/>
                <w:color w:val="000000"/>
                <w:spacing w:val="8"/>
                <w:kern w:val="0"/>
                <w:sz w:val="24"/>
                <w:szCs w:val="72"/>
                <w:lang w:val="en-US" w:eastAsia="zh-CN"/>
              </w:rPr>
              <w:drawing>
                <wp:inline distT="0" distB="0" distL="114300" distR="114300">
                  <wp:extent cx="1987550" cy="406400"/>
                  <wp:effectExtent l="0" t="0" r="6350" b="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5"/>
                          <a:stretch>
                            <a:fillRect/>
                          </a:stretch>
                        </pic:blipFill>
                        <pic:spPr>
                          <a:xfrm>
                            <a:off x="0" y="0"/>
                            <a:ext cx="1987550" cy="406400"/>
                          </a:xfrm>
                          <a:prstGeom prst="rect">
                            <a:avLst/>
                          </a:prstGeom>
                          <a:noFill/>
                          <a:ln>
                            <a:noFill/>
                          </a:ln>
                        </pic:spPr>
                      </pic:pic>
                    </a:graphicData>
                  </a:graphic>
                </wp:inline>
              </w:drawing>
            </w:r>
          </w:p>
          <w:p w14:paraId="6B0BE20C">
            <w:pPr>
              <w:kinsoku w:val="0"/>
              <w:autoSpaceDE w:val="0"/>
              <w:autoSpaceDN w:val="0"/>
              <w:adjustRightInd/>
              <w:snapToGrid/>
              <w:spacing w:line="360" w:lineRule="auto"/>
              <w:ind w:firstLine="480"/>
              <w:jc w:val="left"/>
              <w:textAlignment w:val="baseline"/>
              <w:rPr>
                <w:rFonts w:ascii="Times New Roman" w:hAnsi="Times New Roman" w:eastAsia="宋体" w:cs="Times New Roman"/>
                <w:snapToGrid w:val="0"/>
                <w:color w:val="auto"/>
                <w:kern w:val="0"/>
                <w:sz w:val="24"/>
                <w:szCs w:val="21"/>
                <w:highlight w:val="none"/>
              </w:rPr>
            </w:pPr>
            <w:r>
              <w:rPr>
                <w:rFonts w:ascii="Times New Roman" w:hAnsi="Times New Roman" w:eastAsia="宋体" w:cs="Times New Roman"/>
                <w:snapToGrid w:val="0"/>
                <w:color w:val="auto"/>
                <w:kern w:val="0"/>
                <w:sz w:val="24"/>
                <w:szCs w:val="21"/>
                <w:highlight w:val="none"/>
              </w:rPr>
              <w:t>式中：Leq——预测点的噪声预测值，dB（A）；</w:t>
            </w:r>
          </w:p>
          <w:p w14:paraId="59418E6F">
            <w:pPr>
              <w:kinsoku w:val="0"/>
              <w:autoSpaceDE w:val="0"/>
              <w:autoSpaceDN w:val="0"/>
              <w:adjustRightInd/>
              <w:snapToGrid/>
              <w:spacing w:line="360" w:lineRule="auto"/>
              <w:ind w:firstLine="1200" w:firstLineChars="500"/>
              <w:jc w:val="left"/>
              <w:textAlignment w:val="baseline"/>
              <w:rPr>
                <w:rFonts w:ascii="Times New Roman" w:hAnsi="Times New Roman" w:eastAsia="宋体" w:cs="Times New Roman"/>
                <w:snapToGrid w:val="0"/>
                <w:color w:val="auto"/>
                <w:kern w:val="0"/>
                <w:sz w:val="24"/>
                <w:szCs w:val="21"/>
                <w:highlight w:val="none"/>
              </w:rPr>
            </w:pPr>
            <w:r>
              <w:rPr>
                <w:rFonts w:ascii="Times New Roman" w:hAnsi="Times New Roman" w:eastAsia="宋体" w:cs="Times New Roman"/>
                <w:snapToGrid w:val="0"/>
                <w:color w:val="auto"/>
                <w:kern w:val="0"/>
                <w:sz w:val="24"/>
                <w:szCs w:val="21"/>
                <w:highlight w:val="none"/>
              </w:rPr>
              <w:t>Leqq——预测点的噪声贡献值，dB（A）；</w:t>
            </w:r>
          </w:p>
          <w:p w14:paraId="55144E12">
            <w:pPr>
              <w:pStyle w:val="44"/>
              <w:ind w:firstLine="1200" w:firstLineChars="500"/>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Leqb——预测点的噪声背景值，dB（A）。</w:t>
            </w:r>
          </w:p>
          <w:p w14:paraId="57FB6EC0">
            <w:pPr>
              <w:snapToGrid w:val="0"/>
              <w:spacing w:line="460" w:lineRule="exact"/>
              <w:ind w:firstLine="480"/>
              <w:rPr>
                <w:rFonts w:hint="default"/>
                <w:color w:val="auto"/>
                <w:lang w:val="en-US" w:eastAsia="zh-CN"/>
              </w:rPr>
            </w:pPr>
            <w:r>
              <w:rPr>
                <w:color w:val="auto"/>
                <w:lang w:eastAsia="zh-CN"/>
              </w:rPr>
              <w:t>（</w:t>
            </w:r>
            <w:r>
              <w:rPr>
                <w:rFonts w:hint="eastAsia"/>
                <w:color w:val="auto"/>
                <w:lang w:val="en-US" w:eastAsia="zh-CN"/>
              </w:rPr>
              <w:t>3</w:t>
            </w:r>
            <w:r>
              <w:rPr>
                <w:color w:val="auto"/>
                <w:lang w:eastAsia="zh-CN"/>
              </w:rPr>
              <w:t>）预测</w:t>
            </w:r>
            <w:r>
              <w:rPr>
                <w:rFonts w:hint="eastAsia"/>
                <w:color w:val="auto"/>
                <w:lang w:val="en-US" w:eastAsia="zh-CN"/>
              </w:rPr>
              <w:t>结果及达标分析</w:t>
            </w:r>
          </w:p>
          <w:p w14:paraId="049E9FB3">
            <w:pPr>
              <w:pStyle w:val="29"/>
              <w:bidi w:val="0"/>
              <w:rPr>
                <w:rFonts w:hint="default"/>
                <w:color w:val="auto"/>
                <w:lang w:val="en-US" w:eastAsia="zh-CN"/>
              </w:rPr>
            </w:pPr>
            <w:r>
              <w:rPr>
                <w:rFonts w:hint="default"/>
                <w:color w:val="auto"/>
                <w:lang w:val="en-US" w:eastAsia="zh-CN"/>
              </w:rPr>
              <w:t>项目声环境保护目标噪声预测结果与达标分析见表4-</w:t>
            </w:r>
            <w:r>
              <w:rPr>
                <w:rFonts w:hint="eastAsia"/>
                <w:color w:val="auto"/>
                <w:lang w:val="en-US" w:eastAsia="zh-CN"/>
              </w:rPr>
              <w:t>10</w:t>
            </w:r>
            <w:r>
              <w:rPr>
                <w:rFonts w:hint="default"/>
                <w:color w:val="auto"/>
                <w:lang w:val="en-US" w:eastAsia="zh-CN"/>
              </w:rPr>
              <w:t>：</w:t>
            </w:r>
          </w:p>
          <w:p w14:paraId="3D148398">
            <w:pPr>
              <w:kinsoku w:val="0"/>
              <w:autoSpaceDE w:val="0"/>
              <w:autoSpaceDN w:val="0"/>
              <w:bidi w:val="0"/>
              <w:adjustRightInd/>
              <w:snapToGrid/>
              <w:spacing w:line="240" w:lineRule="auto"/>
              <w:ind w:firstLine="0"/>
              <w:jc w:val="center"/>
              <w:textAlignment w:val="baseline"/>
              <w:rPr>
                <w:rFonts w:hint="default" w:ascii="Times New Roman" w:hAnsi="Times New Roman" w:eastAsia="宋体" w:cs="Times New Roman"/>
                <w:b/>
                <w:bCs/>
                <w:snapToGrid w:val="0"/>
                <w:color w:val="auto"/>
                <w:spacing w:val="8"/>
                <w:kern w:val="0"/>
                <w:sz w:val="21"/>
                <w:szCs w:val="72"/>
                <w:lang w:val="en-US" w:eastAsia="zh-CN"/>
              </w:rPr>
            </w:pPr>
            <w:r>
              <w:rPr>
                <w:rFonts w:hint="default" w:ascii="Times New Roman" w:hAnsi="Times New Roman" w:eastAsia="宋体" w:cs="Times New Roman"/>
                <w:b/>
                <w:bCs/>
                <w:snapToGrid w:val="0"/>
                <w:color w:val="auto"/>
                <w:spacing w:val="8"/>
                <w:kern w:val="0"/>
                <w:sz w:val="21"/>
                <w:szCs w:val="72"/>
                <w:lang w:val="en-US" w:eastAsia="zh-CN"/>
              </w:rPr>
              <w:t>表4-</w:t>
            </w:r>
            <w:r>
              <w:rPr>
                <w:rFonts w:hint="eastAsia" w:ascii="Times New Roman" w:hAnsi="Times New Roman" w:eastAsia="宋体" w:cs="Times New Roman"/>
                <w:b/>
                <w:bCs/>
                <w:snapToGrid w:val="0"/>
                <w:color w:val="auto"/>
                <w:spacing w:val="8"/>
                <w:kern w:val="0"/>
                <w:sz w:val="21"/>
                <w:szCs w:val="72"/>
                <w:lang w:val="en-US" w:eastAsia="zh-CN"/>
              </w:rPr>
              <w:t>10</w:t>
            </w:r>
            <w:r>
              <w:rPr>
                <w:rFonts w:hint="default" w:ascii="Times New Roman" w:hAnsi="Times New Roman" w:eastAsia="宋体" w:cs="Times New Roman"/>
                <w:b/>
                <w:bCs/>
                <w:snapToGrid w:val="0"/>
                <w:color w:val="auto"/>
                <w:spacing w:val="8"/>
                <w:kern w:val="0"/>
                <w:sz w:val="21"/>
                <w:szCs w:val="72"/>
                <w:lang w:val="en-US" w:eastAsia="zh-CN"/>
              </w:rPr>
              <w:t xml:space="preserve">   声环境保护目标噪声预测结果与达标分析表</w:t>
            </w:r>
          </w:p>
          <w:tbl>
            <w:tblPr>
              <w:tblStyle w:val="15"/>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
              <w:gridCol w:w="1235"/>
              <w:gridCol w:w="638"/>
              <w:gridCol w:w="638"/>
              <w:gridCol w:w="638"/>
              <w:gridCol w:w="638"/>
              <w:gridCol w:w="638"/>
              <w:gridCol w:w="638"/>
              <w:gridCol w:w="638"/>
              <w:gridCol w:w="638"/>
              <w:gridCol w:w="695"/>
              <w:gridCol w:w="717"/>
            </w:tblGrid>
            <w:tr w14:paraId="104F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32" w:type="pct"/>
                  <w:noWrap w:val="0"/>
                  <w:vAlign w:val="center"/>
                </w:tcPr>
                <w:p w14:paraId="0379EADC">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759" w:type="pct"/>
                  <w:noWrap w:val="0"/>
                  <w:vAlign w:val="top"/>
                </w:tcPr>
                <w:p w14:paraId="791970D1">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声环境保护目标名称</w:t>
                  </w:r>
                </w:p>
              </w:tc>
              <w:tc>
                <w:tcPr>
                  <w:tcW w:w="784" w:type="pct"/>
                  <w:gridSpan w:val="2"/>
                  <w:noWrap w:val="0"/>
                  <w:vAlign w:val="center"/>
                </w:tcPr>
                <w:p w14:paraId="1280725A">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噪声背景值</w:t>
                  </w:r>
                </w:p>
                <w:p w14:paraId="26C62F91">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/dB</w:t>
                  </w:r>
                  <w:r>
                    <w:rPr>
                      <w:rFonts w:hint="eastAsia" w:cs="Times New Roman"/>
                      <w:b/>
                      <w:bCs w:val="0"/>
                      <w:color w:val="auto"/>
                      <w:sz w:val="21"/>
                      <w:szCs w:val="21"/>
                      <w:lang w:val="en-US" w:eastAsia="zh-CN"/>
                    </w:rPr>
                    <w:t>(</w:t>
                  </w:r>
                  <w:r>
                    <w:rPr>
                      <w:rFonts w:hint="default" w:ascii="Times New Roman" w:hAnsi="Times New Roman" w:eastAsia="宋体" w:cs="Times New Roman"/>
                      <w:b/>
                      <w:bCs w:val="0"/>
                      <w:color w:val="auto"/>
                      <w:sz w:val="21"/>
                      <w:szCs w:val="21"/>
                      <w:lang w:val="en-US" w:eastAsia="zh-CN"/>
                    </w:rPr>
                    <w:t>A）</w:t>
                  </w:r>
                </w:p>
              </w:tc>
              <w:tc>
                <w:tcPr>
                  <w:tcW w:w="784" w:type="pct"/>
                  <w:gridSpan w:val="2"/>
                  <w:noWrap w:val="0"/>
                  <w:vAlign w:val="center"/>
                </w:tcPr>
                <w:p w14:paraId="3D7C3D99">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噪声标准值/dB（A）</w:t>
                  </w:r>
                </w:p>
              </w:tc>
              <w:tc>
                <w:tcPr>
                  <w:tcW w:w="784" w:type="pct"/>
                  <w:gridSpan w:val="2"/>
                  <w:noWrap w:val="0"/>
                  <w:vAlign w:val="center"/>
                </w:tcPr>
                <w:p w14:paraId="3DA9C500">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噪声贡献值/dB（A）</w:t>
                  </w:r>
                </w:p>
              </w:tc>
              <w:tc>
                <w:tcPr>
                  <w:tcW w:w="784" w:type="pct"/>
                  <w:gridSpan w:val="2"/>
                  <w:noWrap w:val="0"/>
                  <w:vAlign w:val="center"/>
                </w:tcPr>
                <w:p w14:paraId="65686625">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w:t>
                  </w:r>
                  <w:r>
                    <w:rPr>
                      <w:rFonts w:hint="eastAsia" w:cs="Times New Roman"/>
                      <w:b/>
                      <w:bCs w:val="0"/>
                      <w:color w:val="auto"/>
                      <w:sz w:val="21"/>
                      <w:szCs w:val="21"/>
                      <w:highlight w:val="none"/>
                      <w:lang w:val="en-US" w:eastAsia="zh-CN"/>
                    </w:rPr>
                    <w:t>预测</w:t>
                  </w:r>
                  <w:r>
                    <w:rPr>
                      <w:rFonts w:hint="default" w:ascii="Times New Roman" w:hAnsi="Times New Roman" w:eastAsia="宋体" w:cs="Times New Roman"/>
                      <w:b/>
                      <w:bCs w:val="0"/>
                      <w:color w:val="auto"/>
                      <w:sz w:val="21"/>
                      <w:szCs w:val="21"/>
                      <w:highlight w:val="none"/>
                      <w:lang w:val="en-US" w:eastAsia="zh-CN"/>
                    </w:rPr>
                    <w:t>值/dB（A）</w:t>
                  </w:r>
                </w:p>
              </w:tc>
              <w:tc>
                <w:tcPr>
                  <w:tcW w:w="868" w:type="pct"/>
                  <w:gridSpan w:val="2"/>
                  <w:noWrap w:val="0"/>
                  <w:vAlign w:val="center"/>
                </w:tcPr>
                <w:p w14:paraId="0E44F316">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达标情况</w:t>
                  </w:r>
                </w:p>
              </w:tc>
            </w:tr>
            <w:tr w14:paraId="0BFC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232" w:type="pct"/>
                  <w:vMerge w:val="restart"/>
                  <w:noWrap w:val="0"/>
                  <w:vAlign w:val="center"/>
                </w:tcPr>
                <w:p w14:paraId="6D248EBA">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1</w:t>
                  </w:r>
                </w:p>
              </w:tc>
              <w:tc>
                <w:tcPr>
                  <w:tcW w:w="759" w:type="pct"/>
                  <w:vMerge w:val="restart"/>
                  <w:noWrap w:val="0"/>
                  <w:vAlign w:val="center"/>
                </w:tcPr>
                <w:p w14:paraId="23DCD082">
                  <w:pPr>
                    <w:widowControl w:val="0"/>
                    <w:kinsoku w:val="0"/>
                    <w:autoSpaceDE w:val="0"/>
                    <w:autoSpaceDN w:val="0"/>
                    <w:bidi w:val="0"/>
                    <w:adjustRightInd/>
                    <w:snapToGrid/>
                    <w:spacing w:line="240" w:lineRule="auto"/>
                    <w:jc w:val="center"/>
                    <w:textAlignment w:val="baseline"/>
                    <w:rPr>
                      <w:rFonts w:hint="default" w:ascii="Times New Roman" w:hAnsi="Times New Roman" w:eastAsia="宋体" w:cs="Times New Roman"/>
                      <w:bCs/>
                      <w:snapToGrid w:val="0"/>
                      <w:color w:val="auto"/>
                      <w:spacing w:val="8"/>
                      <w:kern w:val="0"/>
                      <w:sz w:val="21"/>
                      <w:szCs w:val="21"/>
                      <w:lang w:val="en-US" w:eastAsia="zh-CN"/>
                    </w:rPr>
                  </w:pPr>
                  <w:r>
                    <w:rPr>
                      <w:rFonts w:hint="eastAsia" w:cs="Times New Roman"/>
                      <w:bCs/>
                      <w:snapToGrid w:val="0"/>
                      <w:color w:val="auto"/>
                      <w:spacing w:val="8"/>
                      <w:kern w:val="0"/>
                      <w:sz w:val="21"/>
                      <w:szCs w:val="21"/>
                      <w:lang w:val="en-US" w:eastAsia="zh-CN"/>
                    </w:rPr>
                    <w:t>金梦花园3号楼</w:t>
                  </w:r>
                </w:p>
              </w:tc>
              <w:tc>
                <w:tcPr>
                  <w:tcW w:w="392" w:type="pct"/>
                  <w:noWrap w:val="0"/>
                  <w:vAlign w:val="center"/>
                </w:tcPr>
                <w:p w14:paraId="57615144">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92" w:type="pct"/>
                  <w:noWrap w:val="0"/>
                  <w:vAlign w:val="center"/>
                </w:tcPr>
                <w:p w14:paraId="507EA9A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92" w:type="pct"/>
                  <w:noWrap w:val="0"/>
                  <w:vAlign w:val="center"/>
                </w:tcPr>
                <w:p w14:paraId="72191ADF">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92" w:type="pct"/>
                  <w:noWrap w:val="0"/>
                  <w:vAlign w:val="center"/>
                </w:tcPr>
                <w:p w14:paraId="2C0A960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92" w:type="pct"/>
                  <w:noWrap w:val="0"/>
                  <w:vAlign w:val="center"/>
                </w:tcPr>
                <w:p w14:paraId="68199B2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92" w:type="pct"/>
                  <w:noWrap w:val="0"/>
                  <w:vAlign w:val="center"/>
                </w:tcPr>
                <w:p w14:paraId="7A63D65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92" w:type="pct"/>
                  <w:noWrap w:val="0"/>
                  <w:vAlign w:val="center"/>
                </w:tcPr>
                <w:p w14:paraId="45FD17C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92" w:type="pct"/>
                  <w:noWrap w:val="0"/>
                  <w:vAlign w:val="center"/>
                </w:tcPr>
                <w:p w14:paraId="0DAF196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27" w:type="pct"/>
                  <w:noWrap w:val="0"/>
                  <w:vAlign w:val="center"/>
                </w:tcPr>
                <w:p w14:paraId="06718073">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441" w:type="pct"/>
                  <w:noWrap w:val="0"/>
                  <w:vAlign w:val="center"/>
                </w:tcPr>
                <w:p w14:paraId="20ACA67D">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r>
            <w:tr w14:paraId="48F2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232" w:type="pct"/>
                  <w:vMerge w:val="continue"/>
                  <w:noWrap w:val="0"/>
                  <w:vAlign w:val="top"/>
                </w:tcPr>
                <w:p w14:paraId="4105DB56">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759" w:type="pct"/>
                  <w:vMerge w:val="continue"/>
                  <w:noWrap w:val="0"/>
                  <w:vAlign w:val="top"/>
                </w:tcPr>
                <w:p w14:paraId="70EE1D4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392" w:type="pct"/>
                  <w:noWrap w:val="0"/>
                  <w:vAlign w:val="center"/>
                </w:tcPr>
                <w:p w14:paraId="5E4B207A">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54</w:t>
                  </w:r>
                </w:p>
              </w:tc>
              <w:tc>
                <w:tcPr>
                  <w:tcW w:w="392" w:type="pct"/>
                  <w:noWrap w:val="0"/>
                  <w:vAlign w:val="center"/>
                </w:tcPr>
                <w:p w14:paraId="58BE687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46</w:t>
                  </w:r>
                </w:p>
              </w:tc>
              <w:tc>
                <w:tcPr>
                  <w:tcW w:w="392" w:type="pct"/>
                  <w:noWrap w:val="0"/>
                  <w:vAlign w:val="center"/>
                </w:tcPr>
                <w:p w14:paraId="14903E9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392" w:type="pct"/>
                  <w:noWrap w:val="0"/>
                  <w:vAlign w:val="center"/>
                </w:tcPr>
                <w:p w14:paraId="1D24D59A">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392" w:type="pct"/>
                  <w:noWrap w:val="0"/>
                  <w:vAlign w:val="center"/>
                </w:tcPr>
                <w:p w14:paraId="5A6A52CC">
                  <w:pPr>
                    <w:widowControl w:val="0"/>
                    <w:snapToGrid w:val="0"/>
                    <w:spacing w:line="240" w:lineRule="auto"/>
                    <w:ind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22</w:t>
                  </w:r>
                </w:p>
              </w:tc>
              <w:tc>
                <w:tcPr>
                  <w:tcW w:w="392" w:type="pct"/>
                  <w:noWrap w:val="0"/>
                  <w:vAlign w:val="center"/>
                </w:tcPr>
                <w:p w14:paraId="1FD4BF38">
                  <w:pPr>
                    <w:widowControl w:val="0"/>
                    <w:snapToGrid w:val="0"/>
                    <w:spacing w:line="240" w:lineRule="auto"/>
                    <w:ind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14</w:t>
                  </w:r>
                </w:p>
              </w:tc>
              <w:tc>
                <w:tcPr>
                  <w:tcW w:w="392" w:type="pct"/>
                  <w:noWrap w:val="0"/>
                  <w:vAlign w:val="center"/>
                </w:tcPr>
                <w:p w14:paraId="68A48F9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54</w:t>
                  </w:r>
                </w:p>
              </w:tc>
              <w:tc>
                <w:tcPr>
                  <w:tcW w:w="392" w:type="pct"/>
                  <w:noWrap w:val="0"/>
                  <w:vAlign w:val="center"/>
                </w:tcPr>
                <w:p w14:paraId="691E58D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46</w:t>
                  </w:r>
                </w:p>
              </w:tc>
              <w:tc>
                <w:tcPr>
                  <w:tcW w:w="427" w:type="pct"/>
                  <w:noWrap w:val="0"/>
                  <w:vAlign w:val="center"/>
                </w:tcPr>
                <w:p w14:paraId="391A1943">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441" w:type="pct"/>
                  <w:noWrap w:val="0"/>
                  <w:vAlign w:val="center"/>
                </w:tcPr>
                <w:p w14:paraId="4F59632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bl>
          <w:p w14:paraId="268DFFA6">
            <w:pPr>
              <w:kinsoku w:val="0"/>
              <w:autoSpaceDE w:val="0"/>
              <w:autoSpaceDN w:val="0"/>
              <w:bidi w:val="0"/>
              <w:adjustRightInd/>
              <w:snapToGrid/>
              <w:spacing w:line="360" w:lineRule="auto"/>
              <w:ind w:firstLine="512" w:firstLineChars="200"/>
              <w:jc w:val="left"/>
              <w:textAlignment w:val="baseline"/>
              <w:rPr>
                <w:rFonts w:hint="default" w:ascii="Times New Roman" w:hAnsi="Times New Roman" w:eastAsia="宋体" w:cs="Times New Roman"/>
                <w:bCs/>
                <w:snapToGrid w:val="0"/>
                <w:color w:val="auto"/>
                <w:spacing w:val="8"/>
                <w:kern w:val="0"/>
                <w:sz w:val="24"/>
                <w:szCs w:val="72"/>
                <w:lang w:val="en-US" w:eastAsia="zh-CN"/>
              </w:rPr>
            </w:pPr>
            <w:r>
              <w:rPr>
                <w:rFonts w:hint="default" w:ascii="Times New Roman" w:hAnsi="Times New Roman" w:eastAsia="宋体" w:cs="Times New Roman"/>
                <w:bCs/>
                <w:snapToGrid w:val="0"/>
                <w:color w:val="auto"/>
                <w:spacing w:val="8"/>
                <w:kern w:val="0"/>
                <w:sz w:val="24"/>
                <w:szCs w:val="72"/>
                <w:lang w:val="en-US" w:eastAsia="zh-CN"/>
              </w:rPr>
              <w:t>根据噪声预测，建成后项目各厂界噪声预测结果见表4-</w:t>
            </w:r>
            <w:r>
              <w:rPr>
                <w:rFonts w:hint="eastAsia" w:ascii="Times New Roman" w:hAnsi="Times New Roman" w:eastAsia="宋体" w:cs="Times New Roman"/>
                <w:bCs/>
                <w:snapToGrid w:val="0"/>
                <w:color w:val="auto"/>
                <w:spacing w:val="8"/>
                <w:kern w:val="0"/>
                <w:sz w:val="24"/>
                <w:szCs w:val="72"/>
                <w:lang w:val="en-US" w:eastAsia="zh-CN"/>
              </w:rPr>
              <w:t>11</w:t>
            </w:r>
            <w:r>
              <w:rPr>
                <w:rFonts w:hint="default" w:ascii="Times New Roman" w:hAnsi="Times New Roman" w:eastAsia="宋体" w:cs="Times New Roman"/>
                <w:bCs/>
                <w:snapToGrid w:val="0"/>
                <w:color w:val="auto"/>
                <w:spacing w:val="8"/>
                <w:kern w:val="0"/>
                <w:sz w:val="24"/>
                <w:szCs w:val="72"/>
                <w:lang w:val="en-US" w:eastAsia="zh-CN"/>
              </w:rPr>
              <w:t>：</w:t>
            </w:r>
          </w:p>
          <w:p w14:paraId="5932177E">
            <w:pPr>
              <w:pStyle w:val="22"/>
              <w:bidi w:val="0"/>
              <w:rPr>
                <w:rFonts w:hint="default" w:ascii="Times New Roman" w:hAnsi="Times New Roman" w:eastAsia="宋体" w:cs="Times New Roman"/>
                <w:b/>
                <w:bCs/>
                <w:color w:val="auto"/>
                <w:szCs w:val="21"/>
                <w:lang w:val="en-US" w:eastAsia="zh-CN"/>
              </w:rPr>
            </w:pPr>
            <w:r>
              <w:rPr>
                <w:rFonts w:hint="default" w:ascii="Times New Roman" w:hAnsi="Times New Roman" w:cs="Times New Roman"/>
                <w:color w:val="auto"/>
                <w:lang w:val="en-US" w:eastAsia="zh-CN"/>
              </w:rPr>
              <w:t>表4-</w:t>
            </w:r>
            <w:r>
              <w:rPr>
                <w:rFonts w:hint="eastAsia" w:cs="Times New Roman"/>
                <w:color w:val="auto"/>
                <w:lang w:val="en-US" w:eastAsia="zh-CN"/>
              </w:rPr>
              <w:t>11</w:t>
            </w:r>
            <w:r>
              <w:rPr>
                <w:rFonts w:hint="default" w:ascii="Times New Roman" w:hAnsi="Times New Roman" w:cs="Times New Roman"/>
                <w:color w:val="auto"/>
                <w:lang w:val="en-US" w:eastAsia="zh-CN"/>
              </w:rPr>
              <w:t xml:space="preserve">  厂界噪声预测结果一览表</w:t>
            </w: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4"/>
              <w:gridCol w:w="1320"/>
              <w:gridCol w:w="581"/>
              <w:gridCol w:w="842"/>
              <w:gridCol w:w="664"/>
              <w:gridCol w:w="579"/>
              <w:gridCol w:w="687"/>
              <w:gridCol w:w="597"/>
              <w:gridCol w:w="607"/>
              <w:gridCol w:w="596"/>
              <w:gridCol w:w="591"/>
              <w:gridCol w:w="616"/>
            </w:tblGrid>
            <w:tr w14:paraId="3994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79" w:type="pct"/>
                  <w:vMerge w:val="restart"/>
                  <w:noWrap w:val="0"/>
                  <w:vAlign w:val="center"/>
                </w:tcPr>
                <w:p w14:paraId="42FC2A2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811" w:type="pct"/>
                  <w:vMerge w:val="restart"/>
                  <w:noWrap w:val="0"/>
                  <w:vAlign w:val="center"/>
                </w:tcPr>
                <w:p w14:paraId="21824770">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声环境保护目标名称</w:t>
                  </w:r>
                </w:p>
              </w:tc>
              <w:tc>
                <w:tcPr>
                  <w:tcW w:w="874" w:type="pct"/>
                  <w:gridSpan w:val="2"/>
                  <w:noWrap w:val="0"/>
                  <w:vAlign w:val="center"/>
                </w:tcPr>
                <w:p w14:paraId="18792556">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噪声背景值/dB（A）</w:t>
                  </w:r>
                </w:p>
              </w:tc>
              <w:tc>
                <w:tcPr>
                  <w:tcW w:w="764" w:type="pct"/>
                  <w:gridSpan w:val="2"/>
                  <w:noWrap w:val="0"/>
                  <w:vAlign w:val="center"/>
                </w:tcPr>
                <w:p w14:paraId="4FC195A9">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噪声贡献值/dB（A）</w:t>
                  </w:r>
                </w:p>
              </w:tc>
              <w:tc>
                <w:tcPr>
                  <w:tcW w:w="789" w:type="pct"/>
                  <w:gridSpan w:val="2"/>
                  <w:noWrap w:val="0"/>
                  <w:vAlign w:val="center"/>
                </w:tcPr>
                <w:p w14:paraId="44EC9EBF">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w:t>
                  </w:r>
                  <w:r>
                    <w:rPr>
                      <w:rFonts w:hint="eastAsia" w:cs="Times New Roman"/>
                      <w:b/>
                      <w:bCs w:val="0"/>
                      <w:color w:val="auto"/>
                      <w:sz w:val="21"/>
                      <w:szCs w:val="21"/>
                      <w:highlight w:val="none"/>
                      <w:lang w:val="en-US" w:eastAsia="zh-CN"/>
                    </w:rPr>
                    <w:t>预测值</w:t>
                  </w:r>
                  <w:r>
                    <w:rPr>
                      <w:rFonts w:hint="default" w:ascii="Times New Roman" w:hAnsi="Times New Roman" w:eastAsia="宋体" w:cs="Times New Roman"/>
                      <w:b/>
                      <w:bCs w:val="0"/>
                      <w:color w:val="auto"/>
                      <w:sz w:val="21"/>
                      <w:szCs w:val="21"/>
                      <w:highlight w:val="none"/>
                      <w:lang w:val="en-US" w:eastAsia="zh-CN"/>
                    </w:rPr>
                    <w:t>/dB（A）</w:t>
                  </w:r>
                </w:p>
              </w:tc>
              <w:tc>
                <w:tcPr>
                  <w:tcW w:w="739" w:type="pct"/>
                  <w:gridSpan w:val="2"/>
                  <w:shd w:val="clear" w:color="auto" w:fill="auto"/>
                  <w:noWrap w:val="0"/>
                  <w:vAlign w:val="center"/>
                </w:tcPr>
                <w:p w14:paraId="5EA99CFC">
                  <w:pPr>
                    <w:widowControl w:val="0"/>
                    <w:snapToGrid w:val="0"/>
                    <w:spacing w:line="240" w:lineRule="auto"/>
                    <w:ind w:firstLine="0" w:firstLineChars="0"/>
                    <w:jc w:val="center"/>
                    <w:rPr>
                      <w:rFonts w:hint="default" w:ascii="Times New Roman" w:hAnsi="Times New Roman" w:eastAsia="宋体" w:cs="Times New Roman"/>
                      <w:b/>
                      <w:bCs w:val="0"/>
                      <w:snapToGrid w:val="0"/>
                      <w:color w:val="auto"/>
                      <w:kern w:val="0"/>
                      <w:sz w:val="21"/>
                      <w:szCs w:val="21"/>
                      <w:lang w:val="en-US" w:eastAsia="zh-CN"/>
                    </w:rPr>
                  </w:pPr>
                  <w:r>
                    <w:rPr>
                      <w:rFonts w:hint="default" w:ascii="Times New Roman" w:hAnsi="Times New Roman" w:eastAsia="宋体" w:cs="Times New Roman"/>
                      <w:b/>
                      <w:bCs w:val="0"/>
                      <w:color w:val="auto"/>
                      <w:sz w:val="21"/>
                      <w:szCs w:val="21"/>
                      <w:lang w:val="en-US" w:eastAsia="zh-CN"/>
                    </w:rPr>
                    <w:t>噪声标准值/dB（A）</w:t>
                  </w:r>
                </w:p>
              </w:tc>
              <w:tc>
                <w:tcPr>
                  <w:tcW w:w="741" w:type="pct"/>
                  <w:gridSpan w:val="2"/>
                  <w:noWrap w:val="0"/>
                  <w:vAlign w:val="center"/>
                </w:tcPr>
                <w:p w14:paraId="2729B343">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达标情况</w:t>
                  </w:r>
                </w:p>
              </w:tc>
            </w:tr>
            <w:tr w14:paraId="505A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79" w:type="pct"/>
                  <w:vMerge w:val="continue"/>
                  <w:noWrap w:val="0"/>
                  <w:vAlign w:val="center"/>
                </w:tcPr>
                <w:p w14:paraId="72D7390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811" w:type="pct"/>
                  <w:vMerge w:val="continue"/>
                  <w:noWrap w:val="0"/>
                  <w:vAlign w:val="center"/>
                </w:tcPr>
                <w:p w14:paraId="52F82BD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357" w:type="pct"/>
                  <w:noWrap w:val="0"/>
                  <w:vAlign w:val="center"/>
                </w:tcPr>
                <w:p w14:paraId="52D6402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517" w:type="pct"/>
                  <w:noWrap w:val="0"/>
                  <w:vAlign w:val="center"/>
                </w:tcPr>
                <w:p w14:paraId="03AAE497">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08" w:type="pct"/>
                  <w:noWrap w:val="0"/>
                  <w:vAlign w:val="center"/>
                </w:tcPr>
                <w:p w14:paraId="442AF46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55" w:type="pct"/>
                  <w:noWrap w:val="0"/>
                  <w:vAlign w:val="center"/>
                </w:tcPr>
                <w:p w14:paraId="4CF348B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22" w:type="pct"/>
                  <w:noWrap w:val="0"/>
                  <w:vAlign w:val="center"/>
                </w:tcPr>
                <w:p w14:paraId="6E53B87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66" w:type="pct"/>
                  <w:noWrap w:val="0"/>
                  <w:vAlign w:val="center"/>
                </w:tcPr>
                <w:p w14:paraId="349ED79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73" w:type="pct"/>
                  <w:noWrap w:val="0"/>
                  <w:vAlign w:val="center"/>
                </w:tcPr>
                <w:p w14:paraId="1C1212E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66" w:type="pct"/>
                  <w:noWrap w:val="0"/>
                  <w:vAlign w:val="center"/>
                </w:tcPr>
                <w:p w14:paraId="4936C6F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63" w:type="pct"/>
                  <w:noWrap w:val="0"/>
                  <w:vAlign w:val="center"/>
                </w:tcPr>
                <w:p w14:paraId="19FEC45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78" w:type="pct"/>
                  <w:noWrap w:val="0"/>
                  <w:vAlign w:val="center"/>
                </w:tcPr>
                <w:p w14:paraId="6EE2150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r>
            <w:tr w14:paraId="211F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2623458F">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w:t>
                  </w:r>
                </w:p>
              </w:tc>
              <w:tc>
                <w:tcPr>
                  <w:tcW w:w="811" w:type="pct"/>
                  <w:shd w:val="clear" w:color="auto" w:fill="auto"/>
                  <w:noWrap w:val="0"/>
                  <w:vAlign w:val="center"/>
                </w:tcPr>
                <w:p w14:paraId="5E60DB42">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厂界东侧</w:t>
                  </w:r>
                </w:p>
              </w:tc>
              <w:tc>
                <w:tcPr>
                  <w:tcW w:w="581" w:type="dxa"/>
                  <w:shd w:val="clear" w:color="auto" w:fill="auto"/>
                  <w:noWrap w:val="0"/>
                  <w:vAlign w:val="center"/>
                </w:tcPr>
                <w:p w14:paraId="298674CC">
                  <w:pPr>
                    <w:pStyle w:val="28"/>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olor w:val="000000" w:themeColor="text1"/>
                      <w:lang w:val="en-US" w:eastAsia="zh-CN"/>
                      <w14:textFill>
                        <w14:solidFill>
                          <w14:schemeClr w14:val="tx1"/>
                        </w14:solidFill>
                      </w14:textFill>
                    </w:rPr>
                    <w:t>52</w:t>
                  </w:r>
                </w:p>
              </w:tc>
              <w:tc>
                <w:tcPr>
                  <w:tcW w:w="842" w:type="dxa"/>
                  <w:shd w:val="clear" w:color="auto" w:fill="auto"/>
                  <w:noWrap w:val="0"/>
                  <w:vAlign w:val="center"/>
                </w:tcPr>
                <w:p w14:paraId="03816AA7">
                  <w:pPr>
                    <w:pStyle w:val="28"/>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olor w:val="000000" w:themeColor="text1"/>
                      <w:lang w:val="en-US" w:eastAsia="zh-CN"/>
                      <w14:textFill>
                        <w14:solidFill>
                          <w14:schemeClr w14:val="tx1"/>
                        </w14:solidFill>
                      </w14:textFill>
                    </w:rPr>
                    <w:t>45</w:t>
                  </w:r>
                </w:p>
              </w:tc>
              <w:tc>
                <w:tcPr>
                  <w:tcW w:w="408" w:type="pct"/>
                  <w:shd w:val="clear" w:color="auto" w:fill="auto"/>
                  <w:noWrap w:val="0"/>
                  <w:vAlign w:val="center"/>
                </w:tcPr>
                <w:p w14:paraId="26DEED53">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52</w:t>
                  </w:r>
                </w:p>
              </w:tc>
              <w:tc>
                <w:tcPr>
                  <w:tcW w:w="355" w:type="pct"/>
                  <w:shd w:val="clear" w:color="auto" w:fill="auto"/>
                  <w:noWrap w:val="0"/>
                  <w:vAlign w:val="center"/>
                </w:tcPr>
                <w:p w14:paraId="42CA9C28">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44</w:t>
                  </w:r>
                </w:p>
              </w:tc>
              <w:tc>
                <w:tcPr>
                  <w:tcW w:w="422" w:type="pct"/>
                  <w:shd w:val="clear" w:color="auto" w:fill="auto"/>
                  <w:noWrap w:val="0"/>
                  <w:vAlign w:val="center"/>
                </w:tcPr>
                <w:p w14:paraId="18C54E36">
                  <w:pPr>
                    <w:pStyle w:val="28"/>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55</w:t>
                  </w:r>
                </w:p>
              </w:tc>
              <w:tc>
                <w:tcPr>
                  <w:tcW w:w="366" w:type="pct"/>
                  <w:shd w:val="clear" w:color="auto" w:fill="auto"/>
                  <w:noWrap w:val="0"/>
                  <w:vAlign w:val="center"/>
                </w:tcPr>
                <w:p w14:paraId="4AA84547">
                  <w:pPr>
                    <w:pStyle w:val="28"/>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48</w:t>
                  </w:r>
                </w:p>
              </w:tc>
              <w:tc>
                <w:tcPr>
                  <w:tcW w:w="373" w:type="pct"/>
                  <w:shd w:val="clear" w:color="auto" w:fill="auto"/>
                  <w:noWrap w:val="0"/>
                  <w:vAlign w:val="center"/>
                </w:tcPr>
                <w:p w14:paraId="2F73DF3D">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366" w:type="pct"/>
                  <w:shd w:val="clear" w:color="auto" w:fill="auto"/>
                  <w:noWrap w:val="0"/>
                  <w:vAlign w:val="center"/>
                </w:tcPr>
                <w:p w14:paraId="7F0BC575">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363" w:type="pct"/>
                  <w:shd w:val="clear" w:color="auto" w:fill="auto"/>
                  <w:noWrap w:val="0"/>
                  <w:vAlign w:val="center"/>
                </w:tcPr>
                <w:p w14:paraId="1AD7DA89">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799377C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4634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4C91C6BD">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c>
                <w:tcPr>
                  <w:tcW w:w="811" w:type="pct"/>
                  <w:shd w:val="clear" w:color="auto" w:fill="auto"/>
                  <w:noWrap w:val="0"/>
                  <w:vAlign w:val="center"/>
                </w:tcPr>
                <w:p w14:paraId="7B58200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厂界南侧</w:t>
                  </w:r>
                </w:p>
              </w:tc>
              <w:tc>
                <w:tcPr>
                  <w:tcW w:w="581" w:type="dxa"/>
                  <w:shd w:val="clear" w:color="auto" w:fill="auto"/>
                  <w:noWrap w:val="0"/>
                  <w:vAlign w:val="center"/>
                </w:tcPr>
                <w:p w14:paraId="77DB3522">
                  <w:pPr>
                    <w:pStyle w:val="28"/>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olor w:val="000000" w:themeColor="text1"/>
                      <w:lang w:val="en-US" w:eastAsia="zh-CN"/>
                      <w14:textFill>
                        <w14:solidFill>
                          <w14:schemeClr w14:val="tx1"/>
                        </w14:solidFill>
                      </w14:textFill>
                    </w:rPr>
                    <w:t>51</w:t>
                  </w:r>
                </w:p>
              </w:tc>
              <w:tc>
                <w:tcPr>
                  <w:tcW w:w="842" w:type="dxa"/>
                  <w:shd w:val="clear" w:color="auto" w:fill="auto"/>
                  <w:noWrap w:val="0"/>
                  <w:vAlign w:val="center"/>
                </w:tcPr>
                <w:p w14:paraId="047503AD">
                  <w:pPr>
                    <w:pStyle w:val="28"/>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olor w:val="000000" w:themeColor="text1"/>
                      <w:lang w:val="en-US" w:eastAsia="zh-CN"/>
                      <w14:textFill>
                        <w14:solidFill>
                          <w14:schemeClr w14:val="tx1"/>
                        </w14:solidFill>
                      </w14:textFill>
                    </w:rPr>
                    <w:t>44</w:t>
                  </w:r>
                </w:p>
              </w:tc>
              <w:tc>
                <w:tcPr>
                  <w:tcW w:w="408" w:type="pct"/>
                  <w:shd w:val="clear" w:color="auto" w:fill="auto"/>
                  <w:noWrap w:val="0"/>
                  <w:vAlign w:val="center"/>
                </w:tcPr>
                <w:p w14:paraId="086AFBE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47</w:t>
                  </w:r>
                </w:p>
              </w:tc>
              <w:tc>
                <w:tcPr>
                  <w:tcW w:w="355" w:type="pct"/>
                  <w:shd w:val="clear" w:color="auto" w:fill="auto"/>
                  <w:noWrap w:val="0"/>
                  <w:vAlign w:val="center"/>
                </w:tcPr>
                <w:p w14:paraId="629FC8FE">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44</w:t>
                  </w:r>
                </w:p>
              </w:tc>
              <w:tc>
                <w:tcPr>
                  <w:tcW w:w="422" w:type="pct"/>
                  <w:shd w:val="clear" w:color="auto" w:fill="auto"/>
                  <w:noWrap w:val="0"/>
                  <w:vAlign w:val="center"/>
                </w:tcPr>
                <w:p w14:paraId="3D8B77D5">
                  <w:pPr>
                    <w:pStyle w:val="28"/>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52</w:t>
                  </w:r>
                </w:p>
              </w:tc>
              <w:tc>
                <w:tcPr>
                  <w:tcW w:w="366" w:type="pct"/>
                  <w:shd w:val="clear" w:color="auto" w:fill="auto"/>
                  <w:noWrap w:val="0"/>
                  <w:vAlign w:val="center"/>
                </w:tcPr>
                <w:p w14:paraId="3A5703F1">
                  <w:pPr>
                    <w:pStyle w:val="28"/>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47</w:t>
                  </w:r>
                </w:p>
              </w:tc>
              <w:tc>
                <w:tcPr>
                  <w:tcW w:w="373" w:type="pct"/>
                  <w:shd w:val="clear" w:color="auto" w:fill="auto"/>
                  <w:noWrap w:val="0"/>
                  <w:vAlign w:val="center"/>
                </w:tcPr>
                <w:p w14:paraId="48E06816">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366" w:type="pct"/>
                  <w:shd w:val="clear" w:color="auto" w:fill="auto"/>
                  <w:noWrap w:val="0"/>
                  <w:vAlign w:val="center"/>
                </w:tcPr>
                <w:p w14:paraId="7B0B91B5">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363" w:type="pct"/>
                  <w:shd w:val="clear" w:color="auto" w:fill="auto"/>
                  <w:noWrap w:val="0"/>
                  <w:vAlign w:val="center"/>
                </w:tcPr>
                <w:p w14:paraId="10E54F24">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5776090B">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1B89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082316B1">
                  <w:pPr>
                    <w:widowControl w:val="0"/>
                    <w:snapToGrid w:val="0"/>
                    <w:spacing w:line="240" w:lineRule="auto"/>
                    <w:ind w:firstLine="0" w:firstLineChars="0"/>
                    <w:jc w:val="center"/>
                    <w:rPr>
                      <w:rFonts w:hint="default" w:cs="Times New Roman"/>
                      <w:bCs/>
                      <w:color w:val="auto"/>
                      <w:sz w:val="21"/>
                      <w:szCs w:val="21"/>
                      <w:lang w:val="en-US" w:eastAsia="zh-CN"/>
                    </w:rPr>
                  </w:pPr>
                  <w:r>
                    <w:rPr>
                      <w:rFonts w:hint="eastAsia" w:cs="Times New Roman"/>
                      <w:bCs/>
                      <w:color w:val="auto"/>
                      <w:sz w:val="21"/>
                      <w:szCs w:val="21"/>
                      <w:lang w:val="en-US" w:eastAsia="zh-CN"/>
                    </w:rPr>
                    <w:t>3</w:t>
                  </w:r>
                </w:p>
              </w:tc>
              <w:tc>
                <w:tcPr>
                  <w:tcW w:w="811" w:type="pct"/>
                  <w:shd w:val="clear" w:color="auto" w:fill="auto"/>
                  <w:noWrap w:val="0"/>
                  <w:vAlign w:val="center"/>
                </w:tcPr>
                <w:p w14:paraId="4A53321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厂界西侧</w:t>
                  </w:r>
                </w:p>
              </w:tc>
              <w:tc>
                <w:tcPr>
                  <w:tcW w:w="581" w:type="dxa"/>
                  <w:shd w:val="clear" w:color="auto" w:fill="auto"/>
                  <w:noWrap w:val="0"/>
                  <w:vAlign w:val="center"/>
                </w:tcPr>
                <w:p w14:paraId="3669EEB6">
                  <w:pPr>
                    <w:pStyle w:val="28"/>
                    <w:widowControl w:val="0"/>
                    <w:bidi w:val="0"/>
                    <w:rPr>
                      <w:rFonts w:hint="default" w:cs="Times New Roman"/>
                      <w:color w:val="auto"/>
                      <w:highlight w:val="none"/>
                      <w:lang w:val="en-US" w:eastAsia="zh-CN"/>
                    </w:rPr>
                  </w:pPr>
                  <w:r>
                    <w:rPr>
                      <w:rFonts w:hint="eastAsia"/>
                      <w:color w:val="000000" w:themeColor="text1"/>
                      <w:lang w:val="en-US" w:eastAsia="zh-CN"/>
                      <w14:textFill>
                        <w14:solidFill>
                          <w14:schemeClr w14:val="tx1"/>
                        </w14:solidFill>
                      </w14:textFill>
                    </w:rPr>
                    <w:t>52</w:t>
                  </w:r>
                </w:p>
              </w:tc>
              <w:tc>
                <w:tcPr>
                  <w:tcW w:w="842" w:type="dxa"/>
                  <w:shd w:val="clear" w:color="auto" w:fill="auto"/>
                  <w:noWrap w:val="0"/>
                  <w:vAlign w:val="center"/>
                </w:tcPr>
                <w:p w14:paraId="3FA4FD98">
                  <w:pPr>
                    <w:pStyle w:val="28"/>
                    <w:widowControl w:val="0"/>
                    <w:bidi w:val="0"/>
                    <w:rPr>
                      <w:rFonts w:hint="default" w:cs="Times New Roman"/>
                      <w:color w:val="auto"/>
                      <w:highlight w:val="none"/>
                      <w:lang w:val="en-US" w:eastAsia="zh-CN"/>
                    </w:rPr>
                  </w:pPr>
                  <w:r>
                    <w:rPr>
                      <w:rFonts w:hint="eastAsia"/>
                      <w:color w:val="000000" w:themeColor="text1"/>
                      <w:lang w:val="en-US" w:eastAsia="zh-CN"/>
                      <w14:textFill>
                        <w14:solidFill>
                          <w14:schemeClr w14:val="tx1"/>
                        </w14:solidFill>
                      </w14:textFill>
                    </w:rPr>
                    <w:t>48</w:t>
                  </w:r>
                </w:p>
              </w:tc>
              <w:tc>
                <w:tcPr>
                  <w:tcW w:w="408" w:type="pct"/>
                  <w:shd w:val="clear" w:color="auto" w:fill="auto"/>
                  <w:noWrap w:val="0"/>
                  <w:vAlign w:val="center"/>
                </w:tcPr>
                <w:p w14:paraId="4C8D9F20">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snapToGrid w:val="0"/>
                      <w:color w:val="auto"/>
                      <w:kern w:val="0"/>
                      <w:sz w:val="21"/>
                      <w:szCs w:val="21"/>
                      <w:highlight w:val="none"/>
                      <w:lang w:val="en-US" w:eastAsia="zh-CN"/>
                    </w:rPr>
                    <w:t>47</w:t>
                  </w:r>
                </w:p>
              </w:tc>
              <w:tc>
                <w:tcPr>
                  <w:tcW w:w="355" w:type="pct"/>
                  <w:shd w:val="clear" w:color="auto" w:fill="auto"/>
                  <w:noWrap w:val="0"/>
                  <w:vAlign w:val="center"/>
                </w:tcPr>
                <w:p w14:paraId="5FB11FBE">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snapToGrid w:val="0"/>
                      <w:color w:val="auto"/>
                      <w:kern w:val="0"/>
                      <w:sz w:val="21"/>
                      <w:szCs w:val="21"/>
                      <w:highlight w:val="none"/>
                      <w:lang w:val="en-US" w:eastAsia="zh-CN"/>
                    </w:rPr>
                    <w:t>44</w:t>
                  </w:r>
                </w:p>
              </w:tc>
              <w:tc>
                <w:tcPr>
                  <w:tcW w:w="422" w:type="pct"/>
                  <w:shd w:val="clear" w:color="auto" w:fill="auto"/>
                  <w:noWrap w:val="0"/>
                  <w:vAlign w:val="center"/>
                </w:tcPr>
                <w:p w14:paraId="34895E80">
                  <w:pPr>
                    <w:pStyle w:val="28"/>
                    <w:widowControl w:val="0"/>
                    <w:bidi w:val="0"/>
                    <w:rPr>
                      <w:rFonts w:hint="default" w:cs="Times New Roman"/>
                      <w:color w:val="auto"/>
                      <w:highlight w:val="none"/>
                      <w:lang w:val="en-US" w:eastAsia="zh-CN"/>
                    </w:rPr>
                  </w:pPr>
                  <w:r>
                    <w:rPr>
                      <w:rFonts w:hint="eastAsia" w:cs="Times New Roman"/>
                      <w:color w:val="auto"/>
                      <w:highlight w:val="none"/>
                      <w:lang w:val="en-US" w:eastAsia="zh-CN"/>
                    </w:rPr>
                    <w:t>53</w:t>
                  </w:r>
                </w:p>
              </w:tc>
              <w:tc>
                <w:tcPr>
                  <w:tcW w:w="366" w:type="pct"/>
                  <w:shd w:val="clear" w:color="auto" w:fill="auto"/>
                  <w:noWrap w:val="0"/>
                  <w:vAlign w:val="center"/>
                </w:tcPr>
                <w:p w14:paraId="41DA8F00">
                  <w:pPr>
                    <w:pStyle w:val="28"/>
                    <w:widowControl w:val="0"/>
                    <w:bidi w:val="0"/>
                    <w:rPr>
                      <w:rFonts w:hint="default" w:cs="Times New Roman"/>
                      <w:color w:val="auto"/>
                      <w:highlight w:val="none"/>
                      <w:lang w:val="en-US" w:eastAsia="zh-CN"/>
                    </w:rPr>
                  </w:pPr>
                  <w:r>
                    <w:rPr>
                      <w:rFonts w:hint="eastAsia" w:cs="Times New Roman"/>
                      <w:color w:val="auto"/>
                      <w:highlight w:val="none"/>
                      <w:lang w:val="en-US" w:eastAsia="zh-CN"/>
                    </w:rPr>
                    <w:t>49</w:t>
                  </w:r>
                </w:p>
              </w:tc>
              <w:tc>
                <w:tcPr>
                  <w:tcW w:w="373" w:type="pct"/>
                  <w:shd w:val="clear" w:color="auto" w:fill="auto"/>
                  <w:noWrap w:val="0"/>
                  <w:vAlign w:val="center"/>
                </w:tcPr>
                <w:p w14:paraId="5CD1407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366" w:type="pct"/>
                  <w:shd w:val="clear" w:color="auto" w:fill="auto"/>
                  <w:noWrap w:val="0"/>
                  <w:vAlign w:val="center"/>
                </w:tcPr>
                <w:p w14:paraId="53E8C7E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363" w:type="pct"/>
                  <w:shd w:val="clear" w:color="auto" w:fill="auto"/>
                  <w:noWrap w:val="0"/>
                  <w:vAlign w:val="center"/>
                </w:tcPr>
                <w:p w14:paraId="150B51A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357F4EC6">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3B9F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1DCEB1F8">
                  <w:pPr>
                    <w:widowControl w:val="0"/>
                    <w:snapToGrid w:val="0"/>
                    <w:spacing w:line="240" w:lineRule="auto"/>
                    <w:ind w:firstLine="0" w:firstLineChars="0"/>
                    <w:jc w:val="center"/>
                    <w:rPr>
                      <w:rFonts w:hint="default" w:cs="Times New Roman"/>
                      <w:bCs/>
                      <w:color w:val="auto"/>
                      <w:sz w:val="21"/>
                      <w:szCs w:val="21"/>
                      <w:lang w:val="en-US" w:eastAsia="zh-CN"/>
                    </w:rPr>
                  </w:pPr>
                  <w:r>
                    <w:rPr>
                      <w:rFonts w:hint="eastAsia" w:cs="Times New Roman"/>
                      <w:bCs/>
                      <w:color w:val="auto"/>
                      <w:sz w:val="21"/>
                      <w:szCs w:val="21"/>
                      <w:lang w:val="en-US" w:eastAsia="zh-CN"/>
                    </w:rPr>
                    <w:t>4</w:t>
                  </w:r>
                </w:p>
              </w:tc>
              <w:tc>
                <w:tcPr>
                  <w:tcW w:w="811" w:type="pct"/>
                  <w:shd w:val="clear" w:color="auto" w:fill="auto"/>
                  <w:noWrap w:val="0"/>
                  <w:vAlign w:val="center"/>
                </w:tcPr>
                <w:p w14:paraId="08DDC3E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厂界北侧</w:t>
                  </w:r>
                </w:p>
              </w:tc>
              <w:tc>
                <w:tcPr>
                  <w:tcW w:w="581" w:type="dxa"/>
                  <w:shd w:val="clear" w:color="auto" w:fill="auto"/>
                  <w:noWrap w:val="0"/>
                  <w:vAlign w:val="center"/>
                </w:tcPr>
                <w:p w14:paraId="6B37B1E5">
                  <w:pPr>
                    <w:pStyle w:val="28"/>
                    <w:widowControl w:val="0"/>
                    <w:bidi w:val="0"/>
                    <w:rPr>
                      <w:rFonts w:hint="default" w:cs="Times New Roman"/>
                      <w:color w:val="auto"/>
                      <w:highlight w:val="none"/>
                      <w:lang w:val="en-US" w:eastAsia="zh-CN"/>
                    </w:rPr>
                  </w:pPr>
                  <w:r>
                    <w:rPr>
                      <w:rFonts w:hint="eastAsia"/>
                      <w:color w:val="000000" w:themeColor="text1"/>
                      <w:lang w:val="en-US" w:eastAsia="zh-CN"/>
                      <w14:textFill>
                        <w14:solidFill>
                          <w14:schemeClr w14:val="tx1"/>
                        </w14:solidFill>
                      </w14:textFill>
                    </w:rPr>
                    <w:t>51</w:t>
                  </w:r>
                </w:p>
              </w:tc>
              <w:tc>
                <w:tcPr>
                  <w:tcW w:w="842" w:type="dxa"/>
                  <w:shd w:val="clear" w:color="auto" w:fill="auto"/>
                  <w:noWrap w:val="0"/>
                  <w:vAlign w:val="center"/>
                </w:tcPr>
                <w:p w14:paraId="4B944D30">
                  <w:pPr>
                    <w:pStyle w:val="28"/>
                    <w:widowControl w:val="0"/>
                    <w:bidi w:val="0"/>
                    <w:rPr>
                      <w:rFonts w:hint="default" w:cs="Times New Roman"/>
                      <w:color w:val="auto"/>
                      <w:highlight w:val="none"/>
                      <w:lang w:val="en-US" w:eastAsia="zh-CN"/>
                    </w:rPr>
                  </w:pPr>
                  <w:r>
                    <w:rPr>
                      <w:rFonts w:hint="eastAsia"/>
                      <w:color w:val="000000" w:themeColor="text1"/>
                      <w:lang w:val="en-US" w:eastAsia="zh-CN"/>
                      <w14:textFill>
                        <w14:solidFill>
                          <w14:schemeClr w14:val="tx1"/>
                        </w14:solidFill>
                      </w14:textFill>
                    </w:rPr>
                    <w:t>44</w:t>
                  </w:r>
                </w:p>
              </w:tc>
              <w:tc>
                <w:tcPr>
                  <w:tcW w:w="408" w:type="pct"/>
                  <w:shd w:val="clear" w:color="auto" w:fill="auto"/>
                  <w:noWrap w:val="0"/>
                  <w:vAlign w:val="center"/>
                </w:tcPr>
                <w:p w14:paraId="2428E1A2">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47</w:t>
                  </w:r>
                </w:p>
              </w:tc>
              <w:tc>
                <w:tcPr>
                  <w:tcW w:w="355" w:type="pct"/>
                  <w:shd w:val="clear" w:color="auto" w:fill="auto"/>
                  <w:noWrap w:val="0"/>
                  <w:vAlign w:val="center"/>
                </w:tcPr>
                <w:p w14:paraId="2DD7D75B">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44</w:t>
                  </w:r>
                </w:p>
              </w:tc>
              <w:tc>
                <w:tcPr>
                  <w:tcW w:w="422" w:type="pct"/>
                  <w:shd w:val="clear" w:color="auto" w:fill="auto"/>
                  <w:noWrap w:val="0"/>
                  <w:vAlign w:val="center"/>
                </w:tcPr>
                <w:p w14:paraId="70857694">
                  <w:pPr>
                    <w:pStyle w:val="28"/>
                    <w:widowControl w:val="0"/>
                    <w:bidi w:val="0"/>
                    <w:rPr>
                      <w:rFonts w:hint="default" w:cs="Times New Roman"/>
                      <w:color w:val="auto"/>
                      <w:highlight w:val="none"/>
                      <w:lang w:val="en-US" w:eastAsia="zh-CN"/>
                    </w:rPr>
                  </w:pPr>
                  <w:r>
                    <w:rPr>
                      <w:rFonts w:hint="eastAsia" w:cs="Times New Roman"/>
                      <w:color w:val="auto"/>
                      <w:highlight w:val="none"/>
                      <w:lang w:val="en-US" w:eastAsia="zh-CN"/>
                    </w:rPr>
                    <w:t>52</w:t>
                  </w:r>
                </w:p>
              </w:tc>
              <w:tc>
                <w:tcPr>
                  <w:tcW w:w="366" w:type="pct"/>
                  <w:shd w:val="clear" w:color="auto" w:fill="auto"/>
                  <w:noWrap w:val="0"/>
                  <w:vAlign w:val="center"/>
                </w:tcPr>
                <w:p w14:paraId="6BE734E1">
                  <w:pPr>
                    <w:pStyle w:val="28"/>
                    <w:widowControl w:val="0"/>
                    <w:bidi w:val="0"/>
                    <w:rPr>
                      <w:rFonts w:hint="default" w:cs="Times New Roman"/>
                      <w:color w:val="auto"/>
                      <w:highlight w:val="none"/>
                      <w:lang w:val="en-US" w:eastAsia="zh-CN"/>
                    </w:rPr>
                  </w:pPr>
                  <w:r>
                    <w:rPr>
                      <w:rFonts w:hint="eastAsia" w:cs="Times New Roman"/>
                      <w:color w:val="auto"/>
                      <w:highlight w:val="none"/>
                      <w:lang w:val="en-US" w:eastAsia="zh-CN"/>
                    </w:rPr>
                    <w:t>47</w:t>
                  </w:r>
                </w:p>
              </w:tc>
              <w:tc>
                <w:tcPr>
                  <w:tcW w:w="373" w:type="pct"/>
                  <w:shd w:val="clear" w:color="auto" w:fill="auto"/>
                  <w:noWrap w:val="0"/>
                  <w:vAlign w:val="center"/>
                </w:tcPr>
                <w:p w14:paraId="5A34D22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366" w:type="pct"/>
                  <w:shd w:val="clear" w:color="auto" w:fill="auto"/>
                  <w:noWrap w:val="0"/>
                  <w:vAlign w:val="center"/>
                </w:tcPr>
                <w:p w14:paraId="1A2859E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363" w:type="pct"/>
                  <w:shd w:val="clear" w:color="auto" w:fill="auto"/>
                  <w:noWrap w:val="0"/>
                  <w:vAlign w:val="center"/>
                </w:tcPr>
                <w:p w14:paraId="7F369F0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74EF28D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bl>
          <w:p w14:paraId="5F784B03">
            <w:pPr>
              <w:pStyle w:val="29"/>
              <w:bidi w:val="0"/>
              <w:rPr>
                <w:rFonts w:hint="eastAsia"/>
                <w:color w:val="auto"/>
                <w:lang w:val="en-US" w:eastAsia="zh-CN"/>
              </w:rPr>
            </w:pPr>
            <w:r>
              <w:rPr>
                <w:rFonts w:hint="eastAsia"/>
                <w:color w:val="auto"/>
                <w:lang w:val="en-US" w:eastAsia="zh-CN"/>
              </w:rPr>
              <w:t>根据预测结果，本项目厂界四周噪声贡献值均能满足</w:t>
            </w:r>
            <w:r>
              <w:rPr>
                <w:rFonts w:hint="default"/>
                <w:color w:val="auto"/>
                <w:lang w:val="en-US" w:eastAsia="zh-CN"/>
              </w:rPr>
              <w:t>《</w:t>
            </w:r>
            <w:r>
              <w:rPr>
                <w:rFonts w:hint="default"/>
                <w:color w:val="auto"/>
                <w:lang w:val="en-US" w:eastAsia="zh-CN"/>
              </w:rPr>
              <w:fldChar w:fldCharType="begin"/>
            </w:r>
            <w:r>
              <w:rPr>
                <w:rFonts w:hint="default"/>
                <w:color w:val="auto"/>
                <w:lang w:val="en-US" w:eastAsia="zh-CN"/>
              </w:rPr>
              <w:instrText xml:space="preserve"> HYPERLINK "https://www.mee.gov.cn/ywgz/fgbz/bz/bzwb/wlhj/hjzspfbz/200809/W020161230342919235970.pdf" </w:instrText>
            </w:r>
            <w:r>
              <w:rPr>
                <w:rFonts w:hint="default"/>
                <w:color w:val="auto"/>
                <w:lang w:val="en-US" w:eastAsia="zh-CN"/>
              </w:rPr>
              <w:fldChar w:fldCharType="separate"/>
            </w:r>
            <w:r>
              <w:rPr>
                <w:rFonts w:hint="default"/>
                <w:color w:val="auto"/>
                <w:lang w:val="en-US" w:eastAsia="zh-CN"/>
              </w:rPr>
              <w:t>工业企业厂界环境噪声排放标准</w:t>
            </w:r>
            <w:r>
              <w:rPr>
                <w:rFonts w:hint="default"/>
                <w:color w:val="auto"/>
                <w:lang w:val="en-US" w:eastAsia="zh-CN"/>
              </w:rPr>
              <w:fldChar w:fldCharType="end"/>
            </w:r>
            <w:r>
              <w:rPr>
                <w:rFonts w:hint="default"/>
                <w:color w:val="auto"/>
                <w:lang w:val="en-US" w:eastAsia="zh-CN"/>
              </w:rPr>
              <w:t>》（GB12348-2008）中2类</w:t>
            </w:r>
            <w:r>
              <w:rPr>
                <w:rFonts w:hint="eastAsia"/>
                <w:color w:val="auto"/>
                <w:lang w:val="en-US" w:eastAsia="zh-CN"/>
              </w:rPr>
              <w:t>标准限值；敏感点的噪声贡献值能满足</w:t>
            </w:r>
            <w:r>
              <w:rPr>
                <w:rFonts w:hint="default"/>
                <w:color w:val="auto"/>
                <w:lang w:val="en-US" w:eastAsia="zh-CN"/>
              </w:rPr>
              <w:t>《声环境质量标准》（GB3096-2008）中2类</w:t>
            </w:r>
            <w:r>
              <w:rPr>
                <w:rFonts w:hint="eastAsia"/>
                <w:color w:val="auto"/>
                <w:lang w:val="en-US" w:eastAsia="zh-CN"/>
              </w:rPr>
              <w:t>标准限值。</w:t>
            </w:r>
          </w:p>
          <w:p w14:paraId="67B25331">
            <w:pPr>
              <w:pStyle w:val="4"/>
              <w:bidi w:val="0"/>
              <w:rPr>
                <w:rFonts w:hint="eastAsia"/>
                <w:color w:val="auto"/>
                <w:lang w:eastAsia="zh-CN"/>
              </w:rPr>
            </w:pPr>
            <w:r>
              <w:rPr>
                <w:rFonts w:hint="eastAsia"/>
                <w:color w:val="auto"/>
                <w:lang w:val="en-US" w:eastAsia="zh-CN"/>
              </w:rPr>
              <w:t>4.7.3外部</w:t>
            </w:r>
            <w:r>
              <w:rPr>
                <w:rFonts w:hint="eastAsia"/>
                <w:color w:val="auto"/>
                <w:lang w:eastAsia="zh-CN"/>
              </w:rPr>
              <w:t>噪声影响分析</w:t>
            </w:r>
          </w:p>
          <w:p w14:paraId="12441E84">
            <w:pPr>
              <w:pStyle w:val="29"/>
              <w:bidi w:val="0"/>
              <w:rPr>
                <w:rFonts w:hint="default"/>
                <w:color w:val="auto"/>
                <w:lang w:val="en-US" w:eastAsia="zh-CN"/>
              </w:rPr>
            </w:pPr>
            <w:r>
              <w:rPr>
                <w:rFonts w:hint="eastAsia"/>
                <w:color w:val="auto"/>
                <w:lang w:val="en-US" w:eastAsia="zh-CN"/>
              </w:rPr>
              <w:t>本项目外部噪声影响主要为项目西侧的城市交通道路，来往行驶车辆所产生的噪声，本项目在采用加装隔声玻璃措施后，来往行驶车辆所产生的噪声对本项目影响较小。</w:t>
            </w:r>
          </w:p>
          <w:p w14:paraId="1439B744">
            <w:pPr>
              <w:pStyle w:val="4"/>
              <w:bidi w:val="0"/>
              <w:rPr>
                <w:rFonts w:hint="eastAsia"/>
                <w:color w:val="auto"/>
                <w:lang w:eastAsia="zh-CN"/>
              </w:rPr>
            </w:pPr>
            <w:r>
              <w:rPr>
                <w:rFonts w:hint="eastAsia"/>
                <w:color w:val="auto"/>
                <w:lang w:val="en-US" w:eastAsia="zh-CN"/>
              </w:rPr>
              <w:t>4.7.4</w:t>
            </w:r>
            <w:r>
              <w:rPr>
                <w:color w:val="auto"/>
                <w:lang w:eastAsia="zh-CN"/>
              </w:rPr>
              <w:t>监测计划</w:t>
            </w:r>
          </w:p>
          <w:p w14:paraId="27FCCA89">
            <w:pPr>
              <w:pStyle w:val="29"/>
              <w:bidi w:val="0"/>
              <w:rPr>
                <w:color w:val="auto"/>
                <w:lang w:eastAsia="zh-CN"/>
              </w:rPr>
            </w:pPr>
            <w:r>
              <w:rPr>
                <w:color w:val="auto"/>
                <w:lang w:eastAsia="zh-CN"/>
              </w:rPr>
              <w:t>按照《排污单位自行监测技术指南 总则》（HJ819-2017）中的监测要求，投产后本项目噪声例行监测计划内容如下</w:t>
            </w:r>
            <w:r>
              <w:rPr>
                <w:rFonts w:hint="eastAsia"/>
                <w:color w:val="auto"/>
                <w:lang w:eastAsia="zh-CN"/>
              </w:rPr>
              <w:t>4-1</w:t>
            </w:r>
            <w:r>
              <w:rPr>
                <w:rFonts w:hint="eastAsia"/>
                <w:color w:val="auto"/>
                <w:lang w:val="en-US" w:eastAsia="zh-CN"/>
              </w:rPr>
              <w:t>2</w:t>
            </w:r>
            <w:r>
              <w:rPr>
                <w:rFonts w:hint="eastAsia"/>
                <w:color w:val="auto"/>
                <w:lang w:eastAsia="zh-CN"/>
              </w:rPr>
              <w:t>。</w:t>
            </w:r>
          </w:p>
          <w:p w14:paraId="4F0A9838">
            <w:pPr>
              <w:pStyle w:val="22"/>
              <w:bidi w:val="0"/>
              <w:rPr>
                <w:color w:val="auto"/>
                <w:lang w:eastAsia="zh-CN"/>
              </w:rPr>
            </w:pPr>
            <w:r>
              <w:rPr>
                <w:color w:val="auto"/>
                <w:lang w:eastAsia="zh-CN"/>
              </w:rPr>
              <w:t>表</w:t>
            </w:r>
            <w:r>
              <w:rPr>
                <w:rFonts w:hint="eastAsia"/>
                <w:color w:val="auto"/>
                <w:lang w:eastAsia="zh-CN"/>
              </w:rPr>
              <w:t>4-1</w:t>
            </w:r>
            <w:r>
              <w:rPr>
                <w:rFonts w:hint="eastAsia"/>
                <w:color w:val="auto"/>
                <w:lang w:val="en-US" w:eastAsia="zh-CN"/>
              </w:rPr>
              <w:t>2</w:t>
            </w:r>
            <w:r>
              <w:rPr>
                <w:color w:val="auto"/>
                <w:lang w:eastAsia="zh-CN"/>
              </w:rPr>
              <w:t xml:space="preserve"> </w:t>
            </w:r>
            <w:r>
              <w:rPr>
                <w:rFonts w:hint="eastAsia"/>
                <w:color w:val="auto"/>
                <w:lang w:eastAsia="zh-CN"/>
              </w:rPr>
              <w:t xml:space="preserve"> </w:t>
            </w:r>
            <w:r>
              <w:rPr>
                <w:color w:val="auto"/>
                <w:lang w:eastAsia="zh-CN"/>
              </w:rPr>
              <w:t xml:space="preserve">  噪声监测计划一览表</w:t>
            </w:r>
          </w:p>
          <w:tbl>
            <w:tblPr>
              <w:tblStyle w:val="1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6"/>
              <w:gridCol w:w="733"/>
              <w:gridCol w:w="1278"/>
              <w:gridCol w:w="1806"/>
              <w:gridCol w:w="789"/>
              <w:gridCol w:w="2802"/>
            </w:tblGrid>
            <w:tr w14:paraId="76DC38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51" w:type="pct"/>
                  <w:tcBorders>
                    <w:bottom w:val="single" w:color="auto" w:sz="12" w:space="0"/>
                  </w:tcBorders>
                  <w:noWrap w:val="0"/>
                  <w:vAlign w:val="center"/>
                </w:tcPr>
                <w:p w14:paraId="0D16C134">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监测对象</w:t>
                  </w:r>
                </w:p>
              </w:tc>
              <w:tc>
                <w:tcPr>
                  <w:tcW w:w="450" w:type="pct"/>
                  <w:tcBorders>
                    <w:bottom w:val="single" w:color="auto" w:sz="12" w:space="0"/>
                    <w:right w:val="single" w:color="auto" w:sz="2" w:space="0"/>
                  </w:tcBorders>
                  <w:noWrap w:val="0"/>
                  <w:vAlign w:val="center"/>
                </w:tcPr>
                <w:p w14:paraId="3E419B9E">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监测项目</w:t>
                  </w:r>
                </w:p>
              </w:tc>
              <w:tc>
                <w:tcPr>
                  <w:tcW w:w="784" w:type="pct"/>
                  <w:tcBorders>
                    <w:left w:val="single" w:color="auto" w:sz="2" w:space="0"/>
                    <w:bottom w:val="single" w:color="auto" w:sz="12" w:space="0"/>
                  </w:tcBorders>
                  <w:noWrap w:val="0"/>
                  <w:vAlign w:val="center"/>
                </w:tcPr>
                <w:p w14:paraId="37D2D1C4">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监测频次</w:t>
                  </w:r>
                </w:p>
              </w:tc>
              <w:tc>
                <w:tcPr>
                  <w:tcW w:w="1108" w:type="pct"/>
                  <w:tcBorders>
                    <w:bottom w:val="single" w:color="auto" w:sz="12" w:space="0"/>
                  </w:tcBorders>
                  <w:noWrap w:val="0"/>
                  <w:vAlign w:val="center"/>
                </w:tcPr>
                <w:p w14:paraId="29EA444C">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监测点位</w:t>
                  </w:r>
                </w:p>
              </w:tc>
              <w:tc>
                <w:tcPr>
                  <w:tcW w:w="484" w:type="pct"/>
                  <w:tcBorders>
                    <w:bottom w:val="single" w:color="auto" w:sz="12" w:space="0"/>
                  </w:tcBorders>
                  <w:noWrap w:val="0"/>
                  <w:vAlign w:val="center"/>
                </w:tcPr>
                <w:p w14:paraId="22A0349A">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监测部门</w:t>
                  </w:r>
                </w:p>
              </w:tc>
              <w:tc>
                <w:tcPr>
                  <w:tcW w:w="1720" w:type="pct"/>
                  <w:tcBorders>
                    <w:bottom w:val="single" w:color="auto" w:sz="12" w:space="0"/>
                  </w:tcBorders>
                  <w:noWrap w:val="0"/>
                  <w:vAlign w:val="center"/>
                </w:tcPr>
                <w:p w14:paraId="118EA321">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执行标准</w:t>
                  </w:r>
                </w:p>
              </w:tc>
            </w:tr>
            <w:tr w14:paraId="0760C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pct"/>
                  <w:noWrap w:val="0"/>
                  <w:vAlign w:val="center"/>
                </w:tcPr>
                <w:p w14:paraId="36052BBB">
                  <w:pPr>
                    <w:adjustRightInd w:val="0"/>
                    <w:snapToGrid w:val="0"/>
                    <w:spacing w:line="240" w:lineRule="auto"/>
                    <w:ind w:firstLine="0" w:firstLineChars="0"/>
                    <w:jc w:val="center"/>
                    <w:rPr>
                      <w:rFonts w:hint="default"/>
                      <w:bCs/>
                      <w:color w:val="auto"/>
                      <w:sz w:val="21"/>
                      <w:szCs w:val="21"/>
                      <w:lang w:val="en-US" w:eastAsia="zh-CN"/>
                    </w:rPr>
                  </w:pPr>
                  <w:r>
                    <w:rPr>
                      <w:rFonts w:hint="eastAsia"/>
                      <w:color w:val="auto"/>
                      <w:sz w:val="21"/>
                      <w:szCs w:val="21"/>
                      <w:highlight w:val="none"/>
                      <w:lang w:val="en-US" w:eastAsia="zh-CN"/>
                    </w:rPr>
                    <w:t>厂界</w:t>
                  </w:r>
                </w:p>
              </w:tc>
              <w:tc>
                <w:tcPr>
                  <w:tcW w:w="450" w:type="pct"/>
                  <w:noWrap w:val="0"/>
                  <w:vAlign w:val="center"/>
                </w:tcPr>
                <w:p w14:paraId="19CAA976">
                  <w:pPr>
                    <w:snapToGrid w:val="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噪声</w:t>
                  </w:r>
                </w:p>
              </w:tc>
              <w:tc>
                <w:tcPr>
                  <w:tcW w:w="784" w:type="pct"/>
                  <w:tcBorders>
                    <w:top w:val="single" w:color="auto" w:sz="4" w:space="0"/>
                    <w:right w:val="single" w:color="auto" w:sz="2" w:space="0"/>
                  </w:tcBorders>
                  <w:noWrap w:val="0"/>
                  <w:vAlign w:val="center"/>
                </w:tcPr>
                <w:p w14:paraId="14AD7439">
                  <w:pPr>
                    <w:snapToGrid w:val="0"/>
                    <w:jc w:val="center"/>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rPr>
                    <w:t>昼夜监测，每季度一次</w:t>
                  </w:r>
                  <w:r>
                    <w:rPr>
                      <w:rFonts w:hint="eastAsia" w:ascii="Times New Roman" w:hAnsi="Times New Roman" w:eastAsia="宋体"/>
                      <w:color w:val="auto"/>
                      <w:sz w:val="21"/>
                      <w:szCs w:val="21"/>
                      <w:lang w:eastAsia="zh-CN"/>
                    </w:rPr>
                    <w:t>，</w:t>
                  </w:r>
                  <w:r>
                    <w:rPr>
                      <w:rFonts w:hint="eastAsia" w:ascii="Times New Roman" w:hAnsi="Times New Roman" w:eastAsia="宋体"/>
                      <w:color w:val="auto"/>
                      <w:sz w:val="21"/>
                      <w:szCs w:val="21"/>
                      <w:lang w:val="en-US" w:eastAsia="zh-CN"/>
                    </w:rPr>
                    <w:t>每次一天</w:t>
                  </w:r>
                </w:p>
              </w:tc>
              <w:tc>
                <w:tcPr>
                  <w:tcW w:w="1108" w:type="pct"/>
                  <w:tcBorders>
                    <w:top w:val="single" w:color="auto" w:sz="4" w:space="0"/>
                    <w:left w:val="single" w:color="auto" w:sz="2" w:space="0"/>
                    <w:right w:val="single" w:color="auto" w:sz="4" w:space="0"/>
                  </w:tcBorders>
                  <w:noWrap w:val="0"/>
                  <w:vAlign w:val="center"/>
                </w:tcPr>
                <w:p w14:paraId="70122506">
                  <w:pPr>
                    <w:adjustRightInd w:val="0"/>
                    <w:snapToGrid w:val="0"/>
                    <w:spacing w:line="240" w:lineRule="auto"/>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厂界四周</w:t>
                  </w:r>
                </w:p>
              </w:tc>
              <w:tc>
                <w:tcPr>
                  <w:tcW w:w="484" w:type="pct"/>
                  <w:vMerge w:val="restart"/>
                  <w:tcBorders>
                    <w:top w:val="single" w:color="auto" w:sz="4" w:space="0"/>
                    <w:left w:val="single" w:color="auto" w:sz="2" w:space="0"/>
                  </w:tcBorders>
                  <w:noWrap w:val="0"/>
                  <w:vAlign w:val="center"/>
                </w:tcPr>
                <w:p w14:paraId="228182BE">
                  <w:pPr>
                    <w:snapToGrid w:val="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委托有资质的单位进行监测</w:t>
                  </w:r>
                </w:p>
              </w:tc>
              <w:tc>
                <w:tcPr>
                  <w:tcW w:w="1720" w:type="pct"/>
                  <w:tcBorders>
                    <w:top w:val="single" w:color="auto" w:sz="4" w:space="0"/>
                    <w:left w:val="single" w:color="auto" w:sz="2" w:space="0"/>
                  </w:tcBorders>
                  <w:noWrap w:val="0"/>
                  <w:vAlign w:val="center"/>
                </w:tcPr>
                <w:p w14:paraId="6A940CAE">
                  <w:pPr>
                    <w:snapToGrid w:val="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《工业企业厂界环境噪声排放标准》（GB12348-2008）中</w:t>
                  </w:r>
                  <w:r>
                    <w:rPr>
                      <w:rFonts w:hint="eastAsia" w:ascii="Times New Roman" w:hAnsi="Times New Roman" w:eastAsia="宋体"/>
                      <w:color w:val="auto"/>
                      <w:sz w:val="21"/>
                      <w:szCs w:val="21"/>
                      <w:lang w:val="en-US" w:eastAsia="zh-CN"/>
                    </w:rPr>
                    <w:t>2</w:t>
                  </w:r>
                  <w:r>
                    <w:rPr>
                      <w:rFonts w:hint="default" w:ascii="Times New Roman" w:hAnsi="Times New Roman" w:eastAsia="宋体"/>
                      <w:color w:val="auto"/>
                      <w:sz w:val="21"/>
                      <w:szCs w:val="21"/>
                    </w:rPr>
                    <w:t>类标准限值</w:t>
                  </w:r>
                </w:p>
              </w:tc>
            </w:tr>
            <w:tr w14:paraId="766B0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51" w:type="pct"/>
                  <w:tcBorders>
                    <w:bottom w:val="single" w:color="auto" w:sz="12" w:space="0"/>
                  </w:tcBorders>
                  <w:noWrap w:val="0"/>
                  <w:vAlign w:val="center"/>
                </w:tcPr>
                <w:p w14:paraId="75654803">
                  <w:pPr>
                    <w:adjustRightInd w:val="0"/>
                    <w:snapToGrid w:val="0"/>
                    <w:spacing w:line="240" w:lineRule="auto"/>
                    <w:ind w:firstLine="0" w:firstLineChars="0"/>
                    <w:jc w:val="center"/>
                    <w:rPr>
                      <w:rFonts w:hint="default"/>
                      <w:bCs/>
                      <w:color w:val="auto"/>
                      <w:sz w:val="21"/>
                      <w:szCs w:val="21"/>
                      <w:lang w:val="en-US" w:eastAsia="zh-CN"/>
                    </w:rPr>
                  </w:pPr>
                  <w:r>
                    <w:rPr>
                      <w:rFonts w:hint="eastAsia"/>
                      <w:bCs/>
                      <w:color w:val="auto"/>
                      <w:sz w:val="21"/>
                      <w:szCs w:val="21"/>
                      <w:lang w:val="en-US" w:eastAsia="zh-CN"/>
                    </w:rPr>
                    <w:t>敏感目标</w:t>
                  </w:r>
                </w:p>
              </w:tc>
              <w:tc>
                <w:tcPr>
                  <w:tcW w:w="450" w:type="pct"/>
                  <w:noWrap w:val="0"/>
                  <w:vAlign w:val="center"/>
                </w:tcPr>
                <w:p w14:paraId="32187A6D">
                  <w:pPr>
                    <w:snapToGrid w:val="0"/>
                    <w:ind w:firstLine="0" w:firstLineChars="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噪声</w:t>
                  </w:r>
                </w:p>
              </w:tc>
              <w:tc>
                <w:tcPr>
                  <w:tcW w:w="784" w:type="pct"/>
                  <w:tcBorders>
                    <w:top w:val="single" w:color="auto" w:sz="4" w:space="0"/>
                    <w:right w:val="single" w:color="auto" w:sz="2" w:space="0"/>
                  </w:tcBorders>
                  <w:noWrap w:val="0"/>
                  <w:vAlign w:val="center"/>
                </w:tcPr>
                <w:p w14:paraId="1D4290E7">
                  <w:pPr>
                    <w:snapToGrid w:val="0"/>
                    <w:jc w:val="center"/>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昼夜监测，每季度一次</w:t>
                  </w:r>
                  <w:r>
                    <w:rPr>
                      <w:rFonts w:hint="eastAsia" w:ascii="Times New Roman" w:hAnsi="Times New Roman" w:eastAsia="宋体"/>
                      <w:color w:val="auto"/>
                      <w:sz w:val="21"/>
                      <w:szCs w:val="21"/>
                      <w:lang w:val="en-US" w:eastAsia="zh-CN"/>
                    </w:rPr>
                    <w:t>，每次一天</w:t>
                  </w:r>
                </w:p>
              </w:tc>
              <w:tc>
                <w:tcPr>
                  <w:tcW w:w="1108" w:type="pct"/>
                  <w:tcBorders>
                    <w:top w:val="single" w:color="auto" w:sz="4" w:space="0"/>
                    <w:left w:val="single" w:color="auto" w:sz="2" w:space="0"/>
                    <w:right w:val="single" w:color="auto" w:sz="4" w:space="0"/>
                  </w:tcBorders>
                  <w:noWrap w:val="0"/>
                  <w:vAlign w:val="center"/>
                </w:tcPr>
                <w:p w14:paraId="255306CF">
                  <w:pPr>
                    <w:snapToGrid w:val="0"/>
                    <w:jc w:val="center"/>
                    <w:rPr>
                      <w:rFonts w:hint="default"/>
                      <w:color w:val="auto"/>
                      <w:sz w:val="21"/>
                      <w:szCs w:val="21"/>
                      <w:lang w:val="en-US" w:eastAsia="zh-CN"/>
                    </w:rPr>
                  </w:pPr>
                  <w:r>
                    <w:rPr>
                      <w:rFonts w:hint="eastAsia"/>
                      <w:color w:val="auto"/>
                      <w:sz w:val="21"/>
                      <w:szCs w:val="21"/>
                      <w:lang w:val="en-US" w:eastAsia="zh-CN"/>
                    </w:rPr>
                    <w:t>项目区同栋楼住宅、项目区东侧住户</w:t>
                  </w:r>
                </w:p>
              </w:tc>
              <w:tc>
                <w:tcPr>
                  <w:tcW w:w="484" w:type="pct"/>
                  <w:vMerge w:val="continue"/>
                  <w:tcBorders>
                    <w:left w:val="single" w:color="auto" w:sz="2" w:space="0"/>
                  </w:tcBorders>
                  <w:noWrap w:val="0"/>
                  <w:vAlign w:val="center"/>
                </w:tcPr>
                <w:p w14:paraId="0547E006">
                  <w:pPr>
                    <w:snapToGrid w:val="0"/>
                    <w:ind w:firstLine="0" w:firstLineChars="0"/>
                    <w:jc w:val="center"/>
                    <w:rPr>
                      <w:rFonts w:hint="default" w:ascii="Times New Roman" w:hAnsi="Times New Roman" w:eastAsia="宋体"/>
                      <w:color w:val="auto"/>
                      <w:sz w:val="21"/>
                      <w:szCs w:val="21"/>
                    </w:rPr>
                  </w:pPr>
                </w:p>
              </w:tc>
              <w:tc>
                <w:tcPr>
                  <w:tcW w:w="1720" w:type="pct"/>
                  <w:tcBorders>
                    <w:top w:val="single" w:color="auto" w:sz="4" w:space="0"/>
                    <w:left w:val="single" w:color="auto" w:sz="2" w:space="0"/>
                  </w:tcBorders>
                  <w:noWrap w:val="0"/>
                  <w:vAlign w:val="center"/>
                </w:tcPr>
                <w:p w14:paraId="5B6296AA">
                  <w:pPr>
                    <w:snapToGrid w:val="0"/>
                    <w:ind w:firstLine="0" w:firstLineChars="0"/>
                    <w:jc w:val="center"/>
                    <w:rPr>
                      <w:rFonts w:hint="default" w:ascii="Times New Roman" w:hAnsi="Times New Roman" w:eastAsia="宋体"/>
                      <w:color w:val="auto"/>
                      <w:sz w:val="21"/>
                      <w:szCs w:val="21"/>
                    </w:rPr>
                  </w:pPr>
                  <w:r>
                    <w:rPr>
                      <w:rFonts w:hint="default" w:ascii="Times New Roman" w:hAnsi="Times New Roman" w:eastAsia="宋体" w:cs="Times New Roman"/>
                      <w:color w:val="auto"/>
                      <w:sz w:val="21"/>
                      <w:szCs w:val="21"/>
                    </w:rPr>
                    <w:t>《声环境质量标准》（GB3096-2008）中2类标准要求</w:t>
                  </w:r>
                </w:p>
              </w:tc>
            </w:tr>
          </w:tbl>
          <w:p w14:paraId="4B3463BC">
            <w:pPr>
              <w:pStyle w:val="3"/>
              <w:bidi w:val="0"/>
              <w:rPr>
                <w:color w:val="auto"/>
                <w:lang w:eastAsia="zh-CN"/>
              </w:rPr>
            </w:pPr>
            <w:r>
              <w:rPr>
                <w:rFonts w:hint="eastAsia"/>
                <w:color w:val="auto"/>
                <w:lang w:val="en-US" w:eastAsia="zh-CN"/>
              </w:rPr>
              <w:t>4.8</w:t>
            </w:r>
            <w:r>
              <w:rPr>
                <w:rFonts w:hint="eastAsia"/>
                <w:color w:val="auto"/>
                <w:lang w:eastAsia="zh-CN"/>
              </w:rPr>
              <w:t>、固体废物环境影响及保护措施</w:t>
            </w:r>
          </w:p>
          <w:p w14:paraId="28A69733">
            <w:pPr>
              <w:pStyle w:val="4"/>
              <w:bidi w:val="0"/>
              <w:rPr>
                <w:color w:val="auto"/>
                <w:lang w:eastAsia="zh-CN"/>
              </w:rPr>
            </w:pPr>
            <w:bookmarkStart w:id="37" w:name="OLE_LINK55"/>
            <w:r>
              <w:rPr>
                <w:rFonts w:hint="eastAsia"/>
                <w:color w:val="auto"/>
                <w:lang w:val="en-US" w:eastAsia="zh-CN"/>
              </w:rPr>
              <w:t>4.8.1</w:t>
            </w:r>
            <w:r>
              <w:rPr>
                <w:color w:val="auto"/>
                <w:lang w:eastAsia="zh-CN"/>
              </w:rPr>
              <w:t>固废产生及处置情况</w:t>
            </w:r>
            <w:bookmarkEnd w:id="37"/>
          </w:p>
          <w:p w14:paraId="31B1550D">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项目运营期产生的固体废物</w:t>
            </w:r>
            <w:bookmarkStart w:id="38" w:name="OLE_LINK91"/>
            <w:r>
              <w:rPr>
                <w:rFonts w:hint="eastAsia" w:ascii="Times New Roman" w:hAnsi="Times New Roman" w:eastAsia="宋体" w:cs="Times New Roman"/>
                <w:color w:val="auto"/>
                <w:lang w:val="en-US" w:eastAsia="zh-CN"/>
              </w:rPr>
              <w:t>主要为生活垃圾、一般固废和危险废物</w:t>
            </w:r>
            <w:bookmarkEnd w:id="38"/>
            <w:r>
              <w:rPr>
                <w:rFonts w:hint="eastAsia" w:ascii="Times New Roman" w:hAnsi="Times New Roman" w:eastAsia="宋体" w:cs="Times New Roman"/>
                <w:color w:val="auto"/>
                <w:lang w:val="en-US" w:eastAsia="zh-CN"/>
              </w:rPr>
              <w:t>。</w:t>
            </w:r>
          </w:p>
          <w:p w14:paraId="3C1DC7EE">
            <w:pPr>
              <w:pStyle w:val="29"/>
              <w:bidi w:val="0"/>
              <w:rPr>
                <w:rFonts w:hint="eastAsia"/>
                <w:color w:val="auto"/>
                <w:lang w:val="en-US" w:eastAsia="zh-CN"/>
              </w:rPr>
            </w:pPr>
            <w:r>
              <w:rPr>
                <w:rFonts w:hint="eastAsia"/>
                <w:color w:val="auto"/>
                <w:lang w:val="en-US" w:eastAsia="zh-CN"/>
              </w:rPr>
              <w:t>（1）生活垃圾</w:t>
            </w:r>
          </w:p>
          <w:p w14:paraId="7B3B397A">
            <w:pPr>
              <w:pStyle w:val="29"/>
              <w:bidi w:val="0"/>
              <w:rPr>
                <w:rFonts w:hint="eastAsia"/>
                <w:color w:val="auto"/>
                <w:lang w:val="en-US" w:eastAsia="zh-CN"/>
              </w:rPr>
            </w:pPr>
            <w:r>
              <w:rPr>
                <w:rFonts w:hint="eastAsia"/>
                <w:color w:val="auto"/>
                <w:lang w:val="en-US" w:eastAsia="zh-CN"/>
              </w:rPr>
              <w:t>项目建成后工作人员约4人，年工作时间365天，按每人每天平均产生0.5kg垃圾计，则日产生活垃圾量约为2kg/d，年产生活垃圾量为0.730t/a。生活垃圾堆存于带盖垃圾箱内，由环卫部门定期收集外运处置。</w:t>
            </w:r>
          </w:p>
          <w:p w14:paraId="64E67298">
            <w:pPr>
              <w:pStyle w:val="29"/>
              <w:bidi w:val="0"/>
              <w:rPr>
                <w:rFonts w:hint="eastAsia"/>
                <w:color w:val="auto"/>
                <w:lang w:val="en-US" w:eastAsia="zh-CN"/>
              </w:rPr>
            </w:pPr>
            <w:r>
              <w:rPr>
                <w:rFonts w:hint="eastAsia"/>
                <w:color w:val="auto"/>
                <w:lang w:val="en-US" w:eastAsia="zh-CN"/>
              </w:rPr>
              <w:t>（2）一般固废</w:t>
            </w:r>
          </w:p>
          <w:p w14:paraId="69A4DF43">
            <w:pPr>
              <w:pStyle w:val="29"/>
              <w:bidi w:val="0"/>
              <w:rPr>
                <w:rFonts w:hint="default"/>
                <w:color w:val="auto"/>
                <w:lang w:val="en-US" w:eastAsia="zh-CN"/>
              </w:rPr>
            </w:pPr>
            <w:r>
              <w:rPr>
                <w:rFonts w:hint="default"/>
                <w:color w:val="auto"/>
                <w:lang w:val="en-US" w:eastAsia="zh-CN"/>
              </w:rPr>
              <w:t>①</w:t>
            </w:r>
            <w:bookmarkStart w:id="39" w:name="OLE_LINK92"/>
            <w:r>
              <w:rPr>
                <w:color w:val="auto"/>
              </w:rPr>
              <w:t>拆包过程产生的废包装物、</w:t>
            </w:r>
            <w:bookmarkStart w:id="40" w:name="OLE_LINK103"/>
            <w:r>
              <w:rPr>
                <w:color w:val="auto"/>
              </w:rPr>
              <w:t>输液瓶（袋）</w:t>
            </w:r>
            <w:bookmarkEnd w:id="39"/>
            <w:bookmarkEnd w:id="40"/>
          </w:p>
          <w:p w14:paraId="164F9724">
            <w:pPr>
              <w:pStyle w:val="29"/>
              <w:bidi w:val="0"/>
              <w:rPr>
                <w:rFonts w:hint="eastAsia"/>
                <w:color w:val="auto"/>
                <w:lang w:val="en-US" w:eastAsia="zh-CN"/>
              </w:rPr>
            </w:pPr>
            <w:r>
              <w:rPr>
                <w:color w:val="auto"/>
              </w:rPr>
              <w:t>本项目运营期产生的废包装物主要为药品、医疗耗材脱外包装等</w:t>
            </w:r>
            <w:r>
              <w:rPr>
                <w:rFonts w:hint="eastAsia"/>
                <w:color w:val="auto"/>
                <w:lang w:eastAsia="zh-CN"/>
              </w:rPr>
              <w:t>；</w:t>
            </w:r>
            <w:r>
              <w:rPr>
                <w:color w:val="auto"/>
              </w:rPr>
              <w:t>输液瓶（袋）</w:t>
            </w:r>
            <w:r>
              <w:rPr>
                <w:rFonts w:hint="eastAsia"/>
                <w:color w:val="auto"/>
                <w:lang w:val="en-US" w:eastAsia="zh-CN"/>
              </w:rPr>
              <w:t>为</w:t>
            </w:r>
            <w:r>
              <w:rPr>
                <w:color w:val="auto"/>
                <w:lang w:eastAsia="zh-CN"/>
              </w:rPr>
              <w:t>治疗过程产生的</w:t>
            </w:r>
            <w:r>
              <w:rPr>
                <w:rFonts w:hint="eastAsia"/>
                <w:color w:val="auto"/>
                <w:lang w:val="en-US" w:eastAsia="zh-CN"/>
              </w:rPr>
              <w:t>未被污染的输液瓶（袋）。</w:t>
            </w:r>
            <w:r>
              <w:rPr>
                <w:color w:val="auto"/>
              </w:rPr>
              <w:t>根据建设单位提供的资料，拆包过程产生的废包装物</w:t>
            </w:r>
            <w:r>
              <w:rPr>
                <w:rFonts w:hint="eastAsia"/>
                <w:color w:val="auto"/>
                <w:lang w:val="en-US" w:eastAsia="zh-CN"/>
              </w:rPr>
              <w:t>及</w:t>
            </w:r>
            <w:r>
              <w:rPr>
                <w:color w:val="auto"/>
              </w:rPr>
              <w:t>输液瓶（袋）产生量</w:t>
            </w:r>
            <w:r>
              <w:rPr>
                <w:rFonts w:hint="eastAsia"/>
                <w:color w:val="auto"/>
                <w:lang w:val="en-US" w:eastAsia="zh-CN"/>
              </w:rPr>
              <w:t>约</w:t>
            </w:r>
            <w:r>
              <w:rPr>
                <w:color w:val="auto"/>
              </w:rPr>
              <w:t>为</w:t>
            </w:r>
            <w:r>
              <w:rPr>
                <w:rFonts w:hint="default"/>
                <w:color w:val="auto"/>
                <w:lang w:val="en-US" w:eastAsia="zh-CN"/>
              </w:rPr>
              <w:t>0.0</w:t>
            </w:r>
            <w:r>
              <w:rPr>
                <w:rFonts w:hint="eastAsia"/>
                <w:color w:val="auto"/>
                <w:lang w:val="en-US" w:eastAsia="zh-CN"/>
              </w:rPr>
              <w:t>2</w:t>
            </w:r>
            <w:r>
              <w:rPr>
                <w:rFonts w:hint="default"/>
                <w:color w:val="auto"/>
                <w:lang w:val="en-US" w:eastAsia="zh-CN"/>
              </w:rPr>
              <w:t>t/a</w:t>
            </w:r>
            <w:r>
              <w:rPr>
                <w:color w:val="auto"/>
              </w:rPr>
              <w:t>，集中</w:t>
            </w:r>
            <w:r>
              <w:rPr>
                <w:rFonts w:hint="eastAsia"/>
                <w:color w:val="auto"/>
                <w:lang w:val="en-US" w:eastAsia="zh-CN"/>
              </w:rPr>
              <w:t>暂存</w:t>
            </w:r>
            <w:r>
              <w:rPr>
                <w:color w:val="auto"/>
              </w:rPr>
              <w:t>后交由</w:t>
            </w:r>
            <w:r>
              <w:rPr>
                <w:rFonts w:hint="eastAsia"/>
                <w:color w:val="auto"/>
                <w:lang w:val="en-US" w:eastAsia="zh-CN"/>
              </w:rPr>
              <w:t>再生资源回收单位</w:t>
            </w:r>
            <w:r>
              <w:rPr>
                <w:color w:val="auto"/>
              </w:rPr>
              <w:t>处置</w:t>
            </w:r>
            <w:r>
              <w:rPr>
                <w:rFonts w:hint="eastAsia"/>
                <w:color w:val="auto"/>
                <w:lang w:eastAsia="zh-CN"/>
              </w:rPr>
              <w:t>。</w:t>
            </w:r>
          </w:p>
          <w:p w14:paraId="198AA62A">
            <w:pPr>
              <w:pStyle w:val="29"/>
              <w:bidi w:val="0"/>
              <w:rPr>
                <w:rFonts w:hint="default"/>
                <w:color w:val="auto"/>
                <w:lang w:val="en-US" w:eastAsia="zh-CN"/>
              </w:rPr>
            </w:pPr>
            <w:r>
              <w:rPr>
                <w:rFonts w:hint="default"/>
                <w:color w:val="auto"/>
                <w:lang w:val="en-US" w:eastAsia="zh-CN"/>
              </w:rPr>
              <w:t>②</w:t>
            </w:r>
            <w:bookmarkStart w:id="41" w:name="OLE_LINK72"/>
            <w:r>
              <w:rPr>
                <w:rFonts w:hint="eastAsia"/>
                <w:color w:val="auto"/>
                <w:lang w:val="en-US" w:eastAsia="zh-CN"/>
              </w:rPr>
              <w:t>健康</w:t>
            </w:r>
            <w:r>
              <w:rPr>
                <w:rFonts w:hint="default"/>
                <w:color w:val="auto"/>
                <w:lang w:val="en-US" w:eastAsia="zh-CN"/>
              </w:rPr>
              <w:t>宠物粪便及猫砂</w:t>
            </w:r>
            <w:bookmarkEnd w:id="41"/>
          </w:p>
          <w:p w14:paraId="297EC654">
            <w:pPr>
              <w:pStyle w:val="29"/>
              <w:bidi w:val="0"/>
              <w:rPr>
                <w:rFonts w:hint="eastAsia"/>
                <w:color w:val="auto"/>
                <w:lang w:val="en-US" w:eastAsia="zh-CN"/>
              </w:rPr>
            </w:pPr>
            <w:r>
              <w:rPr>
                <w:rFonts w:hint="default"/>
                <w:color w:val="auto"/>
              </w:rPr>
              <w:t>本项目</w:t>
            </w:r>
            <w:r>
              <w:rPr>
                <w:rFonts w:hint="eastAsia"/>
                <w:color w:val="auto"/>
                <w:lang w:val="en-US" w:eastAsia="zh-CN"/>
              </w:rPr>
              <w:t>健康</w:t>
            </w:r>
            <w:r>
              <w:rPr>
                <w:rFonts w:hint="default"/>
                <w:color w:val="auto"/>
              </w:rPr>
              <w:t>宠物产生的</w:t>
            </w:r>
            <w:r>
              <w:rPr>
                <w:rFonts w:hint="default"/>
                <w:color w:val="auto"/>
                <w:lang w:val="en-US" w:eastAsia="zh-CN"/>
              </w:rPr>
              <w:t>粪便</w:t>
            </w:r>
            <w:r>
              <w:rPr>
                <w:rFonts w:hint="default"/>
                <w:color w:val="auto"/>
              </w:rPr>
              <w:t>及猫砂，</w:t>
            </w:r>
            <w:r>
              <w:rPr>
                <w:rFonts w:hint="default"/>
                <w:color w:val="auto"/>
                <w:lang w:val="en-US" w:eastAsia="zh-CN"/>
              </w:rPr>
              <w:t>根据建设单位提供资料，粪便及猫砂</w:t>
            </w:r>
            <w:r>
              <w:rPr>
                <w:rFonts w:hint="default"/>
                <w:color w:val="auto"/>
              </w:rPr>
              <w:t>产生量</w:t>
            </w:r>
            <w:r>
              <w:rPr>
                <w:rFonts w:hint="default"/>
                <w:color w:val="auto"/>
                <w:lang w:val="en-US" w:eastAsia="zh-CN"/>
              </w:rPr>
              <w:t>约为0.</w:t>
            </w:r>
            <w:r>
              <w:rPr>
                <w:rFonts w:hint="eastAsia"/>
                <w:color w:val="auto"/>
                <w:lang w:val="en-US" w:eastAsia="zh-CN"/>
              </w:rPr>
              <w:t>3</w:t>
            </w:r>
            <w:r>
              <w:rPr>
                <w:rFonts w:hint="default"/>
                <w:color w:val="auto"/>
                <w:lang w:val="en-US" w:eastAsia="zh-CN"/>
              </w:rPr>
              <w:t>t/a</w:t>
            </w:r>
            <w:r>
              <w:rPr>
                <w:rFonts w:hint="eastAsia"/>
                <w:color w:val="auto"/>
                <w:lang w:val="en-US" w:eastAsia="zh-CN"/>
              </w:rPr>
              <w:t>，</w:t>
            </w:r>
            <w:r>
              <w:rPr>
                <w:color w:val="auto"/>
              </w:rPr>
              <w:t>采用专用包装袋收集后统一由环卫部门定期</w:t>
            </w:r>
            <w:r>
              <w:rPr>
                <w:rFonts w:hint="eastAsia"/>
                <w:color w:val="auto"/>
                <w:lang w:val="en-US" w:eastAsia="zh-CN"/>
              </w:rPr>
              <w:t>外运处置。</w:t>
            </w:r>
          </w:p>
          <w:p w14:paraId="77A4134F">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③宠物毛发</w:t>
            </w:r>
          </w:p>
          <w:p w14:paraId="41957720">
            <w:pPr>
              <w:pStyle w:val="29"/>
              <w:keepNext w:val="0"/>
              <w:keepLines w:val="0"/>
              <w:pageBreakBefore w:val="0"/>
              <w:widowControl/>
              <w:kinsoku/>
              <w:wordWrap/>
              <w:overflowPunct/>
              <w:topLinePunct w:val="0"/>
              <w:autoSpaceDE w:val="0"/>
              <w:autoSpaceDN w:val="0"/>
              <w:bidi w:val="0"/>
              <w:adjustRightInd/>
              <w:snapToGrid/>
              <w:textAlignment w:val="baseline"/>
              <w:rPr>
                <w:rFonts w:hint="eastAsia" w:eastAsia="宋体"/>
                <w:color w:val="auto"/>
                <w:lang w:val="en-US" w:eastAsia="zh-CN"/>
              </w:rPr>
            </w:pPr>
            <w:r>
              <w:rPr>
                <w:rFonts w:ascii="宋体" w:hAnsi="宋体" w:eastAsia="宋体" w:cs="宋体"/>
                <w:sz w:val="24"/>
                <w:szCs w:val="24"/>
              </w:rPr>
              <w:t>项目</w:t>
            </w:r>
            <w:r>
              <w:rPr>
                <w:rFonts w:hint="eastAsia" w:ascii="宋体" w:hAnsi="宋体" w:eastAsia="宋体" w:cs="宋体"/>
                <w:sz w:val="24"/>
                <w:szCs w:val="24"/>
                <w:lang w:val="en-US" w:eastAsia="zh-CN"/>
              </w:rPr>
              <w:t>手术</w:t>
            </w:r>
            <w:r>
              <w:rPr>
                <w:rFonts w:ascii="宋体" w:hAnsi="宋体" w:eastAsia="宋体" w:cs="宋体"/>
                <w:sz w:val="24"/>
                <w:szCs w:val="24"/>
              </w:rPr>
              <w:t>前</w:t>
            </w:r>
            <w:r>
              <w:rPr>
                <w:rFonts w:hint="eastAsia" w:ascii="宋体" w:hAnsi="宋体" w:eastAsia="宋体" w:cs="宋体"/>
                <w:sz w:val="24"/>
                <w:szCs w:val="24"/>
                <w:lang w:val="en-US" w:eastAsia="zh-CN"/>
              </w:rPr>
              <w:t>一般需要</w:t>
            </w:r>
            <w:r>
              <w:rPr>
                <w:rFonts w:ascii="宋体" w:hAnsi="宋体" w:eastAsia="宋体" w:cs="宋体"/>
                <w:sz w:val="24"/>
                <w:szCs w:val="24"/>
              </w:rPr>
              <w:t>剃毛</w:t>
            </w:r>
            <w:r>
              <w:rPr>
                <w:rFonts w:hint="default" w:ascii="Times New Roman" w:hAnsi="Times New Roman" w:cs="Times New Roman"/>
                <w:color w:val="auto"/>
                <w:highlight w:val="none"/>
                <w:lang w:val="en-US" w:eastAsia="zh-CN"/>
              </w:rPr>
              <w:t>，根据建设单位提供资料</w:t>
            </w:r>
            <w:r>
              <w:rPr>
                <w:rFonts w:hint="eastAsia" w:ascii="宋体" w:hAnsi="宋体" w:eastAsia="宋体" w:cs="宋体"/>
                <w:sz w:val="24"/>
                <w:szCs w:val="24"/>
                <w:lang w:eastAsia="zh-CN"/>
              </w:rPr>
              <w:t>，</w:t>
            </w:r>
            <w:r>
              <w:rPr>
                <w:rFonts w:ascii="宋体" w:hAnsi="宋体" w:eastAsia="宋体" w:cs="宋体"/>
                <w:sz w:val="24"/>
                <w:szCs w:val="24"/>
              </w:rPr>
              <w:t>动物毛发产生</w:t>
            </w:r>
            <w:r>
              <w:rPr>
                <w:rFonts w:hint="eastAsia" w:ascii="宋体" w:hAnsi="宋体" w:cs="宋体"/>
                <w:sz w:val="24"/>
                <w:szCs w:val="24"/>
                <w:lang w:val="en-US" w:eastAsia="zh-CN"/>
              </w:rPr>
              <w:t>量约</w:t>
            </w:r>
            <w:r>
              <w:rPr>
                <w:rFonts w:hint="default"/>
                <w:color w:val="auto"/>
                <w:lang w:val="en-US" w:eastAsia="zh-CN"/>
              </w:rPr>
              <w:t>0.0</w:t>
            </w:r>
            <w:r>
              <w:rPr>
                <w:rFonts w:hint="eastAsia"/>
                <w:color w:val="auto"/>
                <w:lang w:val="en-US" w:eastAsia="zh-CN"/>
              </w:rPr>
              <w:t>3</w:t>
            </w:r>
            <w:r>
              <w:rPr>
                <w:rFonts w:hint="default"/>
                <w:color w:val="auto"/>
                <w:lang w:val="en-US" w:eastAsia="zh-CN"/>
              </w:rPr>
              <w:t>t/a</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采用专用包装袋收集后统一由环卫部门定期</w:t>
            </w:r>
            <w:r>
              <w:rPr>
                <w:rFonts w:hint="default" w:ascii="Times New Roman" w:hAnsi="Times New Roman" w:cs="Times New Roman"/>
                <w:color w:val="auto"/>
                <w:highlight w:val="none"/>
                <w:lang w:val="en-US" w:eastAsia="zh-CN"/>
              </w:rPr>
              <w:t>外运处置</w:t>
            </w:r>
            <w:r>
              <w:rPr>
                <w:rFonts w:hint="eastAsia"/>
                <w:color w:val="auto"/>
                <w:lang w:val="en-US" w:eastAsia="zh-CN"/>
              </w:rPr>
              <w:t>。若产生少量</w:t>
            </w:r>
            <w:r>
              <w:rPr>
                <w:rFonts w:ascii="宋体" w:hAnsi="宋体" w:eastAsia="宋体" w:cs="宋体"/>
                <w:sz w:val="24"/>
                <w:szCs w:val="24"/>
              </w:rPr>
              <w:t>被感染性物质污染的毛发</w:t>
            </w:r>
            <w:r>
              <w:rPr>
                <w:rFonts w:hint="eastAsia" w:ascii="宋体" w:hAnsi="宋体" w:eastAsia="宋体" w:cs="宋体"/>
                <w:sz w:val="24"/>
                <w:szCs w:val="24"/>
                <w:lang w:val="en-US" w:eastAsia="zh-CN"/>
              </w:rPr>
              <w:t>应该</w:t>
            </w:r>
            <w:r>
              <w:rPr>
                <w:rFonts w:ascii="宋体" w:hAnsi="宋体" w:eastAsia="宋体" w:cs="宋体"/>
                <w:sz w:val="24"/>
                <w:szCs w:val="24"/>
              </w:rPr>
              <w:t>按</w:t>
            </w:r>
            <w:r>
              <w:rPr>
                <w:rFonts w:hint="eastAsia" w:ascii="宋体" w:hAnsi="宋体" w:eastAsia="宋体" w:cs="宋体"/>
                <w:sz w:val="24"/>
                <w:szCs w:val="24"/>
                <w:lang w:val="en-US" w:eastAsia="zh-CN"/>
              </w:rPr>
              <w:t>感染性</w:t>
            </w:r>
            <w:r>
              <w:rPr>
                <w:rFonts w:ascii="宋体" w:hAnsi="宋体" w:eastAsia="宋体" w:cs="宋体"/>
                <w:sz w:val="24"/>
                <w:szCs w:val="24"/>
              </w:rPr>
              <w:t>医疗废物处置</w:t>
            </w:r>
            <w:r>
              <w:rPr>
                <w:rFonts w:hint="eastAsia" w:ascii="宋体" w:hAnsi="宋体" w:eastAsia="宋体" w:cs="宋体"/>
                <w:sz w:val="24"/>
                <w:szCs w:val="24"/>
                <w:lang w:eastAsia="zh-CN"/>
              </w:rPr>
              <w:t>。</w:t>
            </w:r>
          </w:p>
          <w:p w14:paraId="731568D1">
            <w:pPr>
              <w:pStyle w:val="29"/>
              <w:bidi w:val="0"/>
              <w:rPr>
                <w:rFonts w:hint="eastAsia"/>
                <w:color w:val="auto"/>
                <w:lang w:val="en-US" w:eastAsia="zh-CN"/>
              </w:rPr>
            </w:pPr>
            <w:r>
              <w:rPr>
                <w:rFonts w:hint="eastAsia"/>
                <w:color w:val="auto"/>
                <w:lang w:val="en-US" w:eastAsia="zh-CN"/>
              </w:rPr>
              <w:t>④动物尸体</w:t>
            </w:r>
          </w:p>
          <w:p w14:paraId="7FDE6FA6">
            <w:pPr>
              <w:pStyle w:val="29"/>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val="en-US" w:eastAsia="zh-CN"/>
              </w:rPr>
            </w:pPr>
            <w:r>
              <w:rPr>
                <w:rFonts w:hint="eastAsia"/>
                <w:color w:val="auto"/>
                <w:lang w:val="en-US" w:eastAsia="zh-CN"/>
              </w:rPr>
              <w:t>根据建设单位提供的资料，动物医院平均每个月产生的动物尸体为2kg，则一年产生0.024t动物尸体。本项目运营过程中不负责处理动物尸体，由客户自行带走依法处置。</w:t>
            </w:r>
          </w:p>
          <w:p w14:paraId="35D31B5F">
            <w:pPr>
              <w:pStyle w:val="29"/>
              <w:bidi w:val="0"/>
              <w:rPr>
                <w:rFonts w:hint="eastAsia"/>
                <w:color w:val="auto"/>
                <w:highlight w:val="none"/>
                <w:lang w:val="en-US" w:eastAsia="zh-CN"/>
              </w:rPr>
            </w:pPr>
            <w:r>
              <w:rPr>
                <w:rFonts w:hint="eastAsia"/>
                <w:color w:val="auto"/>
                <w:highlight w:val="none"/>
                <w:lang w:val="en-US" w:eastAsia="zh-CN"/>
              </w:rPr>
              <w:t>本项目一般固废处理方式采取项目区内设分类垃圾篓（箱），各类垃圾袋装分类收集后，由清洁人员每日收集后，送至附近的垃圾收集站，由环卫部门统一处理，日产日清，确保清运率达到100%。</w:t>
            </w:r>
          </w:p>
          <w:p w14:paraId="662FE45A">
            <w:pPr>
              <w:pStyle w:val="29"/>
              <w:bidi w:val="0"/>
              <w:rPr>
                <w:rFonts w:hint="default"/>
                <w:color w:val="auto"/>
                <w:lang w:val="en-US" w:eastAsia="zh-CN"/>
              </w:rPr>
            </w:pPr>
            <w:r>
              <w:rPr>
                <w:rFonts w:hint="eastAsia"/>
                <w:color w:val="auto"/>
                <w:lang w:val="en-US" w:eastAsia="zh-CN"/>
              </w:rPr>
              <w:t>（3）危险废物</w:t>
            </w:r>
          </w:p>
          <w:p w14:paraId="4DEF459C">
            <w:pPr>
              <w:pStyle w:val="29"/>
              <w:bidi w:val="0"/>
              <w:rPr>
                <w:rFonts w:hint="eastAsia"/>
                <w:color w:val="auto"/>
                <w:lang w:val="en-US" w:eastAsia="zh-CN"/>
              </w:rPr>
            </w:pPr>
            <w:r>
              <w:rPr>
                <w:rFonts w:hint="default"/>
                <w:color w:val="auto"/>
                <w:lang w:val="en-US" w:eastAsia="zh-CN"/>
              </w:rPr>
              <w:t>①</w:t>
            </w:r>
            <w:r>
              <w:rPr>
                <w:rFonts w:hint="eastAsia"/>
                <w:color w:val="auto"/>
                <w:lang w:val="en-US" w:eastAsia="zh-CN"/>
              </w:rPr>
              <w:t>医疗废物</w:t>
            </w:r>
          </w:p>
          <w:p w14:paraId="13C14FA5">
            <w:pPr>
              <w:pStyle w:val="29"/>
              <w:keepNext w:val="0"/>
              <w:keepLines w:val="0"/>
              <w:pageBreakBefore w:val="0"/>
              <w:widowControl/>
              <w:kinsoku/>
              <w:wordWrap/>
              <w:overflowPunct/>
              <w:topLinePunct w:val="0"/>
              <w:autoSpaceDE w:val="0"/>
              <w:autoSpaceDN w:val="0"/>
              <w:bidi w:val="0"/>
              <w:adjustRightInd/>
              <w:snapToGrid/>
              <w:textAlignment w:val="baseline"/>
              <w:rPr>
                <w:rFonts w:hint="default"/>
                <w:color w:val="auto"/>
              </w:rPr>
            </w:pPr>
            <w:r>
              <w:rPr>
                <w:rFonts w:hint="default"/>
                <w:color w:val="auto"/>
              </w:rPr>
              <w:t>根据《国家危险废物名录》（202</w:t>
            </w:r>
            <w:r>
              <w:rPr>
                <w:rFonts w:hint="eastAsia"/>
                <w:color w:val="auto"/>
                <w:lang w:val="en-US" w:eastAsia="zh-CN"/>
              </w:rPr>
              <w:t>5</w:t>
            </w:r>
            <w:r>
              <w:rPr>
                <w:rFonts w:hint="default"/>
                <w:color w:val="auto"/>
              </w:rPr>
              <w:t>年版），废检测试剂盒、一次性输液管、针管</w:t>
            </w:r>
            <w:r>
              <w:rPr>
                <w:rFonts w:hint="eastAsia"/>
                <w:color w:val="auto"/>
                <w:lang w:val="en-US" w:eastAsia="zh-CN"/>
              </w:rPr>
              <w:t>及被污染的输液瓶</w:t>
            </w:r>
            <w:r>
              <w:rPr>
                <w:rFonts w:hint="default"/>
                <w:color w:val="auto"/>
              </w:rPr>
              <w:t>等属于感染性废物，危废代码</w:t>
            </w:r>
            <w:r>
              <w:rPr>
                <w:rFonts w:hint="eastAsia"/>
                <w:color w:val="auto"/>
                <w:lang w:eastAsia="zh-CN"/>
              </w:rPr>
              <w:t>“</w:t>
            </w:r>
            <w:r>
              <w:rPr>
                <w:rFonts w:hint="default"/>
                <w:color w:val="auto"/>
              </w:rPr>
              <w:t>HW01-841-001-01</w:t>
            </w:r>
            <w:r>
              <w:rPr>
                <w:rFonts w:hint="eastAsia"/>
                <w:color w:val="auto"/>
                <w:lang w:eastAsia="zh-CN"/>
              </w:rPr>
              <w:t>”</w:t>
            </w:r>
            <w:r>
              <w:rPr>
                <w:rFonts w:hint="default"/>
                <w:color w:val="auto"/>
              </w:rPr>
              <w:t>；针头等属于损伤性废物，危废代码</w:t>
            </w:r>
            <w:r>
              <w:rPr>
                <w:rFonts w:hint="eastAsia"/>
                <w:color w:val="auto"/>
                <w:lang w:eastAsia="zh-CN"/>
              </w:rPr>
              <w:t>“</w:t>
            </w:r>
            <w:r>
              <w:rPr>
                <w:rFonts w:hint="default"/>
                <w:color w:val="auto"/>
              </w:rPr>
              <w:t>HW01-841-002-01</w:t>
            </w:r>
            <w:r>
              <w:rPr>
                <w:rFonts w:hint="eastAsia"/>
                <w:color w:val="auto"/>
                <w:lang w:eastAsia="zh-CN"/>
              </w:rPr>
              <w:t>”</w:t>
            </w:r>
            <w:r>
              <w:rPr>
                <w:rFonts w:hint="default"/>
                <w:color w:val="auto"/>
              </w:rPr>
              <w:t>；手术废弃组织属于病理性废物，危废代码</w:t>
            </w:r>
            <w:r>
              <w:rPr>
                <w:rFonts w:hint="eastAsia"/>
                <w:color w:val="auto"/>
                <w:lang w:eastAsia="zh-CN"/>
              </w:rPr>
              <w:t>“</w:t>
            </w:r>
            <w:r>
              <w:rPr>
                <w:rFonts w:hint="default"/>
                <w:color w:val="auto"/>
              </w:rPr>
              <w:t>HW01-841-003-01</w:t>
            </w:r>
            <w:r>
              <w:rPr>
                <w:rFonts w:hint="eastAsia"/>
                <w:color w:val="auto"/>
                <w:lang w:eastAsia="zh-CN"/>
              </w:rPr>
              <w:t>”</w:t>
            </w:r>
            <w:r>
              <w:rPr>
                <w:rFonts w:hint="default"/>
                <w:color w:val="auto"/>
              </w:rPr>
              <w:t>，废弃或过期药品属于药物性废物，危废代码</w:t>
            </w:r>
            <w:r>
              <w:rPr>
                <w:rFonts w:hint="eastAsia"/>
                <w:color w:val="auto"/>
                <w:lang w:eastAsia="zh-CN"/>
              </w:rPr>
              <w:t>“</w:t>
            </w:r>
            <w:r>
              <w:rPr>
                <w:rFonts w:hint="default"/>
                <w:color w:val="auto"/>
              </w:rPr>
              <w:t>HW01-841-005-01</w:t>
            </w:r>
            <w:r>
              <w:rPr>
                <w:rFonts w:hint="eastAsia"/>
                <w:color w:val="auto"/>
                <w:lang w:eastAsia="zh-CN"/>
              </w:rPr>
              <w:t>”</w:t>
            </w:r>
            <w:r>
              <w:rPr>
                <w:rFonts w:hint="default"/>
                <w:color w:val="auto"/>
              </w:rPr>
              <w:t>，废化验试剂及化验过程产生的医疗废</w:t>
            </w:r>
            <w:r>
              <w:rPr>
                <w:rFonts w:hint="default"/>
                <w:color w:val="auto"/>
                <w:lang w:val="en-US" w:eastAsia="zh-CN"/>
              </w:rPr>
              <w:t>物</w:t>
            </w:r>
            <w:r>
              <w:rPr>
                <w:rFonts w:hint="default"/>
                <w:color w:val="auto"/>
              </w:rPr>
              <w:t>(液)属于化学系废物，废物代码为</w:t>
            </w:r>
            <w:r>
              <w:rPr>
                <w:rFonts w:hint="eastAsia"/>
                <w:color w:val="auto"/>
                <w:lang w:eastAsia="zh-CN"/>
              </w:rPr>
              <w:t>“</w:t>
            </w:r>
            <w:r>
              <w:rPr>
                <w:rFonts w:hint="default"/>
                <w:color w:val="auto"/>
              </w:rPr>
              <w:t>HW01-841-004-01</w:t>
            </w:r>
            <w:r>
              <w:rPr>
                <w:rFonts w:hint="eastAsia"/>
                <w:color w:val="auto"/>
                <w:lang w:eastAsia="zh-CN"/>
              </w:rPr>
              <w:t>”</w:t>
            </w:r>
            <w:r>
              <w:rPr>
                <w:rFonts w:hint="default"/>
                <w:color w:val="auto"/>
              </w:rPr>
              <w:t>。</w:t>
            </w:r>
          </w:p>
          <w:p w14:paraId="63D20BFD">
            <w:pPr>
              <w:pStyle w:val="29"/>
              <w:bidi w:val="0"/>
              <w:rPr>
                <w:rFonts w:hint="default"/>
                <w:color w:val="auto"/>
                <w:lang w:val="en-US" w:eastAsia="zh-CN"/>
              </w:rPr>
            </w:pPr>
            <w:r>
              <w:rPr>
                <w:rFonts w:hint="default" w:ascii="Times New Roman" w:hAnsi="Times New Roman" w:eastAsia="宋体" w:cs="Times New Roman"/>
                <w:bCs/>
                <w:snapToGrid w:val="0"/>
                <w:color w:val="auto"/>
                <w:spacing w:val="8"/>
                <w:kern w:val="0"/>
                <w:sz w:val="24"/>
                <w:szCs w:val="72"/>
                <w:lang w:val="en-US" w:eastAsia="zh-CN"/>
              </w:rPr>
              <w:t>参考《医疗废物排放统计变量的选择及排放系数的确定》中相关数据，产生量0.055kg/例计，项目医疗、住院</w:t>
            </w:r>
            <w:r>
              <w:rPr>
                <w:rFonts w:hint="eastAsia" w:ascii="Times New Roman" w:hAnsi="Times New Roman" w:eastAsia="宋体" w:cs="Times New Roman"/>
                <w:bCs/>
                <w:snapToGrid w:val="0"/>
                <w:color w:val="auto"/>
                <w:spacing w:val="8"/>
                <w:kern w:val="0"/>
                <w:sz w:val="24"/>
                <w:szCs w:val="72"/>
                <w:lang w:val="en-US" w:eastAsia="zh-CN"/>
              </w:rPr>
              <w:t>、手术</w:t>
            </w:r>
            <w:r>
              <w:rPr>
                <w:rFonts w:hint="default" w:ascii="Times New Roman" w:hAnsi="Times New Roman" w:eastAsia="宋体" w:cs="Times New Roman"/>
                <w:bCs/>
                <w:snapToGrid w:val="0"/>
                <w:color w:val="auto"/>
                <w:spacing w:val="8"/>
                <w:kern w:val="0"/>
                <w:sz w:val="24"/>
                <w:szCs w:val="72"/>
                <w:lang w:val="en-US" w:eastAsia="zh-CN"/>
              </w:rPr>
              <w:t>接诊规模</w:t>
            </w:r>
            <w:r>
              <w:rPr>
                <w:rFonts w:hint="eastAsia" w:ascii="Times New Roman" w:hAnsi="Times New Roman" w:eastAsia="宋体" w:cs="Times New Roman"/>
                <w:bCs/>
                <w:snapToGrid w:val="0"/>
                <w:color w:val="auto"/>
                <w:spacing w:val="8"/>
                <w:kern w:val="0"/>
                <w:sz w:val="24"/>
                <w:szCs w:val="72"/>
                <w:lang w:val="en-US" w:eastAsia="zh-CN"/>
              </w:rPr>
              <w:t>2</w:t>
            </w:r>
            <w:r>
              <w:rPr>
                <w:rFonts w:hint="eastAsia" w:cs="Times New Roman"/>
                <w:bCs/>
                <w:snapToGrid w:val="0"/>
                <w:color w:val="auto"/>
                <w:spacing w:val="8"/>
                <w:kern w:val="0"/>
                <w:sz w:val="24"/>
                <w:szCs w:val="72"/>
                <w:lang w:val="en-US" w:eastAsia="zh-CN"/>
              </w:rPr>
              <w:t>555</w:t>
            </w:r>
            <w:r>
              <w:rPr>
                <w:rFonts w:hint="default" w:ascii="Times New Roman" w:hAnsi="Times New Roman" w:eastAsia="宋体" w:cs="Times New Roman"/>
                <w:bCs/>
                <w:snapToGrid w:val="0"/>
                <w:color w:val="auto"/>
                <w:spacing w:val="8"/>
                <w:kern w:val="0"/>
                <w:sz w:val="24"/>
                <w:szCs w:val="72"/>
                <w:lang w:val="en-US" w:eastAsia="zh-CN"/>
              </w:rPr>
              <w:t>例/年，则医疗废物产生量为0.1</w:t>
            </w:r>
            <w:r>
              <w:rPr>
                <w:rFonts w:hint="eastAsia" w:cs="Times New Roman"/>
                <w:bCs/>
                <w:snapToGrid w:val="0"/>
                <w:color w:val="auto"/>
                <w:spacing w:val="8"/>
                <w:kern w:val="0"/>
                <w:sz w:val="24"/>
                <w:szCs w:val="72"/>
                <w:lang w:val="en-US" w:eastAsia="zh-CN"/>
              </w:rPr>
              <w:t>41</w:t>
            </w:r>
            <w:r>
              <w:rPr>
                <w:rFonts w:hint="default" w:ascii="Times New Roman" w:hAnsi="Times New Roman" w:eastAsia="宋体" w:cs="Times New Roman"/>
                <w:bCs/>
                <w:snapToGrid w:val="0"/>
                <w:color w:val="auto"/>
                <w:spacing w:val="8"/>
                <w:kern w:val="0"/>
                <w:sz w:val="24"/>
                <w:szCs w:val="72"/>
                <w:lang w:val="en-US" w:eastAsia="zh-CN"/>
              </w:rPr>
              <w:t>t/a，分类暂存于</w:t>
            </w:r>
            <w:r>
              <w:rPr>
                <w:rFonts w:hint="eastAsia" w:cs="Times New Roman"/>
                <w:bCs/>
                <w:snapToGrid w:val="0"/>
                <w:color w:val="auto"/>
                <w:spacing w:val="8"/>
                <w:kern w:val="0"/>
                <w:sz w:val="24"/>
                <w:szCs w:val="72"/>
                <w:lang w:val="en-US" w:eastAsia="zh-CN"/>
              </w:rPr>
              <w:t>危险</w:t>
            </w:r>
            <w:r>
              <w:rPr>
                <w:rFonts w:hint="default" w:ascii="Times New Roman" w:hAnsi="Times New Roman" w:eastAsia="宋体" w:cs="Times New Roman"/>
                <w:bCs/>
                <w:snapToGrid w:val="0"/>
                <w:color w:val="auto"/>
                <w:spacing w:val="8"/>
                <w:kern w:val="0"/>
                <w:sz w:val="24"/>
                <w:szCs w:val="72"/>
                <w:lang w:val="en-US" w:eastAsia="zh-CN"/>
              </w:rPr>
              <w:t>废物贮存间，并加贴危险标志，委托有资质的单位定期上门回收处置</w:t>
            </w:r>
            <w:r>
              <w:rPr>
                <w:rFonts w:hint="default"/>
                <w:color w:val="auto"/>
              </w:rPr>
              <w:t>。</w:t>
            </w:r>
          </w:p>
          <w:p w14:paraId="76DFF745">
            <w:pPr>
              <w:pStyle w:val="29"/>
              <w:bidi w:val="0"/>
              <w:rPr>
                <w:rFonts w:hint="default"/>
                <w:color w:val="auto"/>
                <w:lang w:val="en-US" w:eastAsia="zh-CN"/>
              </w:rPr>
            </w:pPr>
            <w:r>
              <w:rPr>
                <w:rFonts w:hint="default"/>
                <w:color w:val="auto"/>
                <w:lang w:val="en-US" w:eastAsia="zh-CN"/>
              </w:rPr>
              <w:t>②</w:t>
            </w:r>
            <w:bookmarkStart w:id="42" w:name="OLE_LINK47"/>
            <w:r>
              <w:rPr>
                <w:rFonts w:hint="eastAsia"/>
                <w:color w:val="auto"/>
                <w:lang w:val="en-US" w:eastAsia="zh-CN"/>
              </w:rPr>
              <w:t>患病</w:t>
            </w:r>
            <w:r>
              <w:rPr>
                <w:rFonts w:hint="default"/>
                <w:color w:val="auto"/>
                <w:lang w:val="en-US" w:eastAsia="zh-CN"/>
              </w:rPr>
              <w:t>宠物</w:t>
            </w:r>
            <w:r>
              <w:rPr>
                <w:rFonts w:hint="eastAsia"/>
                <w:color w:val="auto"/>
                <w:lang w:val="en-US" w:eastAsia="zh-CN"/>
              </w:rPr>
              <w:t>排泄物及猫砂</w:t>
            </w:r>
          </w:p>
          <w:bookmarkEnd w:id="42"/>
          <w:p w14:paraId="7881F446">
            <w:pPr>
              <w:pStyle w:val="29"/>
              <w:bidi w:val="0"/>
              <w:rPr>
                <w:rFonts w:hint="default" w:ascii="Times New Roman" w:hAnsi="Times New Roman" w:cs="Times New Roman"/>
                <w:color w:val="auto"/>
                <w:lang w:val="en-US" w:eastAsia="zh-CN"/>
              </w:rPr>
            </w:pPr>
            <w:r>
              <w:rPr>
                <w:rFonts w:hint="default" w:ascii="Times New Roman" w:hAnsi="Times New Roman" w:eastAsia="宋体" w:cs="Times New Roman"/>
                <w:sz w:val="24"/>
                <w:szCs w:val="24"/>
              </w:rPr>
              <w:t>本项目年门诊接诊约</w:t>
            </w:r>
            <w:r>
              <w:rPr>
                <w:rFonts w:hint="default" w:ascii="Times New Roman" w:hAnsi="Times New Roman" w:cs="Times New Roman"/>
                <w:sz w:val="24"/>
                <w:szCs w:val="24"/>
                <w:lang w:val="en-US" w:eastAsia="zh-CN"/>
              </w:rPr>
              <w:t>2555</w:t>
            </w:r>
            <w:r>
              <w:rPr>
                <w:rFonts w:hint="default" w:ascii="Times New Roman" w:hAnsi="Times New Roman" w:eastAsia="宋体" w:cs="Times New Roman"/>
                <w:sz w:val="24"/>
                <w:szCs w:val="24"/>
              </w:rPr>
              <w:t>只，其中</w:t>
            </w:r>
            <w:r>
              <w:rPr>
                <w:rFonts w:hint="eastAsia" w:ascii="Times New Roman" w:hAnsi="Times New Roman" w:cs="Times New Roman"/>
                <w:sz w:val="24"/>
                <w:szCs w:val="24"/>
                <w:lang w:val="en-US" w:eastAsia="zh-CN"/>
              </w:rPr>
              <w:t>患病</w:t>
            </w:r>
            <w:r>
              <w:rPr>
                <w:rFonts w:hint="default" w:ascii="Times New Roman" w:hAnsi="Times New Roman" w:eastAsia="宋体" w:cs="Times New Roman"/>
                <w:sz w:val="24"/>
                <w:szCs w:val="24"/>
              </w:rPr>
              <w:t>治疗</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rPr>
              <w:t>住院观察的动物按</w:t>
            </w:r>
            <w:r>
              <w:rPr>
                <w:rFonts w:hint="default" w:ascii="Times New Roman" w:hAnsi="Times New Roman" w:eastAsia="宋体" w:cs="Times New Roman"/>
                <w:sz w:val="24"/>
                <w:szCs w:val="24"/>
                <w:lang w:val="en-US" w:eastAsia="zh-CN"/>
              </w:rPr>
              <w:t>50</w:t>
            </w:r>
            <w:r>
              <w:rPr>
                <w:rFonts w:hint="default" w:ascii="Times New Roman" w:hAnsi="Times New Roman" w:eastAsia="宋体" w:cs="Times New Roman"/>
                <w:sz w:val="24"/>
                <w:szCs w:val="24"/>
              </w:rPr>
              <w:t>%</w:t>
            </w:r>
            <w:r>
              <w:rPr>
                <w:rFonts w:hint="eastAsia" w:ascii="Times New Roman" w:hAnsi="Times New Roman" w:cs="Times New Roman"/>
                <w:sz w:val="24"/>
                <w:szCs w:val="24"/>
                <w:lang w:val="en-US" w:eastAsia="zh-CN"/>
              </w:rPr>
              <w:t>计</w:t>
            </w:r>
            <w:r>
              <w:rPr>
                <w:rFonts w:hint="default" w:ascii="Times New Roman" w:hAnsi="Times New Roman" w:cs="Times New Roman"/>
                <w:sz w:val="24"/>
                <w:szCs w:val="24"/>
                <w:lang w:val="en-US" w:eastAsia="zh-CN"/>
              </w:rPr>
              <w:t>为1278只</w:t>
            </w:r>
            <w:r>
              <w:rPr>
                <w:rFonts w:hint="default" w:ascii="Times New Roman" w:hAnsi="Times New Roman" w:eastAsia="宋体" w:cs="Times New Roman"/>
                <w:sz w:val="24"/>
                <w:szCs w:val="24"/>
              </w:rPr>
              <w:t>，</w:t>
            </w:r>
            <w:r>
              <w:rPr>
                <w:rFonts w:hint="default" w:ascii="Times New Roman" w:hAnsi="Times New Roman" w:cs="Times New Roman"/>
                <w:color w:val="auto"/>
                <w:lang w:val="en-US" w:eastAsia="zh-CN"/>
              </w:rPr>
              <w:t>患病宠物产生的排泄物及猫砂产生量按照0.01千克/只宠物进行计算，</w:t>
            </w:r>
            <w:r>
              <w:rPr>
                <w:rFonts w:hint="eastAsia" w:ascii="Times New Roman" w:hAnsi="Times New Roman" w:cs="Times New Roman"/>
                <w:color w:val="auto"/>
                <w:lang w:val="en-US" w:eastAsia="zh-CN"/>
              </w:rPr>
              <w:t>则</w:t>
            </w:r>
            <w:r>
              <w:rPr>
                <w:rFonts w:hint="default" w:ascii="Times New Roman" w:hAnsi="Times New Roman" w:cs="Times New Roman"/>
                <w:color w:val="auto"/>
                <w:lang w:val="en-US" w:eastAsia="zh-CN"/>
              </w:rPr>
              <w:t>患病宠物产生的排泄物及猫砂0.0</w:t>
            </w:r>
            <w:r>
              <w:rPr>
                <w:rFonts w:hint="eastAsia" w:ascii="Times New Roman" w:hAnsi="Times New Roman" w:cs="Times New Roman"/>
                <w:color w:val="auto"/>
                <w:lang w:val="en-US" w:eastAsia="zh-CN"/>
              </w:rPr>
              <w:t>13</w:t>
            </w:r>
            <w:r>
              <w:rPr>
                <w:rFonts w:hint="default" w:ascii="Times New Roman" w:hAnsi="Times New Roman" w:cs="Times New Roman"/>
                <w:color w:val="auto"/>
                <w:lang w:val="en-US" w:eastAsia="zh-CN"/>
              </w:rPr>
              <w:t>吨/年。根据《国家危险废物名录（2025版）》，该危废属于HW01，危废代码“841-001-01”，患病宠物产生的排泄物及猫砂采用专用包装袋收集、消毒后暂存于危险废物贮存间内，定期委托有资质的单位综合处置。</w:t>
            </w:r>
          </w:p>
          <w:p w14:paraId="223AF3D0">
            <w:pPr>
              <w:pStyle w:val="29"/>
              <w:bidi w:val="0"/>
              <w:rPr>
                <w:rFonts w:hint="default"/>
                <w:color w:val="auto"/>
                <w:lang w:val="en-US" w:eastAsia="zh-CN"/>
              </w:rPr>
            </w:pPr>
            <w:r>
              <w:rPr>
                <w:rFonts w:hint="default"/>
                <w:color w:val="auto"/>
                <w:lang w:val="en-US" w:eastAsia="zh-CN"/>
              </w:rPr>
              <w:t>③废紫外线灯管</w:t>
            </w:r>
          </w:p>
          <w:p w14:paraId="03FD3434">
            <w:pPr>
              <w:pStyle w:val="29"/>
              <w:bidi w:val="0"/>
              <w:rPr>
                <w:rFonts w:hint="default"/>
                <w:color w:val="auto"/>
                <w:lang w:val="en-US" w:eastAsia="zh-CN"/>
              </w:rPr>
            </w:pPr>
            <w:r>
              <w:rPr>
                <w:rFonts w:hint="default"/>
                <w:color w:val="auto"/>
                <w:lang w:val="en-US" w:eastAsia="zh-CN"/>
              </w:rPr>
              <w:t>项目</w:t>
            </w:r>
            <w:r>
              <w:rPr>
                <w:rFonts w:hint="eastAsia"/>
                <w:color w:val="auto"/>
                <w:lang w:val="en-US" w:eastAsia="zh-CN"/>
              </w:rPr>
              <w:t>区</w:t>
            </w:r>
            <w:r>
              <w:rPr>
                <w:rFonts w:hint="default"/>
                <w:color w:val="auto"/>
                <w:lang w:val="en-US" w:eastAsia="zh-CN"/>
              </w:rPr>
              <w:t>用紫外线灯管对空气进行消毒将产生废紫外线灯管。类比其他宠物医院，其废紫外线灯管产生量约为0.00</w:t>
            </w:r>
            <w:r>
              <w:rPr>
                <w:rFonts w:hint="eastAsia"/>
                <w:color w:val="auto"/>
                <w:lang w:val="en-US" w:eastAsia="zh-CN"/>
              </w:rPr>
              <w:t>2吨/年</w:t>
            </w:r>
            <w:r>
              <w:rPr>
                <w:rFonts w:hint="default"/>
                <w:color w:val="auto"/>
                <w:lang w:val="en-US" w:eastAsia="zh-CN"/>
              </w:rPr>
              <w:t>。根据《国家危险废物名录（202</w:t>
            </w:r>
            <w:r>
              <w:rPr>
                <w:rFonts w:hint="eastAsia"/>
                <w:color w:val="auto"/>
                <w:lang w:val="en-US" w:eastAsia="zh-CN"/>
              </w:rPr>
              <w:t>5</w:t>
            </w:r>
            <w:r>
              <w:rPr>
                <w:rFonts w:hint="default"/>
                <w:color w:val="auto"/>
                <w:lang w:val="en-US" w:eastAsia="zh-CN"/>
              </w:rPr>
              <w:t>版）》，废紫外线灯管属于HW</w:t>
            </w:r>
            <w:r>
              <w:rPr>
                <w:rFonts w:hint="eastAsia"/>
                <w:color w:val="auto"/>
                <w:lang w:val="en-US" w:eastAsia="zh-CN"/>
              </w:rPr>
              <w:t>2</w:t>
            </w:r>
            <w:r>
              <w:rPr>
                <w:rFonts w:hint="default"/>
                <w:color w:val="auto"/>
                <w:lang w:val="en-US" w:eastAsia="zh-CN"/>
              </w:rPr>
              <w:t>9，危险废物代码900-0</w:t>
            </w:r>
            <w:r>
              <w:rPr>
                <w:rFonts w:hint="eastAsia"/>
                <w:color w:val="auto"/>
                <w:lang w:val="en-US" w:eastAsia="zh-CN"/>
              </w:rPr>
              <w:t>23</w:t>
            </w:r>
            <w:r>
              <w:rPr>
                <w:rFonts w:hint="default"/>
                <w:color w:val="auto"/>
                <w:lang w:val="en-US" w:eastAsia="zh-CN"/>
              </w:rPr>
              <w:t>-</w:t>
            </w:r>
            <w:r>
              <w:rPr>
                <w:rFonts w:hint="eastAsia"/>
                <w:color w:val="auto"/>
                <w:lang w:val="en-US" w:eastAsia="zh-CN"/>
              </w:rPr>
              <w:t>2</w:t>
            </w:r>
            <w:r>
              <w:rPr>
                <w:rFonts w:hint="default"/>
                <w:color w:val="auto"/>
                <w:lang w:val="en-US" w:eastAsia="zh-CN"/>
              </w:rPr>
              <w:t>9。根据建设单位提供资料，废紫外线灯管集中贮存在</w:t>
            </w:r>
            <w:r>
              <w:rPr>
                <w:rFonts w:hint="eastAsia"/>
                <w:color w:val="auto"/>
                <w:lang w:val="en-US" w:eastAsia="zh-CN"/>
              </w:rPr>
              <w:t>危险废物贮存间</w:t>
            </w:r>
            <w:r>
              <w:rPr>
                <w:rFonts w:hint="default"/>
                <w:color w:val="auto"/>
                <w:lang w:val="en-US" w:eastAsia="zh-CN"/>
              </w:rPr>
              <w:t>，委托有</w:t>
            </w:r>
            <w:r>
              <w:rPr>
                <w:rFonts w:hint="eastAsia"/>
                <w:color w:val="auto"/>
                <w:lang w:val="en-US" w:eastAsia="zh-CN"/>
              </w:rPr>
              <w:t>资质</w:t>
            </w:r>
            <w:r>
              <w:rPr>
                <w:rFonts w:hint="default"/>
                <w:color w:val="auto"/>
                <w:lang w:val="en-US" w:eastAsia="zh-CN"/>
              </w:rPr>
              <w:t>单位</w:t>
            </w:r>
            <w:r>
              <w:rPr>
                <w:rFonts w:hint="eastAsia"/>
                <w:color w:val="auto"/>
                <w:lang w:val="en-US" w:eastAsia="zh-CN"/>
              </w:rPr>
              <w:t>上门回收</w:t>
            </w:r>
            <w:r>
              <w:rPr>
                <w:rFonts w:hint="default"/>
                <w:color w:val="auto"/>
                <w:lang w:val="en-US" w:eastAsia="zh-CN"/>
              </w:rPr>
              <w:t>处置。</w:t>
            </w:r>
          </w:p>
          <w:p w14:paraId="32DF4C3A">
            <w:pPr>
              <w:pStyle w:val="29"/>
              <w:bidi w:val="0"/>
              <w:rPr>
                <w:rFonts w:hint="default"/>
                <w:color w:val="auto"/>
                <w:lang w:val="en-US" w:eastAsia="zh-CN"/>
              </w:rPr>
            </w:pPr>
            <w:r>
              <w:rPr>
                <w:rFonts w:hint="eastAsia"/>
                <w:color w:val="auto"/>
                <w:highlight w:val="none"/>
                <w:lang w:val="en-US" w:eastAsia="zh-CN"/>
              </w:rPr>
              <w:t>④</w:t>
            </w:r>
            <w:bookmarkStart w:id="43" w:name="OLE_LINK70"/>
            <w:r>
              <w:rPr>
                <w:rFonts w:hint="eastAsia"/>
                <w:color w:val="auto"/>
                <w:lang w:val="en-US" w:eastAsia="zh-CN"/>
              </w:rPr>
              <w:t>医疗废水处理设施废渣</w:t>
            </w:r>
          </w:p>
          <w:bookmarkEnd w:id="43"/>
          <w:p w14:paraId="6BE7D0B0">
            <w:pPr>
              <w:pStyle w:val="29"/>
              <w:bidi w:val="0"/>
              <w:rPr>
                <w:rFonts w:hint="default"/>
                <w:color w:val="auto"/>
                <w:lang w:val="en-US" w:eastAsia="zh-CN"/>
              </w:rPr>
            </w:pPr>
            <w:r>
              <w:rPr>
                <w:rFonts w:hint="eastAsia"/>
                <w:color w:val="auto"/>
                <w:lang w:val="en-US" w:eastAsia="zh-CN"/>
              </w:rPr>
              <w:t>医疗废水</w:t>
            </w:r>
            <w:r>
              <w:rPr>
                <w:rFonts w:hint="default"/>
                <w:color w:val="auto"/>
                <w:lang w:val="en-US" w:eastAsia="zh-CN"/>
              </w:rPr>
              <w:t>处理设施采取</w:t>
            </w:r>
            <w:r>
              <w:rPr>
                <w:rFonts w:hint="eastAsia"/>
                <w:color w:val="auto"/>
                <w:lang w:val="en-US" w:eastAsia="zh-CN"/>
              </w:rPr>
              <w:t>“一体化污水处理设施”</w:t>
            </w:r>
            <w:r>
              <w:rPr>
                <w:rFonts w:hint="default"/>
                <w:color w:val="auto"/>
                <w:lang w:val="en-US" w:eastAsia="zh-CN"/>
              </w:rPr>
              <w:t>处理工艺，会产生少量的</w:t>
            </w:r>
            <w:r>
              <w:rPr>
                <w:rFonts w:hint="eastAsia" w:cs="Times New Roman"/>
                <w:color w:val="auto"/>
                <w:highlight w:val="none"/>
                <w:lang w:val="en-US" w:eastAsia="zh-CN"/>
              </w:rPr>
              <w:t>格栅废渣</w:t>
            </w:r>
            <w:r>
              <w:rPr>
                <w:rFonts w:hint="default"/>
                <w:color w:val="auto"/>
                <w:lang w:val="en-US" w:eastAsia="zh-CN"/>
              </w:rPr>
              <w:t>，</w:t>
            </w:r>
            <w:bookmarkStart w:id="44" w:name="OLE_LINK20"/>
            <w:r>
              <w:rPr>
                <w:rFonts w:hint="default"/>
                <w:color w:val="auto"/>
                <w:lang w:val="en-US" w:eastAsia="zh-CN"/>
              </w:rPr>
              <w:t>根据《国家危险废物名录（202</w:t>
            </w:r>
            <w:r>
              <w:rPr>
                <w:rFonts w:hint="eastAsia"/>
                <w:color w:val="auto"/>
                <w:lang w:val="en-US" w:eastAsia="zh-CN"/>
              </w:rPr>
              <w:t>5</w:t>
            </w:r>
            <w:r>
              <w:rPr>
                <w:rFonts w:hint="default"/>
                <w:color w:val="auto"/>
                <w:lang w:val="en-US" w:eastAsia="zh-CN"/>
              </w:rPr>
              <w:t>版）》，属于HW01</w:t>
            </w:r>
            <w:r>
              <w:rPr>
                <w:rFonts w:hint="default" w:ascii="Times New Roman" w:hAnsi="Times New Roman" w:cs="Times New Roman"/>
                <w:color w:val="auto"/>
                <w:highlight w:val="none"/>
                <w:lang w:val="en-US" w:eastAsia="zh-CN"/>
              </w:rPr>
              <w:t>感染性</w:t>
            </w:r>
            <w:r>
              <w:rPr>
                <w:rFonts w:hint="eastAsia" w:cs="Times New Roman"/>
                <w:color w:val="auto"/>
                <w:highlight w:val="none"/>
                <w:lang w:val="en-US" w:eastAsia="zh-CN"/>
              </w:rPr>
              <w:t>医疗废物</w:t>
            </w:r>
            <w:r>
              <w:rPr>
                <w:rFonts w:hint="default"/>
                <w:color w:val="auto"/>
                <w:lang w:val="en-US" w:eastAsia="zh-CN"/>
              </w:rPr>
              <w:t>，危险废物代码841-00</w:t>
            </w:r>
            <w:r>
              <w:rPr>
                <w:rFonts w:hint="eastAsia"/>
                <w:color w:val="auto"/>
                <w:lang w:val="en-US" w:eastAsia="zh-CN"/>
              </w:rPr>
              <w:t>1</w:t>
            </w:r>
            <w:r>
              <w:rPr>
                <w:rFonts w:hint="default"/>
                <w:color w:val="auto"/>
                <w:lang w:val="en-US" w:eastAsia="zh-CN"/>
              </w:rPr>
              <w:t>-01。</w:t>
            </w:r>
            <w:bookmarkEnd w:id="44"/>
            <w:r>
              <w:rPr>
                <w:rFonts w:hint="eastAsia"/>
                <w:color w:val="auto"/>
                <w:lang w:val="en-US" w:eastAsia="zh-CN"/>
              </w:rPr>
              <w:t>医疗废水处理量为39.13t/a，废渣产生系数按照0.1kg废渣/t废水计，则感染性废渣产生量约为0.0039t/a，委托有资质单位定期清捞与处置，不在项目区贮存</w:t>
            </w:r>
            <w:r>
              <w:rPr>
                <w:rFonts w:hint="default"/>
                <w:color w:val="auto"/>
                <w:lang w:val="en-US" w:eastAsia="zh-CN"/>
              </w:rPr>
              <w:t>。</w:t>
            </w:r>
          </w:p>
          <w:p w14:paraId="03FFD61C">
            <w:pPr>
              <w:pStyle w:val="29"/>
              <w:bidi w:val="0"/>
              <w:rPr>
                <w:rFonts w:hint="default"/>
                <w:color w:val="auto"/>
                <w:lang w:val="en-US" w:eastAsia="zh-CN"/>
              </w:rPr>
            </w:pPr>
            <w:r>
              <w:rPr>
                <w:rFonts w:hint="default"/>
                <w:color w:val="auto"/>
                <w:lang w:val="en-US" w:eastAsia="zh-CN"/>
              </w:rPr>
              <w:t>项目在营运过程中产生</w:t>
            </w:r>
            <w:r>
              <w:rPr>
                <w:rFonts w:hint="eastAsia"/>
                <w:color w:val="auto"/>
                <w:lang w:val="en-US" w:eastAsia="zh-CN"/>
              </w:rPr>
              <w:t>的一般</w:t>
            </w:r>
            <w:r>
              <w:rPr>
                <w:rFonts w:hint="default"/>
                <w:color w:val="auto"/>
                <w:lang w:val="en-US" w:eastAsia="zh-CN"/>
              </w:rPr>
              <w:t>固体废物的产生情况见表4-</w:t>
            </w:r>
            <w:r>
              <w:rPr>
                <w:rFonts w:hint="eastAsia"/>
                <w:color w:val="auto"/>
                <w:lang w:val="en-US" w:eastAsia="zh-CN"/>
              </w:rPr>
              <w:t>13</w:t>
            </w:r>
            <w:r>
              <w:rPr>
                <w:rFonts w:hint="default"/>
                <w:color w:val="auto"/>
                <w:lang w:val="en-US" w:eastAsia="zh-CN"/>
              </w:rPr>
              <w:t>。</w:t>
            </w:r>
          </w:p>
          <w:p w14:paraId="5E48B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表4-</w:t>
            </w:r>
            <w:r>
              <w:rPr>
                <w:rFonts w:hint="eastAsia" w:ascii="Times New Roman" w:hAnsi="Times New Roman" w:eastAsia="宋体" w:cs="Times New Roman"/>
                <w:b/>
                <w:bCs/>
                <w:color w:val="auto"/>
                <w:kern w:val="0"/>
                <w:sz w:val="21"/>
                <w:szCs w:val="21"/>
                <w:highlight w:val="none"/>
                <w:lang w:val="en-US" w:eastAsia="zh-CN" w:bidi="ar"/>
              </w:rPr>
              <w:t>1</w:t>
            </w:r>
            <w:r>
              <w:rPr>
                <w:rFonts w:hint="eastAsia" w:cs="Times New Roman"/>
                <w:b/>
                <w:bCs/>
                <w:color w:val="auto"/>
                <w:kern w:val="0"/>
                <w:sz w:val="21"/>
                <w:szCs w:val="21"/>
                <w:highlight w:val="none"/>
                <w:lang w:val="en-US" w:eastAsia="zh-CN" w:bidi="ar"/>
              </w:rPr>
              <w:t>3</w:t>
            </w:r>
            <w:r>
              <w:rPr>
                <w:rFonts w:hint="default" w:ascii="Times New Roman" w:hAnsi="Times New Roman" w:eastAsia="宋体" w:cs="Times New Roman"/>
                <w:b/>
                <w:bCs/>
                <w:color w:val="auto"/>
                <w:kern w:val="0"/>
                <w:sz w:val="21"/>
                <w:szCs w:val="21"/>
                <w:highlight w:val="none"/>
                <w:lang w:val="en-US" w:eastAsia="zh-CN" w:bidi="ar"/>
              </w:rPr>
              <w:t xml:space="preserve">  </w:t>
            </w:r>
            <w:r>
              <w:rPr>
                <w:rFonts w:hint="eastAsia" w:ascii="Times New Roman" w:hAnsi="Times New Roman" w:eastAsia="宋体" w:cs="Times New Roman"/>
                <w:b/>
                <w:bCs/>
                <w:color w:val="auto"/>
                <w:kern w:val="0"/>
                <w:sz w:val="21"/>
                <w:szCs w:val="21"/>
                <w:highlight w:val="none"/>
                <w:lang w:val="en-US" w:eastAsia="zh-CN" w:bidi="ar"/>
              </w:rPr>
              <w:t>一般</w:t>
            </w:r>
            <w:r>
              <w:rPr>
                <w:rFonts w:hint="default" w:ascii="Times New Roman" w:hAnsi="Times New Roman" w:eastAsia="宋体" w:cs="Times New Roman"/>
                <w:b/>
                <w:bCs/>
                <w:color w:val="auto"/>
                <w:kern w:val="0"/>
                <w:sz w:val="21"/>
                <w:szCs w:val="21"/>
                <w:highlight w:val="none"/>
                <w:lang w:val="en-US" w:eastAsia="zh-CN" w:bidi="ar"/>
              </w:rPr>
              <w:t>固体废物产生及处置情况（</w:t>
            </w:r>
            <w:r>
              <w:rPr>
                <w:rFonts w:hint="eastAsia" w:ascii="Times New Roman" w:hAnsi="Times New Roman" w:eastAsia="宋体" w:cs="Times New Roman"/>
                <w:b/>
                <w:bCs/>
                <w:color w:val="auto"/>
                <w:kern w:val="0"/>
                <w:sz w:val="21"/>
                <w:szCs w:val="21"/>
                <w:highlight w:val="none"/>
                <w:lang w:val="en-US" w:eastAsia="zh-CN" w:bidi="ar"/>
              </w:rPr>
              <w:t>t/a</w:t>
            </w:r>
            <w:r>
              <w:rPr>
                <w:rFonts w:hint="default" w:ascii="Times New Roman" w:hAnsi="Times New Roman" w:eastAsia="宋体" w:cs="Times New Roman"/>
                <w:b/>
                <w:bCs/>
                <w:color w:val="auto"/>
                <w:kern w:val="0"/>
                <w:sz w:val="21"/>
                <w:szCs w:val="21"/>
                <w:highlight w:val="none"/>
                <w:lang w:val="en-US" w:eastAsia="zh-CN" w:bidi="ar"/>
              </w:rPr>
              <w:t>）</w:t>
            </w:r>
          </w:p>
          <w:tbl>
            <w:tblPr>
              <w:tblStyle w:val="15"/>
              <w:tblW w:w="7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1505"/>
              <w:gridCol w:w="1743"/>
              <w:gridCol w:w="919"/>
              <w:gridCol w:w="3244"/>
            </w:tblGrid>
            <w:tr w14:paraId="7BF5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dxa"/>
                  <w:noWrap w:val="0"/>
                  <w:vAlign w:val="center"/>
                </w:tcPr>
                <w:p w14:paraId="26F2AE17">
                  <w:pPr>
                    <w:widowControl w:val="0"/>
                    <w:snapToGrid w:val="0"/>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类别</w:t>
                  </w:r>
                </w:p>
              </w:tc>
              <w:tc>
                <w:tcPr>
                  <w:tcW w:w="1505" w:type="dxa"/>
                  <w:noWrap w:val="0"/>
                  <w:vAlign w:val="center"/>
                </w:tcPr>
                <w:p w14:paraId="29F5C584">
                  <w:pPr>
                    <w:widowControl w:val="0"/>
                    <w:snapToGrid w:val="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废物名称</w:t>
                  </w:r>
                </w:p>
              </w:tc>
              <w:tc>
                <w:tcPr>
                  <w:tcW w:w="1743" w:type="dxa"/>
                  <w:noWrap w:val="0"/>
                  <w:vAlign w:val="center"/>
                </w:tcPr>
                <w:p w14:paraId="66F424DE">
                  <w:pPr>
                    <w:widowControl w:val="0"/>
                    <w:snapToGrid w:val="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废物类别及代码</w:t>
                  </w:r>
                </w:p>
              </w:tc>
              <w:tc>
                <w:tcPr>
                  <w:tcW w:w="919" w:type="dxa"/>
                  <w:noWrap w:val="0"/>
                  <w:vAlign w:val="center"/>
                </w:tcPr>
                <w:p w14:paraId="7B77356D">
                  <w:pPr>
                    <w:widowControl w:val="0"/>
                    <w:snapToGrid w:val="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产生量</w:t>
                  </w:r>
                </w:p>
              </w:tc>
              <w:tc>
                <w:tcPr>
                  <w:tcW w:w="3244" w:type="dxa"/>
                  <w:noWrap w:val="0"/>
                  <w:vAlign w:val="center"/>
                </w:tcPr>
                <w:p w14:paraId="247E1699">
                  <w:pPr>
                    <w:widowControl w:val="0"/>
                    <w:snapToGrid w:val="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处置措施</w:t>
                  </w:r>
                </w:p>
              </w:tc>
            </w:tr>
            <w:tr w14:paraId="6415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 w:type="dxa"/>
                  <w:vMerge w:val="restart"/>
                  <w:noWrap w:val="0"/>
                  <w:vAlign w:val="center"/>
                </w:tcPr>
                <w:p w14:paraId="415B5010">
                  <w:pPr>
                    <w:widowControl w:val="0"/>
                    <w:snapToGrid w:val="0"/>
                    <w:rPr>
                      <w:rFonts w:hint="default" w:ascii="Times New Roman" w:hAnsi="Times New Roman" w:eastAsia="宋体" w:cs="Times New Roman"/>
                      <w:color w:val="auto"/>
                      <w:sz w:val="21"/>
                      <w:szCs w:val="21"/>
                      <w:lang w:val="en-US" w:eastAsia="zh-CN"/>
                    </w:rPr>
                  </w:pPr>
                  <w:bookmarkStart w:id="45" w:name="OLE_LINK74" w:colFirst="1" w:colLast="1"/>
                  <w:bookmarkStart w:id="46" w:name="OLE_LINK76" w:colFirst="2" w:colLast="2"/>
                  <w:bookmarkStart w:id="47" w:name="OLE_LINK13" w:colFirst="3" w:colLast="3"/>
                  <w:r>
                    <w:rPr>
                      <w:rFonts w:hint="default" w:ascii="Times New Roman" w:hAnsi="Times New Roman" w:eastAsia="宋体" w:cs="Times New Roman"/>
                      <w:color w:val="auto"/>
                      <w:sz w:val="21"/>
                      <w:szCs w:val="21"/>
                      <w:lang w:val="en-US" w:eastAsia="zh-CN"/>
                    </w:rPr>
                    <w:t>一般固废</w:t>
                  </w:r>
                </w:p>
              </w:tc>
              <w:tc>
                <w:tcPr>
                  <w:tcW w:w="1505" w:type="dxa"/>
                  <w:noWrap w:val="0"/>
                  <w:vAlign w:val="center"/>
                </w:tcPr>
                <w:p w14:paraId="3E0FDC11">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拆包过程产生的</w:t>
                  </w:r>
                  <w:bookmarkStart w:id="48" w:name="OLE_LINK60"/>
                  <w:r>
                    <w:rPr>
                      <w:rFonts w:hint="default" w:ascii="Times New Roman" w:hAnsi="Times New Roman" w:eastAsia="宋体" w:cs="Times New Roman"/>
                      <w:color w:val="auto"/>
                      <w:sz w:val="21"/>
                      <w:szCs w:val="21"/>
                      <w:highlight w:val="none"/>
                      <w:lang w:val="en-US" w:eastAsia="zh-CN"/>
                    </w:rPr>
                    <w:t>废包装物、</w:t>
                  </w:r>
                  <w:bookmarkEnd w:id="48"/>
                  <w:r>
                    <w:rPr>
                      <w:rFonts w:hint="default" w:ascii="Times New Roman" w:hAnsi="Times New Roman" w:eastAsia="宋体" w:cs="Times New Roman"/>
                      <w:color w:val="auto"/>
                      <w:sz w:val="21"/>
                      <w:szCs w:val="21"/>
                      <w:highlight w:val="none"/>
                      <w:lang w:val="en-US" w:eastAsia="zh-CN"/>
                    </w:rPr>
                    <w:t>输液瓶（袋）</w:t>
                  </w:r>
                </w:p>
              </w:tc>
              <w:tc>
                <w:tcPr>
                  <w:tcW w:w="1743" w:type="dxa"/>
                  <w:noWrap w:val="0"/>
                  <w:vAlign w:val="center"/>
                </w:tcPr>
                <w:p w14:paraId="0548E9E5">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bookmarkStart w:id="49" w:name="OLE_LINK37"/>
                  <w:r>
                    <w:rPr>
                      <w:rFonts w:hint="eastAsia" w:ascii="Times New Roman" w:hAnsi="Times New Roman" w:eastAsia="宋体" w:cs="Times New Roman"/>
                      <w:color w:val="auto"/>
                      <w:sz w:val="21"/>
                      <w:szCs w:val="21"/>
                      <w:lang w:val="en-US" w:eastAsia="zh-CN"/>
                    </w:rPr>
                    <w:t>SW62</w:t>
                  </w:r>
                </w:p>
                <w:p w14:paraId="190CBB36">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900-004-S62</w:t>
                  </w:r>
                  <w:bookmarkEnd w:id="49"/>
                  <w:r>
                    <w:rPr>
                      <w:rFonts w:hint="eastAsia" w:ascii="Times New Roman" w:hAnsi="Times New Roman" w:eastAsia="宋体" w:cs="Times New Roman"/>
                      <w:color w:val="auto"/>
                      <w:sz w:val="21"/>
                      <w:szCs w:val="21"/>
                      <w:lang w:val="en-US" w:eastAsia="zh-CN"/>
                    </w:rPr>
                    <w:t>/</w:t>
                  </w:r>
                </w:p>
                <w:p w14:paraId="661CFB94">
                  <w:pPr>
                    <w:widowControl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900-002-S62</w:t>
                  </w:r>
                </w:p>
              </w:tc>
              <w:tc>
                <w:tcPr>
                  <w:tcW w:w="919" w:type="dxa"/>
                  <w:noWrap w:val="0"/>
                  <w:vAlign w:val="center"/>
                </w:tcPr>
                <w:p w14:paraId="37CD5368">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2</w:t>
                  </w:r>
                </w:p>
              </w:tc>
              <w:tc>
                <w:tcPr>
                  <w:tcW w:w="3244" w:type="dxa"/>
                  <w:noWrap w:val="0"/>
                  <w:vAlign w:val="center"/>
                </w:tcPr>
                <w:p w14:paraId="5CBF3CC2">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收集暂存，交由</w:t>
                  </w:r>
                  <w:r>
                    <w:rPr>
                      <w:rFonts w:hint="eastAsia" w:ascii="Times New Roman" w:hAnsi="Times New Roman" w:eastAsia="宋体" w:cs="Times New Roman"/>
                      <w:color w:val="auto"/>
                      <w:sz w:val="21"/>
                      <w:szCs w:val="21"/>
                      <w:highlight w:val="none"/>
                      <w:lang w:val="en-US" w:eastAsia="zh-CN"/>
                    </w:rPr>
                    <w:t>再生资源回收单位</w:t>
                  </w:r>
                  <w:r>
                    <w:rPr>
                      <w:rFonts w:hint="default" w:ascii="Times New Roman" w:hAnsi="Times New Roman" w:eastAsia="宋体" w:cs="Times New Roman"/>
                      <w:color w:val="auto"/>
                      <w:sz w:val="21"/>
                      <w:szCs w:val="21"/>
                      <w:highlight w:val="none"/>
                      <w:lang w:val="en-US" w:eastAsia="zh-CN"/>
                    </w:rPr>
                    <w:t>处置。</w:t>
                  </w:r>
                </w:p>
              </w:tc>
            </w:tr>
            <w:tr w14:paraId="1824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84" w:type="dxa"/>
                  <w:vMerge w:val="continue"/>
                  <w:noWrap w:val="0"/>
                  <w:vAlign w:val="center"/>
                </w:tcPr>
                <w:p w14:paraId="6C8F5171">
                  <w:pPr>
                    <w:widowControl w:val="0"/>
                    <w:snapToGrid w:val="0"/>
                    <w:rPr>
                      <w:rFonts w:hint="default" w:ascii="Times New Roman" w:hAnsi="Times New Roman" w:eastAsia="宋体" w:cs="Times New Roman"/>
                      <w:color w:val="auto"/>
                      <w:sz w:val="21"/>
                      <w:szCs w:val="21"/>
                      <w:lang w:val="en-US" w:eastAsia="zh-CN"/>
                    </w:rPr>
                  </w:pPr>
                </w:p>
              </w:tc>
              <w:tc>
                <w:tcPr>
                  <w:tcW w:w="1505" w:type="dxa"/>
                  <w:noWrap w:val="0"/>
                  <w:vAlign w:val="center"/>
                </w:tcPr>
                <w:p w14:paraId="7EF67EF8">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健康</w:t>
                  </w:r>
                  <w:r>
                    <w:rPr>
                      <w:rFonts w:hint="default" w:ascii="Times New Roman" w:hAnsi="Times New Roman" w:eastAsia="宋体" w:cs="Times New Roman"/>
                      <w:color w:val="auto"/>
                      <w:sz w:val="21"/>
                      <w:szCs w:val="21"/>
                      <w:highlight w:val="none"/>
                      <w:lang w:val="en-US" w:eastAsia="zh-CN"/>
                    </w:rPr>
                    <w:t>宠物粪便</w:t>
                  </w:r>
                  <w:r>
                    <w:rPr>
                      <w:rFonts w:hint="eastAsia" w:ascii="Times New Roman" w:hAnsi="Times New Roman" w:eastAsia="宋体" w:cs="Times New Roman"/>
                      <w:color w:val="auto"/>
                      <w:sz w:val="21"/>
                      <w:szCs w:val="21"/>
                      <w:highlight w:val="none"/>
                      <w:lang w:val="en-US" w:eastAsia="zh-CN"/>
                    </w:rPr>
                    <w:t>及猫砂</w:t>
                  </w:r>
                </w:p>
              </w:tc>
              <w:tc>
                <w:tcPr>
                  <w:tcW w:w="1743" w:type="dxa"/>
                  <w:vMerge w:val="restart"/>
                  <w:noWrap w:val="0"/>
                  <w:vAlign w:val="center"/>
                </w:tcPr>
                <w:p w14:paraId="664F0EBE">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SW64</w:t>
                  </w:r>
                </w:p>
                <w:p w14:paraId="65BEA273">
                  <w:pPr>
                    <w:widowControl w:val="0"/>
                    <w:snapToGrid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900-099-S64</w:t>
                  </w:r>
                </w:p>
              </w:tc>
              <w:tc>
                <w:tcPr>
                  <w:tcW w:w="919" w:type="dxa"/>
                  <w:noWrap w:val="0"/>
                  <w:vAlign w:val="center"/>
                </w:tcPr>
                <w:p w14:paraId="064080AF">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3</w:t>
                  </w:r>
                </w:p>
              </w:tc>
              <w:tc>
                <w:tcPr>
                  <w:tcW w:w="3244" w:type="dxa"/>
                  <w:vMerge w:val="restart"/>
                  <w:noWrap w:val="0"/>
                  <w:vAlign w:val="center"/>
                </w:tcPr>
                <w:p w14:paraId="18387CBD">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采用专用包装袋收集后统一由环卫部门处置</w:t>
                  </w:r>
                </w:p>
              </w:tc>
            </w:tr>
            <w:tr w14:paraId="385F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4" w:type="dxa"/>
                  <w:vMerge w:val="continue"/>
                  <w:noWrap w:val="0"/>
                  <w:vAlign w:val="center"/>
                </w:tcPr>
                <w:p w14:paraId="7A449E15">
                  <w:pPr>
                    <w:widowControl w:val="0"/>
                    <w:snapToGrid w:val="0"/>
                    <w:rPr>
                      <w:rFonts w:hint="default" w:ascii="Times New Roman" w:hAnsi="Times New Roman" w:eastAsia="宋体" w:cs="Times New Roman"/>
                      <w:color w:val="auto"/>
                      <w:sz w:val="21"/>
                      <w:szCs w:val="21"/>
                      <w:lang w:val="en-US" w:eastAsia="zh-CN"/>
                    </w:rPr>
                  </w:pPr>
                </w:p>
              </w:tc>
              <w:tc>
                <w:tcPr>
                  <w:tcW w:w="1505" w:type="dxa"/>
                  <w:noWrap w:val="0"/>
                  <w:vAlign w:val="center"/>
                </w:tcPr>
                <w:p w14:paraId="5006D0D1">
                  <w:pPr>
                    <w:widowControl w:val="0"/>
                    <w:snapToGrid w:val="0"/>
                    <w:rPr>
                      <w:rFonts w:hint="default" w:cs="Times New Roman"/>
                      <w:color w:val="auto"/>
                      <w:sz w:val="21"/>
                      <w:szCs w:val="21"/>
                      <w:lang w:val="en-US" w:eastAsia="zh-CN"/>
                    </w:rPr>
                  </w:pPr>
                  <w:r>
                    <w:rPr>
                      <w:rFonts w:hint="eastAsia" w:cs="Times New Roman"/>
                      <w:color w:val="auto"/>
                      <w:sz w:val="21"/>
                      <w:szCs w:val="21"/>
                      <w:lang w:val="en-US" w:eastAsia="zh-CN"/>
                    </w:rPr>
                    <w:t>宠物毛发</w:t>
                  </w:r>
                </w:p>
              </w:tc>
              <w:tc>
                <w:tcPr>
                  <w:tcW w:w="1743" w:type="dxa"/>
                  <w:vMerge w:val="continue"/>
                  <w:noWrap w:val="0"/>
                  <w:vAlign w:val="center"/>
                </w:tcPr>
                <w:p w14:paraId="6B5EC098">
                  <w:pPr>
                    <w:widowControl w:val="0"/>
                    <w:snapToGrid w:val="0"/>
                    <w:jc w:val="center"/>
                    <w:rPr>
                      <w:rFonts w:hint="eastAsia" w:ascii="Times New Roman" w:hAnsi="Times New Roman" w:eastAsia="宋体" w:cs="Times New Roman"/>
                      <w:color w:val="auto"/>
                      <w:sz w:val="21"/>
                      <w:szCs w:val="21"/>
                      <w:lang w:val="en-US" w:eastAsia="zh-CN"/>
                    </w:rPr>
                  </w:pPr>
                </w:p>
              </w:tc>
              <w:tc>
                <w:tcPr>
                  <w:tcW w:w="919" w:type="dxa"/>
                  <w:noWrap w:val="0"/>
                  <w:vAlign w:val="center"/>
                </w:tcPr>
                <w:p w14:paraId="61878444">
                  <w:pPr>
                    <w:widowControl w:val="0"/>
                    <w:snapToGrid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3</w:t>
                  </w:r>
                </w:p>
              </w:tc>
              <w:tc>
                <w:tcPr>
                  <w:tcW w:w="3244" w:type="dxa"/>
                  <w:vMerge w:val="continue"/>
                  <w:noWrap w:val="0"/>
                  <w:vAlign w:val="center"/>
                </w:tcPr>
                <w:p w14:paraId="7C49F0BC">
                  <w:pPr>
                    <w:widowControl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p>
              </w:tc>
            </w:tr>
            <w:tr w14:paraId="5290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84" w:type="dxa"/>
                  <w:vMerge w:val="continue"/>
                  <w:noWrap w:val="0"/>
                  <w:vAlign w:val="center"/>
                </w:tcPr>
                <w:p w14:paraId="4B7BD4EA">
                  <w:pPr>
                    <w:widowControl w:val="0"/>
                    <w:snapToGrid w:val="0"/>
                    <w:rPr>
                      <w:rFonts w:hint="default" w:ascii="Times New Roman" w:hAnsi="Times New Roman" w:eastAsia="宋体" w:cs="Times New Roman"/>
                      <w:color w:val="auto"/>
                      <w:sz w:val="21"/>
                      <w:szCs w:val="21"/>
                      <w:lang w:val="en-US" w:eastAsia="zh-CN"/>
                    </w:rPr>
                  </w:pPr>
                </w:p>
              </w:tc>
              <w:tc>
                <w:tcPr>
                  <w:tcW w:w="1505" w:type="dxa"/>
                  <w:noWrap w:val="0"/>
                  <w:vAlign w:val="center"/>
                </w:tcPr>
                <w:p w14:paraId="5EFE75B9">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生活垃圾</w:t>
                  </w:r>
                </w:p>
              </w:tc>
              <w:tc>
                <w:tcPr>
                  <w:tcW w:w="1743" w:type="dxa"/>
                  <w:vMerge w:val="continue"/>
                  <w:noWrap w:val="0"/>
                  <w:vAlign w:val="center"/>
                </w:tcPr>
                <w:p w14:paraId="63616841">
                  <w:pPr>
                    <w:widowControl w:val="0"/>
                    <w:snapToGrid w:val="0"/>
                    <w:ind w:firstLine="0" w:firstLineChars="0"/>
                    <w:rPr>
                      <w:rFonts w:hint="default" w:ascii="Times New Roman" w:hAnsi="Times New Roman" w:eastAsia="宋体" w:cs="Times New Roman"/>
                      <w:color w:val="auto"/>
                      <w:sz w:val="21"/>
                      <w:szCs w:val="21"/>
                      <w:lang w:val="en-US" w:eastAsia="zh-CN"/>
                    </w:rPr>
                  </w:pPr>
                </w:p>
              </w:tc>
              <w:tc>
                <w:tcPr>
                  <w:tcW w:w="919" w:type="dxa"/>
                  <w:noWrap w:val="0"/>
                  <w:vAlign w:val="center"/>
                </w:tcPr>
                <w:p w14:paraId="7F8B8348">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0.730</w:t>
                  </w:r>
                </w:p>
              </w:tc>
              <w:tc>
                <w:tcPr>
                  <w:tcW w:w="3244" w:type="dxa"/>
                  <w:noWrap w:val="0"/>
                  <w:vAlign w:val="center"/>
                </w:tcPr>
                <w:p w14:paraId="62A6BF4F">
                  <w:pPr>
                    <w:widowControl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集中收集至垃圾桶后，由环卫部门统一收运处置。</w:t>
                  </w:r>
                </w:p>
              </w:tc>
            </w:tr>
            <w:tr w14:paraId="4C43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84" w:type="dxa"/>
                  <w:vMerge w:val="continue"/>
                  <w:noWrap w:val="0"/>
                  <w:vAlign w:val="center"/>
                </w:tcPr>
                <w:p w14:paraId="6F5F985C">
                  <w:pPr>
                    <w:widowControl w:val="0"/>
                    <w:snapToGrid w:val="0"/>
                    <w:rPr>
                      <w:rFonts w:hint="default" w:ascii="Times New Roman" w:hAnsi="Times New Roman" w:eastAsia="宋体" w:cs="Times New Roman"/>
                      <w:color w:val="auto"/>
                      <w:sz w:val="21"/>
                      <w:szCs w:val="21"/>
                      <w:lang w:val="en-US" w:eastAsia="zh-CN"/>
                    </w:rPr>
                  </w:pPr>
                </w:p>
              </w:tc>
              <w:tc>
                <w:tcPr>
                  <w:tcW w:w="1505" w:type="dxa"/>
                  <w:noWrap w:val="0"/>
                  <w:vAlign w:val="center"/>
                </w:tcPr>
                <w:p w14:paraId="258FC328">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highlight w:val="none"/>
                      <w:lang w:val="en-US" w:eastAsia="zh-CN"/>
                    </w:rPr>
                    <w:t>动物尸体</w:t>
                  </w:r>
                </w:p>
              </w:tc>
              <w:tc>
                <w:tcPr>
                  <w:tcW w:w="1743" w:type="dxa"/>
                  <w:noWrap w:val="0"/>
                  <w:vAlign w:val="center"/>
                </w:tcPr>
                <w:p w14:paraId="2A6F7832">
                  <w:pPr>
                    <w:widowControl w:val="0"/>
                    <w:snapToGrid w:val="0"/>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19" w:type="dxa"/>
                  <w:noWrap w:val="0"/>
                  <w:vAlign w:val="center"/>
                </w:tcPr>
                <w:p w14:paraId="232DF287">
                  <w:pPr>
                    <w:widowControl w:val="0"/>
                    <w:snapToGrid w:val="0"/>
                    <w:ind w:firstLine="0" w:firstLineChars="0"/>
                    <w:rPr>
                      <w:rFonts w:hint="default" w:cs="Times New Roman"/>
                      <w:color w:val="auto"/>
                      <w:sz w:val="21"/>
                      <w:szCs w:val="21"/>
                      <w:lang w:val="en-US" w:eastAsia="zh-CN"/>
                    </w:rPr>
                  </w:pPr>
                  <w:r>
                    <w:rPr>
                      <w:rFonts w:hint="eastAsia" w:cs="Times New Roman"/>
                      <w:color w:val="auto"/>
                      <w:sz w:val="21"/>
                      <w:szCs w:val="21"/>
                      <w:lang w:val="en-US" w:eastAsia="zh-CN"/>
                    </w:rPr>
                    <w:t>0.024</w:t>
                  </w:r>
                </w:p>
              </w:tc>
              <w:tc>
                <w:tcPr>
                  <w:tcW w:w="3244" w:type="dxa"/>
                  <w:noWrap w:val="0"/>
                  <w:vAlign w:val="center"/>
                </w:tcPr>
                <w:p w14:paraId="7D6569E5">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本项目运营过程中不负责处理动物尸体，由客户自行带走</w:t>
                  </w:r>
                  <w:r>
                    <w:rPr>
                      <w:rFonts w:hint="eastAsia" w:ascii="Times New Roman" w:hAnsi="Times New Roman" w:eastAsia="宋体" w:cs="Times New Roman"/>
                      <w:color w:val="auto"/>
                      <w:sz w:val="21"/>
                      <w:szCs w:val="21"/>
                      <w:highlight w:val="none"/>
                      <w:lang w:val="en-US" w:eastAsia="zh-CN"/>
                    </w:rPr>
                    <w:t>依法</w:t>
                  </w:r>
                  <w:r>
                    <w:rPr>
                      <w:rFonts w:hint="default" w:ascii="Times New Roman" w:hAnsi="Times New Roman" w:eastAsia="宋体" w:cs="Times New Roman"/>
                      <w:color w:val="auto"/>
                      <w:sz w:val="21"/>
                      <w:szCs w:val="21"/>
                      <w:highlight w:val="none"/>
                      <w:lang w:val="en-US" w:eastAsia="zh-CN"/>
                    </w:rPr>
                    <w:t>处置。</w:t>
                  </w:r>
                </w:p>
              </w:tc>
            </w:tr>
            <w:bookmarkEnd w:id="45"/>
            <w:bookmarkEnd w:id="46"/>
            <w:bookmarkEnd w:id="47"/>
          </w:tbl>
          <w:p w14:paraId="1D281560">
            <w:pPr>
              <w:keepNext w:val="0"/>
              <w:keepLines w:val="0"/>
              <w:pageBreakBefore w:val="0"/>
              <w:widowControl/>
              <w:kinsoku/>
              <w:wordWrap/>
              <w:overflowPunct/>
              <w:topLinePunct w:val="0"/>
              <w:autoSpaceDE/>
              <w:autoSpaceDN/>
              <w:bidi w:val="0"/>
              <w:adjustRightInd/>
              <w:snapToGrid/>
              <w:spacing w:before="0" w:beforeLines="50"/>
              <w:ind w:firstLine="482"/>
              <w:textAlignment w:val="baseline"/>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根据《建设项目危险废物环境影响评价指南》（环境保护部〔2017〕43号）要求，本项目危险废物基本情况见表4-</w:t>
            </w:r>
            <w:r>
              <w:rPr>
                <w:rFonts w:hint="eastAsia" w:cs="Times New Roman"/>
                <w:color w:val="auto"/>
                <w:highlight w:val="none"/>
                <w:lang w:val="en-US" w:eastAsia="zh-CN"/>
              </w:rPr>
              <w:t>14</w:t>
            </w:r>
            <w:r>
              <w:rPr>
                <w:rFonts w:hint="default" w:ascii="Times New Roman" w:hAnsi="Times New Roman" w:eastAsia="宋体" w:cs="Times New Roman"/>
                <w:color w:val="auto"/>
                <w:highlight w:val="none"/>
                <w:lang w:val="en-US" w:eastAsia="zh-CN"/>
              </w:rPr>
              <w:t>。</w:t>
            </w:r>
          </w:p>
          <w:p w14:paraId="27C02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表4-</w:t>
            </w:r>
            <w:r>
              <w:rPr>
                <w:rFonts w:hint="eastAsia" w:ascii="Times New Roman" w:hAnsi="Times New Roman" w:eastAsia="宋体" w:cs="Times New Roman"/>
                <w:b/>
                <w:bCs/>
                <w:color w:val="auto"/>
                <w:kern w:val="0"/>
                <w:sz w:val="21"/>
                <w:szCs w:val="21"/>
                <w:highlight w:val="none"/>
                <w:lang w:val="en-US" w:eastAsia="zh-CN" w:bidi="ar"/>
              </w:rPr>
              <w:t>1</w:t>
            </w:r>
            <w:r>
              <w:rPr>
                <w:rFonts w:hint="eastAsia" w:cs="Times New Roman"/>
                <w:b/>
                <w:bCs/>
                <w:color w:val="auto"/>
                <w:kern w:val="0"/>
                <w:sz w:val="21"/>
                <w:szCs w:val="21"/>
                <w:highlight w:val="none"/>
                <w:lang w:val="en-US" w:eastAsia="zh-CN" w:bidi="ar"/>
              </w:rPr>
              <w:t>4</w:t>
            </w:r>
            <w:r>
              <w:rPr>
                <w:rFonts w:hint="default" w:ascii="Times New Roman" w:hAnsi="Times New Roman" w:eastAsia="宋体" w:cs="Times New Roman"/>
                <w:b/>
                <w:bCs/>
                <w:color w:val="auto"/>
                <w:kern w:val="0"/>
                <w:sz w:val="21"/>
                <w:szCs w:val="21"/>
                <w:highlight w:val="none"/>
                <w:lang w:val="en-US" w:eastAsia="zh-CN" w:bidi="ar"/>
              </w:rPr>
              <w:t xml:space="preserve">  项目危险废物汇总表</w:t>
            </w:r>
          </w:p>
          <w:tbl>
            <w:tblPr>
              <w:tblStyle w:val="15"/>
              <w:tblW w:w="8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
              <w:gridCol w:w="375"/>
              <w:gridCol w:w="900"/>
              <w:gridCol w:w="900"/>
              <w:gridCol w:w="1219"/>
              <w:gridCol w:w="1200"/>
              <w:gridCol w:w="994"/>
              <w:gridCol w:w="1050"/>
              <w:gridCol w:w="1148"/>
            </w:tblGrid>
            <w:tr w14:paraId="104F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46" w:type="dxa"/>
                  <w:noWrap w:val="0"/>
                  <w:vAlign w:val="center"/>
                </w:tcPr>
                <w:p w14:paraId="45B016C1">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序号</w:t>
                  </w:r>
                </w:p>
              </w:tc>
              <w:tc>
                <w:tcPr>
                  <w:tcW w:w="1275" w:type="dxa"/>
                  <w:gridSpan w:val="2"/>
                  <w:noWrap w:val="0"/>
                  <w:vAlign w:val="center"/>
                </w:tcPr>
                <w:p w14:paraId="0D650D96">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名称</w:t>
                  </w:r>
                </w:p>
              </w:tc>
              <w:tc>
                <w:tcPr>
                  <w:tcW w:w="900" w:type="dxa"/>
                  <w:noWrap w:val="0"/>
                  <w:vAlign w:val="center"/>
                </w:tcPr>
                <w:p w14:paraId="0E557A23">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危险废物类别</w:t>
                  </w:r>
                </w:p>
              </w:tc>
              <w:tc>
                <w:tcPr>
                  <w:tcW w:w="1219" w:type="dxa"/>
                  <w:noWrap w:val="0"/>
                  <w:vAlign w:val="center"/>
                </w:tcPr>
                <w:p w14:paraId="09476146">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危险废物代码</w:t>
                  </w:r>
                </w:p>
              </w:tc>
              <w:tc>
                <w:tcPr>
                  <w:tcW w:w="1200" w:type="dxa"/>
                  <w:noWrap w:val="0"/>
                  <w:vAlign w:val="center"/>
                </w:tcPr>
                <w:p w14:paraId="1521AD2E">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主要有毒有害物质名称</w:t>
                  </w:r>
                </w:p>
              </w:tc>
              <w:tc>
                <w:tcPr>
                  <w:tcW w:w="994" w:type="dxa"/>
                  <w:noWrap w:val="0"/>
                  <w:vAlign w:val="center"/>
                </w:tcPr>
                <w:p w14:paraId="6271128C">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环境危险特性</w:t>
                  </w:r>
                </w:p>
              </w:tc>
              <w:tc>
                <w:tcPr>
                  <w:tcW w:w="1050" w:type="dxa"/>
                  <w:noWrap w:val="0"/>
                  <w:vAlign w:val="center"/>
                </w:tcPr>
                <w:p w14:paraId="3BB42014">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产生量t/a</w:t>
                  </w:r>
                </w:p>
              </w:tc>
              <w:tc>
                <w:tcPr>
                  <w:tcW w:w="1148" w:type="dxa"/>
                  <w:noWrap w:val="0"/>
                  <w:vAlign w:val="center"/>
                </w:tcPr>
                <w:p w14:paraId="67F0D9AC">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环境管理要求</w:t>
                  </w:r>
                </w:p>
              </w:tc>
            </w:tr>
            <w:tr w14:paraId="05CA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46" w:type="dxa"/>
                  <w:vMerge w:val="restart"/>
                  <w:noWrap w:val="0"/>
                  <w:vAlign w:val="center"/>
                </w:tcPr>
                <w:p w14:paraId="38EB5761">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375" w:type="dxa"/>
                  <w:vMerge w:val="restart"/>
                  <w:noWrap w:val="0"/>
                  <w:vAlign w:val="center"/>
                </w:tcPr>
                <w:p w14:paraId="204F02C4">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医疗废物</w:t>
                  </w:r>
                </w:p>
              </w:tc>
              <w:tc>
                <w:tcPr>
                  <w:tcW w:w="900" w:type="dxa"/>
                  <w:noWrap w:val="0"/>
                  <w:vAlign w:val="center"/>
                </w:tcPr>
                <w:p w14:paraId="266011E4">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感染性</w:t>
                  </w:r>
                </w:p>
              </w:tc>
              <w:tc>
                <w:tcPr>
                  <w:tcW w:w="900" w:type="dxa"/>
                  <w:vMerge w:val="restart"/>
                  <w:noWrap w:val="0"/>
                  <w:vAlign w:val="center"/>
                </w:tcPr>
                <w:p w14:paraId="4AE59998">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HW01</w:t>
                  </w:r>
                </w:p>
              </w:tc>
              <w:tc>
                <w:tcPr>
                  <w:tcW w:w="1219" w:type="dxa"/>
                  <w:noWrap w:val="0"/>
                  <w:vAlign w:val="center"/>
                </w:tcPr>
                <w:p w14:paraId="6A8F14B4">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1-001-01</w:t>
                  </w:r>
                </w:p>
              </w:tc>
              <w:tc>
                <w:tcPr>
                  <w:tcW w:w="1200" w:type="dxa"/>
                  <w:vMerge w:val="restart"/>
                  <w:noWrap w:val="0"/>
                  <w:vAlign w:val="center"/>
                </w:tcPr>
                <w:p w14:paraId="658B47FA">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bookmarkStart w:id="50" w:name="OLE_LINK52"/>
                  <w:r>
                    <w:rPr>
                      <w:rFonts w:hint="default" w:ascii="Times New Roman" w:hAnsi="Times New Roman" w:eastAsia="宋体" w:cs="Times New Roman"/>
                      <w:color w:val="auto"/>
                      <w:sz w:val="21"/>
                      <w:szCs w:val="21"/>
                      <w:highlight w:val="none"/>
                      <w:lang w:val="en-US" w:eastAsia="zh-CN"/>
                    </w:rPr>
                    <w:t>含有或沾染的细菌病毒等</w:t>
                  </w:r>
                  <w:bookmarkEnd w:id="50"/>
                </w:p>
              </w:tc>
              <w:tc>
                <w:tcPr>
                  <w:tcW w:w="994" w:type="dxa"/>
                  <w:shd w:val="clear" w:color="auto" w:fill="auto"/>
                  <w:noWrap w:val="0"/>
                  <w:vAlign w:val="center"/>
                </w:tcPr>
                <w:p w14:paraId="3FCD974E">
                  <w:pPr>
                    <w:widowControl w:val="0"/>
                    <w:snapToGrid w:val="0"/>
                    <w:rPr>
                      <w:rFonts w:hint="default" w:ascii="Times New Roman" w:hAnsi="Times New Roman" w:eastAsia="宋体" w:cs="Times New Roman"/>
                      <w:snapToGrid w:val="0"/>
                      <w:color w:val="auto"/>
                      <w:kern w:val="0"/>
                      <w:sz w:val="21"/>
                      <w:szCs w:val="21"/>
                      <w:lang w:val="en-US" w:eastAsia="zh-CN"/>
                    </w:rPr>
                  </w:pPr>
                  <w:bookmarkStart w:id="51" w:name="OLE_LINK53"/>
                  <w:r>
                    <w:rPr>
                      <w:rFonts w:hint="default" w:ascii="Times New Roman" w:hAnsi="Times New Roman" w:eastAsia="宋体" w:cs="Times New Roman"/>
                      <w:color w:val="auto"/>
                      <w:sz w:val="21"/>
                      <w:szCs w:val="21"/>
                      <w:lang w:val="en-US" w:eastAsia="zh-CN"/>
                    </w:rPr>
                    <w:t>In</w:t>
                  </w:r>
                </w:p>
                <w:bookmarkEnd w:id="51"/>
              </w:tc>
              <w:tc>
                <w:tcPr>
                  <w:tcW w:w="1050" w:type="dxa"/>
                  <w:vMerge w:val="restart"/>
                  <w:noWrap w:val="0"/>
                  <w:vAlign w:val="center"/>
                </w:tcPr>
                <w:p w14:paraId="20A65821">
                  <w:pPr>
                    <w:widowControl w:val="0"/>
                    <w:snapToGrid w:val="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0.141</w:t>
                  </w:r>
                </w:p>
              </w:tc>
              <w:tc>
                <w:tcPr>
                  <w:tcW w:w="1148" w:type="dxa"/>
                  <w:vMerge w:val="restart"/>
                  <w:noWrap w:val="0"/>
                  <w:vAlign w:val="center"/>
                </w:tcPr>
                <w:p w14:paraId="3BCB44A3">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收集</w:t>
                  </w:r>
                  <w:r>
                    <w:rPr>
                      <w:rFonts w:hint="eastAsia" w:ascii="Times New Roman" w:hAnsi="Times New Roman" w:eastAsia="宋体" w:cs="Times New Roman"/>
                      <w:color w:val="auto"/>
                      <w:sz w:val="21"/>
                      <w:szCs w:val="21"/>
                      <w:highlight w:val="none"/>
                      <w:lang w:val="en-US" w:eastAsia="zh-CN"/>
                    </w:rPr>
                    <w:t>消毒后</w:t>
                  </w:r>
                  <w:r>
                    <w:rPr>
                      <w:rFonts w:hint="default" w:ascii="Times New Roman" w:hAnsi="Times New Roman" w:eastAsia="宋体" w:cs="Times New Roman"/>
                      <w:color w:val="auto"/>
                      <w:sz w:val="21"/>
                      <w:szCs w:val="21"/>
                      <w:highlight w:val="none"/>
                      <w:lang w:val="en-US" w:eastAsia="zh-CN"/>
                    </w:rPr>
                    <w:t>暂存在</w:t>
                  </w:r>
                  <w:r>
                    <w:rPr>
                      <w:rFonts w:hint="eastAsia" w:ascii="Times New Roman" w:hAnsi="Times New Roman" w:eastAsia="宋体" w:cs="Times New Roman"/>
                      <w:color w:val="auto"/>
                      <w:sz w:val="21"/>
                      <w:szCs w:val="21"/>
                      <w:highlight w:val="none"/>
                      <w:lang w:val="en-US" w:eastAsia="zh-CN"/>
                    </w:rPr>
                    <w:t>危险废物贮存间</w:t>
                  </w:r>
                  <w:r>
                    <w:rPr>
                      <w:rFonts w:hint="default" w:ascii="Times New Roman" w:hAnsi="Times New Roman" w:eastAsia="宋体" w:cs="Times New Roman"/>
                      <w:color w:val="auto"/>
                      <w:sz w:val="21"/>
                      <w:szCs w:val="21"/>
                      <w:highlight w:val="none"/>
                      <w:lang w:val="en-US" w:eastAsia="zh-CN"/>
                    </w:rPr>
                    <w:t>，委托有资质单位</w:t>
                  </w:r>
                  <w:r>
                    <w:rPr>
                      <w:rFonts w:hint="eastAsia" w:ascii="Times New Roman" w:hAnsi="Times New Roman" w:eastAsia="宋体" w:cs="Times New Roman"/>
                      <w:color w:val="auto"/>
                      <w:sz w:val="21"/>
                      <w:szCs w:val="21"/>
                      <w:highlight w:val="none"/>
                      <w:lang w:val="en-US" w:eastAsia="zh-CN"/>
                    </w:rPr>
                    <w:t>上门回收</w:t>
                  </w:r>
                  <w:r>
                    <w:rPr>
                      <w:rFonts w:hint="default" w:ascii="Times New Roman" w:hAnsi="Times New Roman" w:eastAsia="宋体" w:cs="Times New Roman"/>
                      <w:color w:val="auto"/>
                      <w:sz w:val="21"/>
                      <w:szCs w:val="21"/>
                      <w:highlight w:val="none"/>
                      <w:lang w:val="en-US" w:eastAsia="zh-CN"/>
                    </w:rPr>
                    <w:t>处置</w:t>
                  </w:r>
                </w:p>
              </w:tc>
            </w:tr>
            <w:tr w14:paraId="0FB5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6" w:type="dxa"/>
                  <w:vMerge w:val="continue"/>
                  <w:noWrap w:val="0"/>
                  <w:vAlign w:val="center"/>
                </w:tcPr>
                <w:p w14:paraId="3A324D5F">
                  <w:pPr>
                    <w:widowControl w:val="0"/>
                    <w:snapToGrid w:val="0"/>
                    <w:rPr>
                      <w:rFonts w:hint="default" w:ascii="Times New Roman" w:hAnsi="Times New Roman" w:eastAsia="宋体" w:cs="Times New Roman"/>
                      <w:color w:val="auto"/>
                      <w:sz w:val="21"/>
                      <w:szCs w:val="21"/>
                      <w:lang w:val="en-US" w:eastAsia="zh-CN"/>
                    </w:rPr>
                  </w:pPr>
                </w:p>
              </w:tc>
              <w:tc>
                <w:tcPr>
                  <w:tcW w:w="375" w:type="dxa"/>
                  <w:vMerge w:val="continue"/>
                  <w:noWrap w:val="0"/>
                  <w:vAlign w:val="center"/>
                </w:tcPr>
                <w:p w14:paraId="6A050AB3">
                  <w:pPr>
                    <w:widowControl w:val="0"/>
                    <w:snapToGrid w:val="0"/>
                    <w:rPr>
                      <w:rFonts w:hint="default" w:ascii="Times New Roman" w:hAnsi="Times New Roman" w:eastAsia="宋体" w:cs="Times New Roman"/>
                      <w:color w:val="auto"/>
                      <w:sz w:val="21"/>
                      <w:szCs w:val="21"/>
                      <w:lang w:val="en-US" w:eastAsia="zh-CN"/>
                    </w:rPr>
                  </w:pPr>
                </w:p>
              </w:tc>
              <w:tc>
                <w:tcPr>
                  <w:tcW w:w="900" w:type="dxa"/>
                  <w:noWrap w:val="0"/>
                  <w:vAlign w:val="center"/>
                </w:tcPr>
                <w:p w14:paraId="21A7760E">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损伤性</w:t>
                  </w:r>
                </w:p>
              </w:tc>
              <w:tc>
                <w:tcPr>
                  <w:tcW w:w="900" w:type="dxa"/>
                  <w:vMerge w:val="continue"/>
                  <w:noWrap w:val="0"/>
                  <w:vAlign w:val="center"/>
                </w:tcPr>
                <w:p w14:paraId="285510D2">
                  <w:pPr>
                    <w:widowControl w:val="0"/>
                    <w:snapToGrid w:val="0"/>
                    <w:rPr>
                      <w:rFonts w:hint="default" w:ascii="Times New Roman" w:hAnsi="Times New Roman" w:eastAsia="宋体" w:cs="Times New Roman"/>
                      <w:color w:val="auto"/>
                      <w:sz w:val="21"/>
                      <w:szCs w:val="21"/>
                      <w:lang w:val="en-US" w:eastAsia="zh-CN"/>
                    </w:rPr>
                  </w:pPr>
                </w:p>
              </w:tc>
              <w:tc>
                <w:tcPr>
                  <w:tcW w:w="1219" w:type="dxa"/>
                  <w:noWrap w:val="0"/>
                  <w:vAlign w:val="center"/>
                </w:tcPr>
                <w:p w14:paraId="6F172F7A">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1-00</w:t>
                  </w: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-01</w:t>
                  </w:r>
                </w:p>
              </w:tc>
              <w:tc>
                <w:tcPr>
                  <w:tcW w:w="1200" w:type="dxa"/>
                  <w:vMerge w:val="continue"/>
                  <w:noWrap w:val="0"/>
                  <w:vAlign w:val="center"/>
                </w:tcPr>
                <w:p w14:paraId="42706661">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994" w:type="dxa"/>
                  <w:shd w:val="clear" w:color="auto" w:fill="auto"/>
                  <w:noWrap w:val="0"/>
                  <w:vAlign w:val="center"/>
                </w:tcPr>
                <w:p w14:paraId="12E5C5DD">
                  <w:pPr>
                    <w:widowControl w:val="0"/>
                    <w:snapToGrid w:val="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In</w:t>
                  </w:r>
                </w:p>
              </w:tc>
              <w:tc>
                <w:tcPr>
                  <w:tcW w:w="1050" w:type="dxa"/>
                  <w:vMerge w:val="continue"/>
                  <w:noWrap w:val="0"/>
                  <w:vAlign w:val="center"/>
                </w:tcPr>
                <w:p w14:paraId="7D62A92B">
                  <w:pPr>
                    <w:widowControl w:val="0"/>
                    <w:snapToGrid w:val="0"/>
                    <w:rPr>
                      <w:rFonts w:hint="default" w:ascii="Times New Roman" w:hAnsi="Times New Roman" w:eastAsia="宋体" w:cs="Times New Roman"/>
                      <w:color w:val="auto"/>
                      <w:sz w:val="21"/>
                      <w:szCs w:val="21"/>
                      <w:lang w:val="en-US" w:eastAsia="zh-CN"/>
                    </w:rPr>
                  </w:pPr>
                </w:p>
              </w:tc>
              <w:tc>
                <w:tcPr>
                  <w:tcW w:w="1148" w:type="dxa"/>
                  <w:vMerge w:val="continue"/>
                  <w:noWrap w:val="0"/>
                  <w:vAlign w:val="center"/>
                </w:tcPr>
                <w:p w14:paraId="55A501F1">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r>
            <w:tr w14:paraId="7DC5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6" w:type="dxa"/>
                  <w:vMerge w:val="continue"/>
                  <w:noWrap w:val="0"/>
                  <w:vAlign w:val="center"/>
                </w:tcPr>
                <w:p w14:paraId="78C43F7B">
                  <w:pPr>
                    <w:widowControl w:val="0"/>
                    <w:snapToGrid w:val="0"/>
                    <w:rPr>
                      <w:rFonts w:hint="default" w:ascii="Times New Roman" w:hAnsi="Times New Roman" w:eastAsia="宋体" w:cs="Times New Roman"/>
                      <w:color w:val="auto"/>
                      <w:sz w:val="21"/>
                      <w:szCs w:val="21"/>
                      <w:lang w:val="en-US" w:eastAsia="zh-CN"/>
                    </w:rPr>
                  </w:pPr>
                </w:p>
              </w:tc>
              <w:tc>
                <w:tcPr>
                  <w:tcW w:w="375" w:type="dxa"/>
                  <w:vMerge w:val="continue"/>
                  <w:noWrap w:val="0"/>
                  <w:vAlign w:val="center"/>
                </w:tcPr>
                <w:p w14:paraId="67387D4D">
                  <w:pPr>
                    <w:widowControl w:val="0"/>
                    <w:snapToGrid w:val="0"/>
                    <w:rPr>
                      <w:rFonts w:hint="default" w:ascii="Times New Roman" w:hAnsi="Times New Roman" w:eastAsia="宋体" w:cs="Times New Roman"/>
                      <w:color w:val="auto"/>
                      <w:sz w:val="21"/>
                      <w:szCs w:val="21"/>
                      <w:lang w:val="en-US" w:eastAsia="zh-CN"/>
                    </w:rPr>
                  </w:pPr>
                </w:p>
              </w:tc>
              <w:tc>
                <w:tcPr>
                  <w:tcW w:w="900" w:type="dxa"/>
                  <w:noWrap w:val="0"/>
                  <w:vAlign w:val="center"/>
                </w:tcPr>
                <w:p w14:paraId="75D4DB4E">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病理性</w:t>
                  </w:r>
                </w:p>
              </w:tc>
              <w:tc>
                <w:tcPr>
                  <w:tcW w:w="900" w:type="dxa"/>
                  <w:vMerge w:val="continue"/>
                  <w:noWrap w:val="0"/>
                  <w:vAlign w:val="center"/>
                </w:tcPr>
                <w:p w14:paraId="0247E014">
                  <w:pPr>
                    <w:widowControl w:val="0"/>
                    <w:snapToGrid w:val="0"/>
                    <w:rPr>
                      <w:rFonts w:hint="default" w:ascii="Times New Roman" w:hAnsi="Times New Roman" w:eastAsia="宋体" w:cs="Times New Roman"/>
                      <w:color w:val="auto"/>
                      <w:sz w:val="21"/>
                      <w:szCs w:val="21"/>
                      <w:lang w:val="en-US" w:eastAsia="zh-CN"/>
                    </w:rPr>
                  </w:pPr>
                </w:p>
              </w:tc>
              <w:tc>
                <w:tcPr>
                  <w:tcW w:w="1219" w:type="dxa"/>
                  <w:noWrap w:val="0"/>
                  <w:vAlign w:val="center"/>
                </w:tcPr>
                <w:p w14:paraId="45BD7810">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1-00</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-01</w:t>
                  </w:r>
                </w:p>
              </w:tc>
              <w:tc>
                <w:tcPr>
                  <w:tcW w:w="1200" w:type="dxa"/>
                  <w:vMerge w:val="continue"/>
                  <w:noWrap w:val="0"/>
                  <w:vAlign w:val="center"/>
                </w:tcPr>
                <w:p w14:paraId="15D4A9A0">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994" w:type="dxa"/>
                  <w:shd w:val="clear" w:color="auto" w:fill="auto"/>
                  <w:noWrap w:val="0"/>
                  <w:vAlign w:val="center"/>
                </w:tcPr>
                <w:p w14:paraId="7225A21E">
                  <w:pPr>
                    <w:widowControl w:val="0"/>
                    <w:snapToGrid w:val="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In</w:t>
                  </w:r>
                </w:p>
              </w:tc>
              <w:tc>
                <w:tcPr>
                  <w:tcW w:w="1050" w:type="dxa"/>
                  <w:vMerge w:val="continue"/>
                  <w:noWrap w:val="0"/>
                  <w:vAlign w:val="center"/>
                </w:tcPr>
                <w:p w14:paraId="4ECD40EB">
                  <w:pPr>
                    <w:widowControl w:val="0"/>
                    <w:snapToGrid w:val="0"/>
                    <w:rPr>
                      <w:rFonts w:hint="default" w:ascii="Times New Roman" w:hAnsi="Times New Roman" w:eastAsia="宋体" w:cs="Times New Roman"/>
                      <w:color w:val="auto"/>
                      <w:sz w:val="21"/>
                      <w:szCs w:val="21"/>
                      <w:lang w:val="en-US" w:eastAsia="zh-CN"/>
                    </w:rPr>
                  </w:pPr>
                </w:p>
              </w:tc>
              <w:tc>
                <w:tcPr>
                  <w:tcW w:w="1148" w:type="dxa"/>
                  <w:vMerge w:val="continue"/>
                  <w:noWrap w:val="0"/>
                  <w:vAlign w:val="center"/>
                </w:tcPr>
                <w:p w14:paraId="37B5125A">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r>
            <w:tr w14:paraId="676F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6" w:type="dxa"/>
                  <w:vMerge w:val="continue"/>
                  <w:noWrap w:val="0"/>
                  <w:vAlign w:val="center"/>
                </w:tcPr>
                <w:p w14:paraId="3424F99E">
                  <w:pPr>
                    <w:widowControl w:val="0"/>
                    <w:snapToGrid w:val="0"/>
                    <w:rPr>
                      <w:rFonts w:hint="default" w:ascii="Times New Roman" w:hAnsi="Times New Roman" w:eastAsia="宋体" w:cs="Times New Roman"/>
                      <w:color w:val="auto"/>
                      <w:sz w:val="21"/>
                      <w:szCs w:val="21"/>
                      <w:lang w:val="en-US" w:eastAsia="zh-CN"/>
                    </w:rPr>
                  </w:pPr>
                  <w:bookmarkStart w:id="52" w:name="OLE_LINK56" w:colFirst="5" w:colLast="6"/>
                </w:p>
              </w:tc>
              <w:tc>
                <w:tcPr>
                  <w:tcW w:w="375" w:type="dxa"/>
                  <w:vMerge w:val="continue"/>
                  <w:noWrap w:val="0"/>
                  <w:vAlign w:val="center"/>
                </w:tcPr>
                <w:p w14:paraId="522BB86E">
                  <w:pPr>
                    <w:widowControl w:val="0"/>
                    <w:snapToGrid w:val="0"/>
                    <w:rPr>
                      <w:rFonts w:hint="default" w:ascii="Times New Roman" w:hAnsi="Times New Roman" w:eastAsia="宋体" w:cs="Times New Roman"/>
                      <w:color w:val="auto"/>
                      <w:sz w:val="21"/>
                      <w:szCs w:val="21"/>
                      <w:lang w:val="en-US" w:eastAsia="zh-CN"/>
                    </w:rPr>
                  </w:pPr>
                </w:p>
              </w:tc>
              <w:tc>
                <w:tcPr>
                  <w:tcW w:w="900" w:type="dxa"/>
                  <w:noWrap w:val="0"/>
                  <w:vAlign w:val="center"/>
                </w:tcPr>
                <w:p w14:paraId="18DF3CC2">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药物性</w:t>
                  </w:r>
                </w:p>
              </w:tc>
              <w:tc>
                <w:tcPr>
                  <w:tcW w:w="900" w:type="dxa"/>
                  <w:vMerge w:val="continue"/>
                  <w:noWrap w:val="0"/>
                  <w:vAlign w:val="center"/>
                </w:tcPr>
                <w:p w14:paraId="6F71142D">
                  <w:pPr>
                    <w:widowControl w:val="0"/>
                    <w:snapToGrid w:val="0"/>
                    <w:rPr>
                      <w:rFonts w:hint="default" w:ascii="Times New Roman" w:hAnsi="Times New Roman" w:eastAsia="宋体" w:cs="Times New Roman"/>
                      <w:color w:val="auto"/>
                      <w:sz w:val="21"/>
                      <w:szCs w:val="21"/>
                      <w:lang w:val="en-US" w:eastAsia="zh-CN"/>
                    </w:rPr>
                  </w:pPr>
                </w:p>
              </w:tc>
              <w:tc>
                <w:tcPr>
                  <w:tcW w:w="1219" w:type="dxa"/>
                  <w:noWrap w:val="0"/>
                  <w:vAlign w:val="center"/>
                </w:tcPr>
                <w:p w14:paraId="16267B3F">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1-005-01</w:t>
                  </w:r>
                </w:p>
              </w:tc>
              <w:tc>
                <w:tcPr>
                  <w:tcW w:w="1200" w:type="dxa"/>
                  <w:noWrap w:val="0"/>
                  <w:vAlign w:val="center"/>
                </w:tcPr>
                <w:p w14:paraId="7F84DBB8">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化学品</w:t>
                  </w:r>
                </w:p>
              </w:tc>
              <w:tc>
                <w:tcPr>
                  <w:tcW w:w="994" w:type="dxa"/>
                  <w:shd w:val="clear" w:color="auto" w:fill="auto"/>
                  <w:noWrap w:val="0"/>
                  <w:vAlign w:val="center"/>
                </w:tcPr>
                <w:p w14:paraId="6D48C8A5">
                  <w:pPr>
                    <w:widowControl w:val="0"/>
                    <w:snapToGrid w:val="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T</w:t>
                  </w:r>
                </w:p>
              </w:tc>
              <w:tc>
                <w:tcPr>
                  <w:tcW w:w="1050" w:type="dxa"/>
                  <w:vMerge w:val="continue"/>
                  <w:noWrap w:val="0"/>
                  <w:vAlign w:val="center"/>
                </w:tcPr>
                <w:p w14:paraId="14E446E4">
                  <w:pPr>
                    <w:widowControl w:val="0"/>
                    <w:snapToGrid w:val="0"/>
                    <w:rPr>
                      <w:rFonts w:hint="default" w:ascii="Times New Roman" w:hAnsi="Times New Roman" w:eastAsia="宋体" w:cs="Times New Roman"/>
                      <w:color w:val="auto"/>
                      <w:sz w:val="21"/>
                      <w:szCs w:val="21"/>
                      <w:lang w:val="en-US" w:eastAsia="zh-CN"/>
                    </w:rPr>
                  </w:pPr>
                </w:p>
              </w:tc>
              <w:tc>
                <w:tcPr>
                  <w:tcW w:w="1148" w:type="dxa"/>
                  <w:vMerge w:val="continue"/>
                  <w:noWrap w:val="0"/>
                  <w:vAlign w:val="center"/>
                </w:tcPr>
                <w:p w14:paraId="72E651DF">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r>
            <w:bookmarkEnd w:id="52"/>
            <w:tr w14:paraId="2B00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46" w:type="dxa"/>
                  <w:vMerge w:val="continue"/>
                  <w:noWrap w:val="0"/>
                  <w:vAlign w:val="center"/>
                </w:tcPr>
                <w:p w14:paraId="1151A759">
                  <w:pPr>
                    <w:widowControl w:val="0"/>
                    <w:snapToGrid w:val="0"/>
                    <w:rPr>
                      <w:rFonts w:hint="default" w:ascii="Times New Roman" w:hAnsi="Times New Roman" w:eastAsia="宋体" w:cs="Times New Roman"/>
                      <w:color w:val="auto"/>
                      <w:sz w:val="21"/>
                      <w:szCs w:val="21"/>
                      <w:lang w:val="en-US" w:eastAsia="zh-CN"/>
                    </w:rPr>
                  </w:pPr>
                </w:p>
              </w:tc>
              <w:tc>
                <w:tcPr>
                  <w:tcW w:w="375" w:type="dxa"/>
                  <w:vMerge w:val="continue"/>
                  <w:noWrap w:val="0"/>
                  <w:vAlign w:val="center"/>
                </w:tcPr>
                <w:p w14:paraId="1A043DD6">
                  <w:pPr>
                    <w:widowControl w:val="0"/>
                    <w:snapToGrid w:val="0"/>
                    <w:rPr>
                      <w:rFonts w:hint="default" w:ascii="Times New Roman" w:hAnsi="Times New Roman" w:eastAsia="宋体" w:cs="Times New Roman"/>
                      <w:color w:val="auto"/>
                      <w:sz w:val="21"/>
                      <w:szCs w:val="21"/>
                      <w:lang w:val="en-US" w:eastAsia="zh-CN"/>
                    </w:rPr>
                  </w:pPr>
                </w:p>
              </w:tc>
              <w:tc>
                <w:tcPr>
                  <w:tcW w:w="900" w:type="dxa"/>
                  <w:noWrap w:val="0"/>
                  <w:vAlign w:val="center"/>
                </w:tcPr>
                <w:p w14:paraId="7D3925FF">
                  <w:pPr>
                    <w:widowControl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化学性</w:t>
                  </w:r>
                </w:p>
              </w:tc>
              <w:tc>
                <w:tcPr>
                  <w:tcW w:w="900" w:type="dxa"/>
                  <w:vMerge w:val="continue"/>
                  <w:noWrap w:val="0"/>
                  <w:vAlign w:val="center"/>
                </w:tcPr>
                <w:p w14:paraId="796F9DD7">
                  <w:pPr>
                    <w:widowControl w:val="0"/>
                    <w:snapToGrid w:val="0"/>
                    <w:rPr>
                      <w:rFonts w:hint="default" w:ascii="Times New Roman" w:hAnsi="Times New Roman" w:eastAsia="宋体" w:cs="Times New Roman"/>
                      <w:color w:val="auto"/>
                      <w:sz w:val="21"/>
                      <w:szCs w:val="21"/>
                      <w:lang w:val="en-US" w:eastAsia="zh-CN"/>
                    </w:rPr>
                  </w:pPr>
                </w:p>
              </w:tc>
              <w:tc>
                <w:tcPr>
                  <w:tcW w:w="1219" w:type="dxa"/>
                  <w:noWrap w:val="0"/>
                  <w:vAlign w:val="center"/>
                </w:tcPr>
                <w:p w14:paraId="0693BEAA">
                  <w:pPr>
                    <w:widowControl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841-004-01</w:t>
                  </w:r>
                </w:p>
              </w:tc>
              <w:tc>
                <w:tcPr>
                  <w:tcW w:w="1200" w:type="dxa"/>
                  <w:noWrap w:val="0"/>
                  <w:vAlign w:val="center"/>
                </w:tcPr>
                <w:p w14:paraId="030EDDBB">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化学品</w:t>
                  </w:r>
                </w:p>
              </w:tc>
              <w:tc>
                <w:tcPr>
                  <w:tcW w:w="994" w:type="dxa"/>
                  <w:shd w:val="clear" w:color="auto" w:fill="auto"/>
                  <w:noWrap w:val="0"/>
                  <w:vAlign w:val="center"/>
                </w:tcPr>
                <w:p w14:paraId="5253086E">
                  <w:pPr>
                    <w:widowControl w:val="0"/>
                    <w:snapToGrid w:val="0"/>
                    <w:ind w:firstLine="0" w:firstLineChars="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T</w:t>
                  </w:r>
                  <w:r>
                    <w:rPr>
                      <w:rFonts w:hint="eastAsia" w:ascii="Times New Roman" w:hAnsi="Times New Roman" w:eastAsia="宋体" w:cs="Times New Roman"/>
                      <w:color w:val="auto"/>
                      <w:sz w:val="21"/>
                      <w:szCs w:val="21"/>
                      <w:lang w:val="en-US" w:eastAsia="zh-CN"/>
                    </w:rPr>
                    <w:t>/C/I/R</w:t>
                  </w:r>
                </w:p>
              </w:tc>
              <w:tc>
                <w:tcPr>
                  <w:tcW w:w="1050" w:type="dxa"/>
                  <w:vMerge w:val="continue"/>
                  <w:noWrap w:val="0"/>
                  <w:vAlign w:val="center"/>
                </w:tcPr>
                <w:p w14:paraId="70542F73">
                  <w:pPr>
                    <w:widowControl w:val="0"/>
                    <w:snapToGrid w:val="0"/>
                    <w:ind w:firstLine="0" w:firstLineChars="0"/>
                    <w:rPr>
                      <w:rFonts w:hint="default" w:ascii="Times New Roman" w:hAnsi="Times New Roman" w:eastAsia="宋体" w:cs="Times New Roman"/>
                      <w:color w:val="auto"/>
                      <w:sz w:val="21"/>
                      <w:szCs w:val="21"/>
                      <w:lang w:val="en-US" w:eastAsia="zh-CN"/>
                    </w:rPr>
                  </w:pPr>
                </w:p>
              </w:tc>
              <w:tc>
                <w:tcPr>
                  <w:tcW w:w="1148" w:type="dxa"/>
                  <w:vMerge w:val="continue"/>
                  <w:noWrap w:val="0"/>
                  <w:vAlign w:val="center"/>
                </w:tcPr>
                <w:p w14:paraId="7B4D9A6C">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r>
            <w:tr w14:paraId="33BF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46" w:type="dxa"/>
                  <w:noWrap w:val="0"/>
                  <w:vAlign w:val="center"/>
                </w:tcPr>
                <w:p w14:paraId="7EAFC62E">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275" w:type="dxa"/>
                  <w:gridSpan w:val="2"/>
                  <w:noWrap w:val="0"/>
                  <w:vAlign w:val="center"/>
                </w:tcPr>
                <w:p w14:paraId="08363BB7">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废紫外线灯管</w:t>
                  </w:r>
                </w:p>
              </w:tc>
              <w:tc>
                <w:tcPr>
                  <w:tcW w:w="900" w:type="dxa"/>
                  <w:noWrap w:val="0"/>
                  <w:vAlign w:val="center"/>
                </w:tcPr>
                <w:p w14:paraId="248D5DA9">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HW29</w:t>
                  </w:r>
                </w:p>
              </w:tc>
              <w:tc>
                <w:tcPr>
                  <w:tcW w:w="1219" w:type="dxa"/>
                  <w:noWrap w:val="0"/>
                  <w:vAlign w:val="center"/>
                </w:tcPr>
                <w:p w14:paraId="7940050E">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900-023-29</w:t>
                  </w:r>
                </w:p>
              </w:tc>
              <w:tc>
                <w:tcPr>
                  <w:tcW w:w="1200" w:type="dxa"/>
                  <w:noWrap w:val="0"/>
                  <w:vAlign w:val="center"/>
                </w:tcPr>
                <w:p w14:paraId="48DA50DE">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含汞</w:t>
                  </w:r>
                </w:p>
              </w:tc>
              <w:tc>
                <w:tcPr>
                  <w:tcW w:w="994" w:type="dxa"/>
                  <w:shd w:val="clear" w:color="auto" w:fill="auto"/>
                  <w:noWrap w:val="0"/>
                  <w:vAlign w:val="center"/>
                </w:tcPr>
                <w:p w14:paraId="18F35F12">
                  <w:pPr>
                    <w:widowControl w:val="0"/>
                    <w:snapToGrid w:val="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T</w:t>
                  </w:r>
                </w:p>
              </w:tc>
              <w:tc>
                <w:tcPr>
                  <w:tcW w:w="1050" w:type="dxa"/>
                  <w:shd w:val="clear" w:color="auto" w:fill="auto"/>
                  <w:noWrap w:val="0"/>
                  <w:vAlign w:val="center"/>
                </w:tcPr>
                <w:p w14:paraId="27DC9D2D">
                  <w:pPr>
                    <w:widowControl w:val="0"/>
                    <w:snapToGrid w:val="0"/>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0.002</w:t>
                  </w:r>
                </w:p>
              </w:tc>
              <w:tc>
                <w:tcPr>
                  <w:tcW w:w="1148" w:type="dxa"/>
                  <w:vMerge w:val="continue"/>
                  <w:noWrap w:val="0"/>
                  <w:vAlign w:val="center"/>
                </w:tcPr>
                <w:p w14:paraId="5CB32024">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r>
            <w:tr w14:paraId="26C6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46" w:type="dxa"/>
                  <w:noWrap w:val="0"/>
                  <w:vAlign w:val="center"/>
                </w:tcPr>
                <w:p w14:paraId="6C52241D">
                  <w:pPr>
                    <w:widowControl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275" w:type="dxa"/>
                  <w:gridSpan w:val="2"/>
                  <w:noWrap w:val="0"/>
                  <w:vAlign w:val="center"/>
                </w:tcPr>
                <w:p w14:paraId="3841AE37">
                  <w:pPr>
                    <w:widowControl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患病</w:t>
                  </w:r>
                  <w:r>
                    <w:rPr>
                      <w:rFonts w:hint="default" w:ascii="Times New Roman" w:hAnsi="Times New Roman" w:eastAsia="宋体" w:cs="Times New Roman"/>
                      <w:color w:val="auto"/>
                      <w:sz w:val="21"/>
                      <w:szCs w:val="21"/>
                      <w:highlight w:val="none"/>
                      <w:lang w:val="en-US" w:eastAsia="zh-CN"/>
                    </w:rPr>
                    <w:t>宠物</w:t>
                  </w:r>
                  <w:r>
                    <w:rPr>
                      <w:rFonts w:hint="eastAsia" w:ascii="Times New Roman" w:hAnsi="Times New Roman" w:eastAsia="宋体" w:cs="Times New Roman"/>
                      <w:color w:val="auto"/>
                      <w:sz w:val="21"/>
                      <w:szCs w:val="21"/>
                      <w:highlight w:val="none"/>
                      <w:lang w:val="en-US" w:eastAsia="zh-CN"/>
                    </w:rPr>
                    <w:t>排泄物及猫砂</w:t>
                  </w:r>
                </w:p>
              </w:tc>
              <w:tc>
                <w:tcPr>
                  <w:tcW w:w="900" w:type="dxa"/>
                  <w:noWrap w:val="0"/>
                  <w:vAlign w:val="center"/>
                </w:tcPr>
                <w:p w14:paraId="15AFDF83">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HW01</w:t>
                  </w:r>
                </w:p>
              </w:tc>
              <w:tc>
                <w:tcPr>
                  <w:tcW w:w="1219" w:type="dxa"/>
                  <w:noWrap w:val="0"/>
                  <w:vAlign w:val="center"/>
                </w:tcPr>
                <w:p w14:paraId="46991E52">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841-00</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-01</w:t>
                  </w:r>
                </w:p>
              </w:tc>
              <w:tc>
                <w:tcPr>
                  <w:tcW w:w="1200" w:type="dxa"/>
                  <w:noWrap w:val="0"/>
                  <w:vAlign w:val="center"/>
                </w:tcPr>
                <w:p w14:paraId="47047CDA">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含有或沾染的细菌病毒等</w:t>
                  </w:r>
                </w:p>
              </w:tc>
              <w:tc>
                <w:tcPr>
                  <w:tcW w:w="994" w:type="dxa"/>
                  <w:shd w:val="clear" w:color="auto" w:fill="auto"/>
                  <w:noWrap w:val="0"/>
                  <w:vAlign w:val="center"/>
                </w:tcPr>
                <w:p w14:paraId="2A923CE7">
                  <w:pPr>
                    <w:widowControl w:val="0"/>
                    <w:snapToGrid w:val="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In</w:t>
                  </w:r>
                </w:p>
              </w:tc>
              <w:tc>
                <w:tcPr>
                  <w:tcW w:w="1050" w:type="dxa"/>
                  <w:shd w:val="clear" w:color="auto" w:fill="auto"/>
                  <w:noWrap w:val="0"/>
                  <w:vAlign w:val="center"/>
                </w:tcPr>
                <w:p w14:paraId="3AC1EA29">
                  <w:pPr>
                    <w:widowControl w:val="0"/>
                    <w:snapToGrid w:val="0"/>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0.013</w:t>
                  </w:r>
                </w:p>
              </w:tc>
              <w:tc>
                <w:tcPr>
                  <w:tcW w:w="1148" w:type="dxa"/>
                  <w:vMerge w:val="continue"/>
                  <w:noWrap w:val="0"/>
                  <w:vAlign w:val="center"/>
                </w:tcPr>
                <w:p w14:paraId="4FFAB6CF">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r>
            <w:tr w14:paraId="6D4B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6" w:type="dxa"/>
                  <w:noWrap w:val="0"/>
                  <w:vAlign w:val="center"/>
                </w:tcPr>
                <w:p w14:paraId="49959FEE">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1275" w:type="dxa"/>
                  <w:gridSpan w:val="2"/>
                  <w:noWrap w:val="0"/>
                  <w:vAlign w:val="center"/>
                </w:tcPr>
                <w:p w14:paraId="7192F7D8">
                  <w:pPr>
                    <w:widowControl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医疗废水处理设施废渣</w:t>
                  </w:r>
                </w:p>
              </w:tc>
              <w:tc>
                <w:tcPr>
                  <w:tcW w:w="900" w:type="dxa"/>
                  <w:noWrap w:val="0"/>
                  <w:vAlign w:val="center"/>
                </w:tcPr>
                <w:p w14:paraId="77A8DDDB">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HW01</w:t>
                  </w:r>
                </w:p>
              </w:tc>
              <w:tc>
                <w:tcPr>
                  <w:tcW w:w="1219" w:type="dxa"/>
                  <w:noWrap w:val="0"/>
                  <w:vAlign w:val="center"/>
                </w:tcPr>
                <w:p w14:paraId="05A44D31">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841-00</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-01</w:t>
                  </w:r>
                </w:p>
              </w:tc>
              <w:tc>
                <w:tcPr>
                  <w:tcW w:w="1200" w:type="dxa"/>
                  <w:noWrap w:val="0"/>
                  <w:vAlign w:val="center"/>
                </w:tcPr>
                <w:p w14:paraId="255176D2">
                  <w:pPr>
                    <w:widowControl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医疗废水</w:t>
                  </w:r>
                </w:p>
                <w:p w14:paraId="7009C27D">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废渣</w:t>
                  </w:r>
                </w:p>
              </w:tc>
              <w:tc>
                <w:tcPr>
                  <w:tcW w:w="994" w:type="dxa"/>
                  <w:shd w:val="clear" w:color="auto" w:fill="auto"/>
                  <w:noWrap w:val="0"/>
                  <w:vAlign w:val="center"/>
                </w:tcPr>
                <w:p w14:paraId="4A76A13D">
                  <w:pPr>
                    <w:widowControl w:val="0"/>
                    <w:snapToGrid w:val="0"/>
                    <w:ind w:firstLine="0" w:firstLineChars="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In</w:t>
                  </w:r>
                </w:p>
              </w:tc>
              <w:tc>
                <w:tcPr>
                  <w:tcW w:w="1050" w:type="dxa"/>
                  <w:shd w:val="clear" w:color="auto" w:fill="auto"/>
                  <w:noWrap w:val="0"/>
                  <w:vAlign w:val="center"/>
                </w:tcPr>
                <w:p w14:paraId="2479ADC3">
                  <w:pPr>
                    <w:widowControl w:val="0"/>
                    <w:snapToGrid w:val="0"/>
                    <w:ind w:firstLine="0" w:firstLineChars="0"/>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0.0039</w:t>
                  </w:r>
                </w:p>
              </w:tc>
              <w:tc>
                <w:tcPr>
                  <w:tcW w:w="1148" w:type="dxa"/>
                  <w:noWrap w:val="0"/>
                  <w:vAlign w:val="center"/>
                </w:tcPr>
                <w:p w14:paraId="38A307C6">
                  <w:pPr>
                    <w:widowControl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委托有资质单位定期清捞与处置</w:t>
                  </w:r>
                </w:p>
              </w:tc>
            </w:tr>
          </w:tbl>
          <w:p w14:paraId="0FDF5784">
            <w:pPr>
              <w:pStyle w:val="4"/>
              <w:bidi w:val="0"/>
              <w:rPr>
                <w:rFonts w:hint="default"/>
                <w:color w:val="auto"/>
                <w:lang w:val="en-US" w:eastAsia="zh-CN"/>
              </w:rPr>
            </w:pPr>
            <w:r>
              <w:rPr>
                <w:rFonts w:hint="eastAsia"/>
                <w:color w:val="auto"/>
                <w:lang w:val="en-US" w:eastAsia="zh-CN"/>
              </w:rPr>
              <w:t>4.8.2</w:t>
            </w:r>
            <w:r>
              <w:rPr>
                <w:color w:val="auto"/>
                <w:lang w:eastAsia="zh-CN"/>
              </w:rPr>
              <w:t>固</w:t>
            </w:r>
            <w:r>
              <w:rPr>
                <w:rFonts w:hint="eastAsia"/>
                <w:color w:val="auto"/>
                <w:lang w:val="en-US" w:eastAsia="zh-CN"/>
              </w:rPr>
              <w:t>体废物污染防治措施及环境管理</w:t>
            </w:r>
          </w:p>
          <w:p w14:paraId="142A644B">
            <w:pPr>
              <w:pStyle w:val="29"/>
              <w:bidi w:val="0"/>
              <w:rPr>
                <w:rFonts w:hint="eastAsia"/>
                <w:color w:val="auto"/>
                <w:lang w:val="en-US" w:eastAsia="zh-CN"/>
              </w:rPr>
            </w:pPr>
            <w:r>
              <w:rPr>
                <w:rFonts w:hint="eastAsia"/>
                <w:color w:val="auto"/>
                <w:lang w:val="en-US" w:eastAsia="zh-CN"/>
              </w:rPr>
              <w:t>（1）固体废物贮存场所环境影响分析</w:t>
            </w:r>
          </w:p>
          <w:p w14:paraId="2672EA95">
            <w:pPr>
              <w:pStyle w:val="29"/>
              <w:bidi w:val="0"/>
              <w:rPr>
                <w:rFonts w:hint="eastAsia"/>
                <w:color w:val="auto"/>
                <w:lang w:val="en-US" w:eastAsia="zh-CN"/>
              </w:rPr>
            </w:pPr>
            <w:r>
              <w:rPr>
                <w:rFonts w:hint="eastAsia"/>
                <w:color w:val="auto"/>
                <w:lang w:val="en-US" w:eastAsia="zh-CN"/>
              </w:rPr>
              <w:t>①生活垃圾委托环卫部门收集统一处置，项目设置生活垃圾暂存点，生活垃圾日产日清，不会对地下水和土壤产生不利影响。</w:t>
            </w:r>
          </w:p>
          <w:p w14:paraId="0C80DFCB">
            <w:pPr>
              <w:pStyle w:val="29"/>
              <w:bidi w:val="0"/>
              <w:rPr>
                <w:rFonts w:hint="eastAsia"/>
                <w:color w:val="auto"/>
                <w:lang w:val="en-US" w:eastAsia="zh-CN"/>
              </w:rPr>
            </w:pPr>
            <w:r>
              <w:rPr>
                <w:rFonts w:hint="eastAsia"/>
                <w:color w:val="auto"/>
                <w:lang w:val="en-US" w:eastAsia="zh-CN"/>
              </w:rPr>
              <w:t>②本项目一般固废处理方式采取项目区内设分类垃圾篓（箱），各类垃圾袋装分类收集后，由清洁人员每日收集后，送至附近的垃圾收集站，由环卫部门统一处理，日产日清，确保清运率达到100%，杜绝与危险废物混合存放。</w:t>
            </w:r>
          </w:p>
          <w:p w14:paraId="5CE5F732">
            <w:pPr>
              <w:pStyle w:val="29"/>
              <w:bidi w:val="0"/>
              <w:rPr>
                <w:rFonts w:hint="eastAsia"/>
                <w:color w:val="auto"/>
                <w:lang w:val="en-US" w:eastAsia="zh-CN"/>
              </w:rPr>
            </w:pPr>
            <w:r>
              <w:rPr>
                <w:rFonts w:hint="eastAsia"/>
                <w:color w:val="auto"/>
                <w:lang w:val="en-US" w:eastAsia="zh-CN"/>
              </w:rPr>
              <w:t>③</w:t>
            </w:r>
            <w:bookmarkStart w:id="53" w:name="OLE_LINK115"/>
            <w:r>
              <w:rPr>
                <w:rFonts w:hint="eastAsia"/>
                <w:color w:val="auto"/>
                <w:lang w:val="en-US" w:eastAsia="zh-CN"/>
              </w:rPr>
              <w:t>建设单位设置有专门的危险废物贮存间，</w:t>
            </w:r>
            <w:bookmarkStart w:id="54" w:name="OLE_LINK43"/>
            <w:r>
              <w:rPr>
                <w:rFonts w:hint="eastAsia"/>
                <w:color w:val="auto"/>
                <w:lang w:val="en-US" w:eastAsia="zh-CN"/>
              </w:rPr>
              <w:t>面积约2m</w:t>
            </w:r>
            <w:r>
              <w:rPr>
                <w:rFonts w:hint="eastAsia"/>
                <w:color w:val="auto"/>
                <w:vertAlign w:val="superscript"/>
                <w:lang w:val="en-US" w:eastAsia="zh-CN"/>
              </w:rPr>
              <w:t>2</w:t>
            </w:r>
            <w:r>
              <w:rPr>
                <w:rFonts w:hint="eastAsia"/>
                <w:color w:val="auto"/>
                <w:lang w:val="en-US" w:eastAsia="zh-CN"/>
              </w:rPr>
              <w:t>，危险废物贮存间的最大贮存量约0.5</w:t>
            </w:r>
            <w:r>
              <w:rPr>
                <w:rFonts w:hint="default"/>
                <w:color w:val="auto"/>
                <w:lang w:val="en-US" w:eastAsia="zh-CN"/>
              </w:rPr>
              <w:t>t</w:t>
            </w:r>
            <w:bookmarkEnd w:id="54"/>
            <w:r>
              <w:rPr>
                <w:rFonts w:hint="eastAsia"/>
                <w:color w:val="auto"/>
                <w:lang w:val="en-US" w:eastAsia="zh-CN"/>
              </w:rPr>
              <w:t>；</w:t>
            </w:r>
            <w:r>
              <w:rPr>
                <w:rFonts w:hint="default"/>
                <w:color w:val="auto"/>
              </w:rPr>
              <w:t>主要设置2个区域，一个区域用于暂存医疗废物，一个区域用于暂存废紫外线灯管。</w:t>
            </w:r>
            <w:bookmarkEnd w:id="53"/>
            <w:r>
              <w:rPr>
                <w:rFonts w:hint="eastAsia"/>
                <w:color w:val="auto"/>
                <w:lang w:val="en-US" w:eastAsia="zh-CN"/>
              </w:rPr>
              <w:t>根据《危险废物贮存污染控制标准》（</w:t>
            </w:r>
            <w:r>
              <w:rPr>
                <w:rFonts w:hint="default"/>
                <w:color w:val="auto"/>
                <w:lang w:val="en-US" w:eastAsia="zh-CN"/>
              </w:rPr>
              <w:t>GB18597-2023</w:t>
            </w:r>
            <w:r>
              <w:rPr>
                <w:rFonts w:hint="eastAsia"/>
                <w:color w:val="auto"/>
                <w:lang w:val="en-US" w:eastAsia="zh-CN"/>
              </w:rPr>
              <w:t>），提出以下管理要求：</w:t>
            </w:r>
          </w:p>
          <w:p w14:paraId="7DA90D3C">
            <w:pPr>
              <w:pStyle w:val="29"/>
              <w:bidi w:val="0"/>
              <w:rPr>
                <w:color w:val="auto"/>
              </w:rPr>
            </w:pPr>
            <w:r>
              <w:rPr>
                <w:rFonts w:hint="eastAsia"/>
                <w:color w:val="auto"/>
                <w:lang w:val="en-US" w:eastAsia="zh-CN"/>
              </w:rPr>
              <w:t>a.危险废物贮存间为独立功能</w:t>
            </w:r>
            <w:r>
              <w:rPr>
                <w:color w:val="auto"/>
              </w:rPr>
              <w:t>房间，</w:t>
            </w:r>
            <w:r>
              <w:rPr>
                <w:rFonts w:hint="eastAsia"/>
                <w:color w:val="auto"/>
                <w:lang w:val="en-US" w:eastAsia="zh-CN"/>
              </w:rPr>
              <w:t>设置标志牌；</w:t>
            </w:r>
            <w:r>
              <w:rPr>
                <w:color w:val="auto"/>
              </w:rPr>
              <w:t>采用</w:t>
            </w:r>
            <w:bookmarkStart w:id="55" w:name="OLE_LINK73"/>
            <w:r>
              <w:rPr>
                <w:color w:val="auto"/>
              </w:rPr>
              <w:t>专用塑料桶</w:t>
            </w:r>
            <w:bookmarkEnd w:id="55"/>
            <w:r>
              <w:rPr>
                <w:color w:val="auto"/>
              </w:rPr>
              <w:t>存储医疗废物</w:t>
            </w:r>
            <w:r>
              <w:rPr>
                <w:rFonts w:hint="eastAsia"/>
                <w:color w:val="auto"/>
                <w:lang w:eastAsia="zh-CN"/>
              </w:rPr>
              <w:t>，</w:t>
            </w:r>
            <w:r>
              <w:rPr>
                <w:color w:val="auto"/>
              </w:rPr>
              <w:t>并设专人管理，按照</w:t>
            </w:r>
            <w:bookmarkStart w:id="56" w:name="OLE_LINK114"/>
            <w:r>
              <w:rPr>
                <w:color w:val="auto"/>
              </w:rPr>
              <w:t>《危险废物贮存污染控制标准》（</w:t>
            </w:r>
            <w:r>
              <w:rPr>
                <w:rFonts w:hint="default"/>
                <w:color w:val="auto"/>
              </w:rPr>
              <w:t>GB18597-2023</w:t>
            </w:r>
            <w:r>
              <w:rPr>
                <w:color w:val="auto"/>
              </w:rPr>
              <w:t>）</w:t>
            </w:r>
            <w:bookmarkEnd w:id="56"/>
            <w:r>
              <w:rPr>
                <w:color w:val="auto"/>
              </w:rPr>
              <w:t>做到防风、防雨、防盗等</w:t>
            </w:r>
            <w:r>
              <w:rPr>
                <w:rFonts w:hint="eastAsia"/>
                <w:color w:val="auto"/>
                <w:lang w:eastAsia="zh-CN"/>
              </w:rPr>
              <w:t>“</w:t>
            </w:r>
            <w:r>
              <w:rPr>
                <w:color w:val="auto"/>
              </w:rPr>
              <w:t>六防</w:t>
            </w:r>
            <w:r>
              <w:rPr>
                <w:rFonts w:hint="eastAsia"/>
                <w:color w:val="auto"/>
                <w:lang w:eastAsia="zh-CN"/>
              </w:rPr>
              <w:t>”</w:t>
            </w:r>
            <w:r>
              <w:rPr>
                <w:color w:val="auto"/>
              </w:rPr>
              <w:t>措施，并按要求粘贴危险废物相关标识</w:t>
            </w:r>
            <w:r>
              <w:rPr>
                <w:rFonts w:hint="eastAsia"/>
                <w:color w:val="auto"/>
                <w:lang w:eastAsia="zh-CN"/>
              </w:rPr>
              <w:t>；</w:t>
            </w:r>
            <w:r>
              <w:rPr>
                <w:rFonts w:hint="eastAsia"/>
                <w:color w:val="auto"/>
                <w:lang w:val="en-US" w:eastAsia="zh-CN"/>
              </w:rPr>
              <w:t>其他</w:t>
            </w:r>
            <w:r>
              <w:rPr>
                <w:rFonts w:hint="default"/>
                <w:color w:val="auto"/>
              </w:rPr>
              <w:t>危险废物采用符合标准的专用容器分类贮存，装载危险废物的容器及材质要满足相应的强度要求，容器必须完好无损，容器材质和衬里要与危险废物相容（不相互反应）。</w:t>
            </w:r>
          </w:p>
          <w:p w14:paraId="7752D091">
            <w:pPr>
              <w:pStyle w:val="29"/>
              <w:bidi w:val="0"/>
              <w:rPr>
                <w:color w:val="auto"/>
              </w:rPr>
            </w:pPr>
            <w:r>
              <w:rPr>
                <w:rFonts w:hint="eastAsia"/>
                <w:color w:val="auto"/>
                <w:lang w:val="en-US" w:eastAsia="zh-CN"/>
              </w:rPr>
              <w:t>b.危险废物贮存间</w:t>
            </w:r>
            <w:r>
              <w:rPr>
                <w:color w:val="auto"/>
              </w:rPr>
              <w:t>地面与裙脚要用坚固、防渗的材料建造，建筑材料必须与危险废物相容；必须有耐腐蚀的硬化地面，且表面无裂隙；不相容的危险废物必须分开存放，并设有隔离间隔断。</w:t>
            </w:r>
          </w:p>
          <w:p w14:paraId="3EC4D9B8">
            <w:pPr>
              <w:pStyle w:val="29"/>
              <w:bidi w:val="0"/>
              <w:rPr>
                <w:color w:val="auto"/>
              </w:rPr>
            </w:pPr>
            <w:r>
              <w:rPr>
                <w:rFonts w:hint="eastAsia"/>
                <w:color w:val="auto"/>
                <w:lang w:val="en-US" w:eastAsia="zh-CN"/>
              </w:rPr>
              <w:t>c.危险废物贮存间</w:t>
            </w:r>
            <w:r>
              <w:rPr>
                <w:color w:val="auto"/>
              </w:rPr>
              <w:t>基础必须防渗，防渗层为至少</w:t>
            </w:r>
            <w:r>
              <w:rPr>
                <w:rFonts w:hint="default"/>
                <w:color w:val="auto"/>
              </w:rPr>
              <w:t>1</w:t>
            </w:r>
            <w:r>
              <w:rPr>
                <w:rFonts w:hint="eastAsia"/>
                <w:color w:val="auto"/>
                <w:lang w:val="en-US" w:eastAsia="zh-CN"/>
              </w:rPr>
              <w:t>m</w:t>
            </w:r>
            <w:r>
              <w:rPr>
                <w:color w:val="auto"/>
              </w:rPr>
              <w:t>厚粘土层（渗透系数</w:t>
            </w:r>
            <w:r>
              <w:rPr>
                <w:rFonts w:hint="default"/>
                <w:color w:val="auto"/>
              </w:rPr>
              <w:t>≤10</w:t>
            </w:r>
            <w:r>
              <w:rPr>
                <w:rFonts w:hint="eastAsia"/>
                <w:color w:val="auto"/>
                <w:vertAlign w:val="superscript"/>
                <w:lang w:val="en-US" w:eastAsia="zh-CN"/>
              </w:rPr>
              <w:t>-7</w:t>
            </w:r>
            <w:r>
              <w:rPr>
                <w:rFonts w:hint="eastAsia"/>
                <w:color w:val="auto"/>
                <w:lang w:val="en-US" w:eastAsia="zh-CN"/>
              </w:rPr>
              <w:t>cm/s</w:t>
            </w:r>
            <w:r>
              <w:rPr>
                <w:color w:val="auto"/>
              </w:rPr>
              <w:t>），或</w:t>
            </w:r>
            <w:r>
              <w:rPr>
                <w:rFonts w:hint="default"/>
                <w:color w:val="auto"/>
              </w:rPr>
              <w:t>2</w:t>
            </w:r>
            <w:r>
              <w:rPr>
                <w:rFonts w:hint="eastAsia"/>
                <w:color w:val="auto"/>
                <w:lang w:val="en-US" w:eastAsia="zh-CN"/>
              </w:rPr>
              <w:t>mm</w:t>
            </w:r>
            <w:r>
              <w:rPr>
                <w:color w:val="auto"/>
              </w:rPr>
              <w:t>厚高密度聚乙烯，或至少</w:t>
            </w:r>
            <w:r>
              <w:rPr>
                <w:rFonts w:hint="default"/>
                <w:color w:val="auto"/>
              </w:rPr>
              <w:t>2</w:t>
            </w:r>
            <w:r>
              <w:rPr>
                <w:rFonts w:hint="eastAsia"/>
                <w:color w:val="auto"/>
                <w:lang w:val="en-US" w:eastAsia="zh-CN"/>
              </w:rPr>
              <w:t>mm</w:t>
            </w:r>
            <w:r>
              <w:rPr>
                <w:color w:val="auto"/>
              </w:rPr>
              <w:t>厚的</w:t>
            </w:r>
            <w:r>
              <w:rPr>
                <w:rFonts w:hint="eastAsia"/>
                <w:color w:val="auto"/>
                <w:lang w:eastAsia="zh-CN"/>
              </w:rPr>
              <w:t>其他人工</w:t>
            </w:r>
            <w:r>
              <w:rPr>
                <w:color w:val="auto"/>
              </w:rPr>
              <w:t>材料，渗透系数</w:t>
            </w:r>
            <w:r>
              <w:rPr>
                <w:rFonts w:hint="default"/>
                <w:color w:val="auto"/>
              </w:rPr>
              <w:t>≤10</w:t>
            </w:r>
            <w:r>
              <w:rPr>
                <w:rFonts w:hint="eastAsia"/>
                <w:color w:val="auto"/>
                <w:vertAlign w:val="superscript"/>
                <w:lang w:val="en-US" w:eastAsia="zh-CN"/>
              </w:rPr>
              <w:t>-10</w:t>
            </w:r>
            <w:r>
              <w:rPr>
                <w:rFonts w:hint="eastAsia"/>
                <w:color w:val="auto"/>
                <w:lang w:val="en-US" w:eastAsia="zh-CN"/>
              </w:rPr>
              <w:t>cm/s</w:t>
            </w:r>
            <w:r>
              <w:rPr>
                <w:color w:val="auto"/>
              </w:rPr>
              <w:t>。</w:t>
            </w:r>
          </w:p>
          <w:p w14:paraId="3C36894C">
            <w:pPr>
              <w:pStyle w:val="29"/>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产生的医疗废物由各有关科室、病区进行集装袋密封后集中定点存放于医疗废物贮存间，</w:t>
            </w:r>
            <w:r>
              <w:rPr>
                <w:rFonts w:hint="eastAsia" w:cs="Times New Roman"/>
                <w:color w:val="auto"/>
                <w:highlight w:val="none"/>
                <w:lang w:val="en-US" w:eastAsia="zh-CN"/>
              </w:rPr>
              <w:t>委托</w:t>
            </w:r>
            <w:r>
              <w:rPr>
                <w:rFonts w:hint="default" w:ascii="Times New Roman" w:hAnsi="Times New Roman" w:cs="Times New Roman"/>
                <w:color w:val="auto"/>
                <w:highlight w:val="none"/>
                <w:lang w:val="en-US" w:eastAsia="zh-CN"/>
              </w:rPr>
              <w:t>有资质单位处理。医疗废物为每48小时清运一次，每次废物清运后对医疗废物贮存间进行消毒。</w:t>
            </w:r>
          </w:p>
          <w:p w14:paraId="708A538D">
            <w:pPr>
              <w:pStyle w:val="29"/>
              <w:bidi w:val="0"/>
              <w:spacing w:line="240" w:lineRule="auto"/>
              <w:rPr>
                <w:rFonts w:hint="eastAsia" w:ascii="楷体_GB2312" w:hAnsi="Times New Roman" w:eastAsia="楷体_GB2312" w:cs="Times New Roman"/>
                <w:snapToGrid/>
                <w:color w:val="auto"/>
                <w:kern w:val="2"/>
                <w:sz w:val="21"/>
                <w:szCs w:val="32"/>
                <w:lang w:val="en-US" w:eastAsia="zh-CN" w:bidi="ar-SA"/>
              </w:rPr>
            </w:pPr>
            <w:r>
              <w:rPr>
                <w:rFonts w:hint="default" w:ascii="Times New Roman" w:hAnsi="Times New Roman" w:cs="Times New Roman"/>
                <w:color w:val="auto"/>
                <w:highlight w:val="none"/>
                <w:lang w:val="en-US" w:eastAsia="zh-CN"/>
              </w:rPr>
              <w:t>医疗废物警示标志及标签如下图所示：</w:t>
            </w:r>
          </w:p>
          <w:p w14:paraId="6E8C7413">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（适用于医疗废物暂存、处置场所的医疗废物警示标志）</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4"/>
              <w:gridCol w:w="4728"/>
            </w:tblGrid>
            <w:tr w14:paraId="2BA3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4" w:type="dxa"/>
                  <w:noWrap w:val="0"/>
                  <w:vAlign w:val="center"/>
                </w:tcPr>
                <w:p w14:paraId="01BC8B32">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779905" cy="1551305"/>
                        <wp:effectExtent l="0" t="0" r="10795" b="10795"/>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26"/>
                                <a:stretch>
                                  <a:fillRect/>
                                </a:stretch>
                              </pic:blipFill>
                              <pic:spPr>
                                <a:xfrm>
                                  <a:off x="0" y="0"/>
                                  <a:ext cx="1779905" cy="1551305"/>
                                </a:xfrm>
                                <a:prstGeom prst="rect">
                                  <a:avLst/>
                                </a:prstGeom>
                                <a:noFill/>
                                <a:ln>
                                  <a:noFill/>
                                </a:ln>
                              </pic:spPr>
                            </pic:pic>
                          </a:graphicData>
                        </a:graphic>
                      </wp:inline>
                    </w:drawing>
                  </w:r>
                </w:p>
              </w:tc>
              <w:tc>
                <w:tcPr>
                  <w:tcW w:w="4728" w:type="dxa"/>
                  <w:noWrap w:val="0"/>
                  <w:vAlign w:val="top"/>
                </w:tcPr>
                <w:p w14:paraId="2BCE3303">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D1AF2C0">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1.形状：等边三角形</w:t>
                  </w:r>
                </w:p>
                <w:p w14:paraId="7CCA4FBA">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2.颜色：背景色为黄色</w:t>
                  </w:r>
                </w:p>
                <w:p w14:paraId="2604E5F2">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文字和字母为黑色</w:t>
                  </w:r>
                </w:p>
                <w:p w14:paraId="1B3A9791">
                  <w:pPr>
                    <w:widowControl w:val="0"/>
                    <w:kinsoku/>
                    <w:autoSpaceDE/>
                    <w:autoSpaceDN/>
                    <w:adjustRightInd/>
                    <w:snapToGrid/>
                    <w:spacing w:line="240" w:lineRule="auto"/>
                    <w:ind w:firstLine="1177" w:firstLineChars="654"/>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边框和主标识为黑色</w:t>
                  </w:r>
                </w:p>
                <w:p w14:paraId="4BA849D4">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3.尺寸：警示牌　等边三角形边长400mm</w:t>
                  </w:r>
                </w:p>
                <w:p w14:paraId="1AA0F2F7">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高150mm</w:t>
                  </w:r>
                </w:p>
                <w:p w14:paraId="77F0E688">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高40mm</w:t>
                  </w:r>
                </w:p>
                <w:p w14:paraId="6F82870F">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英文文字　高40mm</w:t>
                  </w:r>
                </w:p>
                <w:p w14:paraId="399B0A1B">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1"/>
                      <w:szCs w:val="32"/>
                      <w:lang w:val="en-US" w:eastAsia="zh-CN" w:bidi="ar-SA"/>
                    </w:rPr>
                  </w:pPr>
                  <w:r>
                    <w:rPr>
                      <w:rFonts w:hint="eastAsia" w:ascii="黑体" w:hAnsi="黑体" w:eastAsia="黑体" w:cs="黑体"/>
                      <w:snapToGrid/>
                      <w:color w:val="auto"/>
                      <w:kern w:val="0"/>
                      <w:sz w:val="18"/>
                      <w:szCs w:val="18"/>
                      <w:lang w:val="en-US" w:eastAsia="zh-CN" w:bidi="ar-SA"/>
                    </w:rPr>
                    <w:t>4.适用于：医院医疗废物暂存间、医疗废物处置中心医疗废物暂存间或医疗废物处置设施。</w:t>
                  </w:r>
                </w:p>
              </w:tc>
            </w:tr>
          </w:tbl>
          <w:p w14:paraId="2876CCE8">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（适用于医院科室医疗废物收集点的医疗废物警示标志）</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4549"/>
            </w:tblGrid>
            <w:tr w14:paraId="6036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4" w:hRule="atLeast"/>
                <w:jc w:val="center"/>
              </w:trPr>
              <w:tc>
                <w:tcPr>
                  <w:tcW w:w="3150" w:type="dxa"/>
                  <w:noWrap w:val="0"/>
                  <w:vAlign w:val="center"/>
                </w:tcPr>
                <w:p w14:paraId="74BDE118">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685925" cy="1466850"/>
                        <wp:effectExtent l="0" t="0" r="9525" b="0"/>
                        <wp:docPr id="3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1"/>
                                <pic:cNvPicPr>
                                  <a:picLocks noChangeAspect="1"/>
                                </pic:cNvPicPr>
                              </pic:nvPicPr>
                              <pic:blipFill>
                                <a:blip r:embed="rId27"/>
                                <a:stretch>
                                  <a:fillRect/>
                                </a:stretch>
                              </pic:blipFill>
                              <pic:spPr>
                                <a:xfrm>
                                  <a:off x="0" y="0"/>
                                  <a:ext cx="1685925" cy="1466850"/>
                                </a:xfrm>
                                <a:prstGeom prst="rect">
                                  <a:avLst/>
                                </a:prstGeom>
                                <a:noFill/>
                                <a:ln>
                                  <a:noFill/>
                                </a:ln>
                              </pic:spPr>
                            </pic:pic>
                          </a:graphicData>
                        </a:graphic>
                      </wp:inline>
                    </w:drawing>
                  </w:r>
                </w:p>
              </w:tc>
              <w:tc>
                <w:tcPr>
                  <w:tcW w:w="4549" w:type="dxa"/>
                  <w:noWrap w:val="0"/>
                  <w:vAlign w:val="top"/>
                </w:tcPr>
                <w:p w14:paraId="14FCC151">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846DB6B">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1.主标识形状、颜色同附件C－1。</w:t>
                  </w:r>
                </w:p>
                <w:p w14:paraId="2F3AF0D5">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2.尺寸：警示牌　等边三角形边长200mm</w:t>
                  </w:r>
                </w:p>
                <w:p w14:paraId="030B8F4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高75mm</w:t>
                  </w:r>
                </w:p>
                <w:p w14:paraId="0FAF42A9">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高20mm</w:t>
                  </w:r>
                </w:p>
                <w:p w14:paraId="0BC3B83A">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英文文字　高20mm</w:t>
                  </w:r>
                </w:p>
                <w:p w14:paraId="7EE4832D">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1"/>
                      <w:szCs w:val="32"/>
                      <w:lang w:val="en-US" w:eastAsia="zh-CN" w:bidi="ar-SA"/>
                    </w:rPr>
                  </w:pPr>
                  <w:r>
                    <w:rPr>
                      <w:rFonts w:hint="eastAsia" w:ascii="黑体" w:hAnsi="黑体" w:eastAsia="黑体" w:cs="黑体"/>
                      <w:snapToGrid/>
                      <w:color w:val="auto"/>
                      <w:kern w:val="0"/>
                      <w:sz w:val="18"/>
                      <w:szCs w:val="18"/>
                      <w:lang w:val="en-US" w:eastAsia="zh-CN" w:bidi="ar-SA"/>
                    </w:rPr>
                    <w:t>3.适用于：适用于医院科室医疗废物收集点。</w:t>
                  </w:r>
                </w:p>
              </w:tc>
            </w:tr>
          </w:tbl>
          <w:p w14:paraId="74376F19">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医疗废物转运车警示标志</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5"/>
              <w:gridCol w:w="4644"/>
            </w:tblGrid>
            <w:tr w14:paraId="0424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5" w:type="dxa"/>
                  <w:noWrap w:val="0"/>
                  <w:vAlign w:val="center"/>
                </w:tcPr>
                <w:p w14:paraId="535AE76E">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799590" cy="1725930"/>
                        <wp:effectExtent l="0" t="0" r="10160" b="762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28"/>
                                <a:stretch>
                                  <a:fillRect/>
                                </a:stretch>
                              </pic:blipFill>
                              <pic:spPr>
                                <a:xfrm>
                                  <a:off x="0" y="0"/>
                                  <a:ext cx="1799590" cy="1725930"/>
                                </a:xfrm>
                                <a:prstGeom prst="rect">
                                  <a:avLst/>
                                </a:prstGeom>
                                <a:noFill/>
                                <a:ln>
                                  <a:noFill/>
                                </a:ln>
                              </pic:spPr>
                            </pic:pic>
                          </a:graphicData>
                        </a:graphic>
                      </wp:inline>
                    </w:drawing>
                  </w:r>
                </w:p>
              </w:tc>
              <w:tc>
                <w:tcPr>
                  <w:tcW w:w="4644" w:type="dxa"/>
                  <w:noWrap w:val="0"/>
                  <w:vAlign w:val="top"/>
                </w:tcPr>
                <w:p w14:paraId="7F029646">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36F44E8">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1.形状：菱形</w:t>
                  </w:r>
                </w:p>
                <w:p w14:paraId="3FBFC42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2.颜色：背景色　醒目的橘红色</w:t>
                  </w:r>
                </w:p>
                <w:p w14:paraId="7651F58F">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文字和字母　黑色</w:t>
                  </w:r>
                </w:p>
                <w:p w14:paraId="4505DB9A">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边框和主标识　黑色</w:t>
                  </w:r>
                </w:p>
                <w:p w14:paraId="7ED33038">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3.尺寸：警示牌　边长400mm</w:t>
                  </w:r>
                </w:p>
                <w:p w14:paraId="06887C2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高150mm</w:t>
                  </w:r>
                </w:p>
                <w:p w14:paraId="49545CCD">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高40mm</w:t>
                  </w:r>
                </w:p>
                <w:p w14:paraId="244E41CB">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4"/>
                      <w:szCs w:val="24"/>
                      <w:lang w:val="en-US" w:eastAsia="zh-CN" w:bidi="ar-SA"/>
                    </w:rPr>
                  </w:pPr>
                  <w:r>
                    <w:rPr>
                      <w:rFonts w:hint="eastAsia" w:ascii="黑体" w:hAnsi="黑体" w:eastAsia="黑体" w:cs="黑体"/>
                      <w:snapToGrid/>
                      <w:color w:val="auto"/>
                      <w:kern w:val="0"/>
                      <w:sz w:val="18"/>
                      <w:szCs w:val="18"/>
                      <w:lang w:val="en-US" w:eastAsia="zh-CN" w:bidi="ar-SA"/>
                    </w:rPr>
                    <w:t>英文文字　 高40mm</w:t>
                  </w:r>
                </w:p>
              </w:tc>
            </w:tr>
          </w:tbl>
          <w:p w14:paraId="7ED437D2">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医疗废物专用包装物警示标志</w:t>
            </w:r>
          </w:p>
          <w:p w14:paraId="651D5191">
            <w:pPr>
              <w:widowControl w:val="0"/>
              <w:ind w:left="-140" w:firstLine="560"/>
              <w:jc w:val="center"/>
              <w:outlineLvl w:val="0"/>
              <w:rPr>
                <w:rFonts w:ascii="Times New Roman" w:hAnsi="Times New Roman" w:eastAsia="宋体" w:cs="Times New Roman"/>
                <w:color w:val="auto"/>
                <w:kern w:val="2"/>
                <w:sz w:val="28"/>
                <w:szCs w:val="20"/>
                <w:lang w:val="en-US" w:eastAsia="zh-CN" w:bidi="ar-SA"/>
              </w:rPr>
            </w:pPr>
            <w:r>
              <w:rPr>
                <w:rFonts w:ascii="Times New Roman" w:hAnsi="Times New Roman" w:eastAsia="宋体" w:cs="Times New Roman"/>
                <w:color w:val="auto"/>
                <w:kern w:val="2"/>
                <w:sz w:val="28"/>
                <w:szCs w:val="20"/>
                <w:lang w:val="en-US" w:eastAsia="zh-CN" w:bidi="ar-SA"/>
              </w:rPr>
              <w:drawing>
                <wp:inline distT="0" distB="0" distL="114300" distR="114300">
                  <wp:extent cx="3632200" cy="1985645"/>
                  <wp:effectExtent l="0" t="0" r="6350" b="14605"/>
                  <wp:docPr id="7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3"/>
                          <pic:cNvPicPr>
                            <a:picLocks noChangeAspect="1"/>
                          </pic:cNvPicPr>
                        </pic:nvPicPr>
                        <pic:blipFill>
                          <a:blip r:embed="rId29"/>
                          <a:srcRect t="9371" r="245" b="6128"/>
                          <a:stretch>
                            <a:fillRect/>
                          </a:stretch>
                        </pic:blipFill>
                        <pic:spPr>
                          <a:xfrm>
                            <a:off x="0" y="0"/>
                            <a:ext cx="3632200" cy="1985645"/>
                          </a:xfrm>
                          <a:prstGeom prst="rect">
                            <a:avLst/>
                          </a:prstGeom>
                          <a:noFill/>
                          <a:ln>
                            <a:noFill/>
                          </a:ln>
                        </pic:spPr>
                      </pic:pic>
                    </a:graphicData>
                  </a:graphic>
                </wp:inline>
              </w:drawing>
            </w:r>
          </w:p>
          <w:p w14:paraId="2BC133F7">
            <w:pPr>
              <w:widowControl w:val="0"/>
              <w:ind w:left="-140" w:firstLine="560"/>
              <w:jc w:val="center"/>
              <w:outlineLvl w:val="0"/>
              <w:rPr>
                <w:color w:val="auto"/>
              </w:rPr>
            </w:pPr>
            <w:r>
              <w:rPr>
                <w:rFonts w:hint="default" w:ascii="Times New Roman" w:hAnsi="Times New Roman" w:eastAsia="宋体" w:cs="Times New Roman"/>
                <w:b/>
                <w:bCs/>
                <w:color w:val="auto"/>
                <w:kern w:val="2"/>
                <w:sz w:val="21"/>
                <w:szCs w:val="21"/>
                <w:lang w:val="en-US" w:eastAsia="zh-CN" w:bidi="ar-SA"/>
              </w:rPr>
              <w:t>图4-</w:t>
            </w:r>
            <w:r>
              <w:rPr>
                <w:rFonts w:hint="eastAsia" w:cs="Times New Roman"/>
                <w:b/>
                <w:bCs/>
                <w:color w:val="auto"/>
                <w:kern w:val="2"/>
                <w:sz w:val="21"/>
                <w:szCs w:val="21"/>
                <w:lang w:val="en-US" w:eastAsia="zh-CN" w:bidi="ar-SA"/>
              </w:rPr>
              <w:t>2</w:t>
            </w:r>
            <w:r>
              <w:rPr>
                <w:rFonts w:hint="eastAsia" w:ascii="宋体" w:hAnsi="宋体" w:eastAsia="宋体" w:cs="宋体"/>
                <w:b/>
                <w:bCs/>
                <w:color w:val="auto"/>
                <w:kern w:val="2"/>
                <w:sz w:val="21"/>
                <w:szCs w:val="21"/>
                <w:lang w:val="en-US" w:eastAsia="zh-CN" w:bidi="ar-SA"/>
              </w:rPr>
              <w:t xml:space="preserve"> 医疗废物警示标志及标签</w:t>
            </w:r>
          </w:p>
          <w:p w14:paraId="74AF2CBF">
            <w:pPr>
              <w:pStyle w:val="29"/>
              <w:keepNext w:val="0"/>
              <w:keepLines w:val="0"/>
              <w:pageBreakBefore w:val="0"/>
              <w:widowControl/>
              <w:kinsoku w:val="0"/>
              <w:wordWrap/>
              <w:overflowPunct/>
              <w:topLinePunct w:val="0"/>
              <w:autoSpaceDE w:val="0"/>
              <w:autoSpaceDN w:val="0"/>
              <w:bidi w:val="0"/>
              <w:adjustRightInd/>
              <w:snapToGrid/>
              <w:spacing w:before="0" w:beforeLines="50"/>
              <w:textAlignment w:val="baseline"/>
              <w:rPr>
                <w:rFonts w:hint="eastAsia" w:eastAsia="宋体"/>
                <w:color w:val="auto"/>
                <w:lang w:eastAsia="zh-CN"/>
              </w:rPr>
            </w:pPr>
            <w:r>
              <w:rPr>
                <w:rFonts w:hint="eastAsia"/>
                <w:color w:val="auto"/>
                <w:lang w:val="en-US" w:eastAsia="zh-CN"/>
              </w:rPr>
              <w:t>（2）危险废物</w:t>
            </w:r>
            <w:r>
              <w:rPr>
                <w:color w:val="auto"/>
              </w:rPr>
              <w:t>环境管理要求</w:t>
            </w:r>
          </w:p>
          <w:p w14:paraId="075EBD07">
            <w:pPr>
              <w:pStyle w:val="29"/>
              <w:bidi w:val="0"/>
              <w:rPr>
                <w:color w:val="auto"/>
              </w:rPr>
            </w:pPr>
            <w:r>
              <w:rPr>
                <w:color w:val="auto"/>
              </w:rPr>
              <w:t>①</w:t>
            </w:r>
            <w:r>
              <w:rPr>
                <w:rFonts w:hint="eastAsia"/>
                <w:color w:val="auto"/>
                <w:lang w:val="en-US" w:eastAsia="zh-CN"/>
              </w:rPr>
              <w:t>危险废物贮存间</w:t>
            </w:r>
            <w:r>
              <w:rPr>
                <w:color w:val="auto"/>
              </w:rPr>
              <w:t>日常为锁闭状态，由专人进行管理，避免非工作人员进出，以及防鼠、防蚊蝇、防蟑螂、防盗以及预防儿童接触等安全措施；对医疗废物</w:t>
            </w:r>
            <w:r>
              <w:rPr>
                <w:rFonts w:hint="eastAsia"/>
                <w:color w:val="auto"/>
                <w:lang w:val="en-US" w:eastAsia="zh-CN"/>
              </w:rPr>
              <w:t>及其他危险废物</w:t>
            </w:r>
            <w:r>
              <w:rPr>
                <w:color w:val="auto"/>
              </w:rPr>
              <w:t>的产生、储存做好台账管理，定期委托有资质的</w:t>
            </w:r>
            <w:r>
              <w:rPr>
                <w:rFonts w:hint="eastAsia"/>
                <w:color w:val="auto"/>
                <w:lang w:val="en-US" w:eastAsia="zh-CN"/>
              </w:rPr>
              <w:t>危险</w:t>
            </w:r>
            <w:r>
              <w:rPr>
                <w:color w:val="auto"/>
              </w:rPr>
              <w:t>废物集中处置单位。</w:t>
            </w:r>
          </w:p>
          <w:p w14:paraId="7D828520">
            <w:pPr>
              <w:pStyle w:val="29"/>
              <w:bidi w:val="0"/>
              <w:rPr>
                <w:color w:val="auto"/>
              </w:rPr>
            </w:pPr>
            <w:r>
              <w:rPr>
                <w:rFonts w:hint="eastAsia"/>
                <w:color w:val="auto"/>
                <w:lang w:val="en-US" w:eastAsia="zh-CN"/>
              </w:rPr>
              <w:t>②</w:t>
            </w:r>
            <w:r>
              <w:rPr>
                <w:color w:val="auto"/>
              </w:rPr>
              <w:t>医疗废物的贮存、转移、处置</w:t>
            </w:r>
          </w:p>
          <w:p w14:paraId="65FC42D1">
            <w:pPr>
              <w:pStyle w:val="29"/>
              <w:bidi w:val="0"/>
              <w:rPr>
                <w:color w:val="auto"/>
              </w:rPr>
            </w:pPr>
            <w:r>
              <w:rPr>
                <w:rFonts w:hint="eastAsia"/>
                <w:color w:val="auto"/>
                <w:lang w:val="en-US" w:eastAsia="zh-CN"/>
              </w:rPr>
              <w:t>a.</w:t>
            </w:r>
            <w:r>
              <w:rPr>
                <w:color w:val="auto"/>
              </w:rPr>
              <w:t>按照《医疗废物专用包装袋、容器和警示标志标准》（</w:t>
            </w:r>
            <w:r>
              <w:rPr>
                <w:rFonts w:hint="default"/>
                <w:color w:val="auto"/>
              </w:rPr>
              <w:t>HJ421-2008</w:t>
            </w:r>
            <w:r>
              <w:rPr>
                <w:color w:val="auto"/>
              </w:rPr>
              <w:t>）、《医疗废物分类目录》（国卫医函</w:t>
            </w:r>
            <w:r>
              <w:rPr>
                <w:rFonts w:hint="eastAsia"/>
                <w:color w:val="auto"/>
                <w:lang w:eastAsia="zh-CN"/>
              </w:rPr>
              <w:t>〔2021〕283号</w:t>
            </w:r>
            <w:r>
              <w:rPr>
                <w:color w:val="auto"/>
              </w:rPr>
              <w:t>）、《医疗废物管理条例》（</w:t>
            </w:r>
            <w:r>
              <w:rPr>
                <w:rFonts w:hint="default"/>
                <w:color w:val="auto"/>
              </w:rPr>
              <w:t>2011</w:t>
            </w:r>
            <w:r>
              <w:rPr>
                <w:color w:val="auto"/>
              </w:rPr>
              <w:t>年修订）的要求分类收集医疗废物，应采用密闭的、防渗漏、防锐器穿透的医疗废物收集箱贮装，防止医疗废物流失、泄漏、扩散，医疗废物专用收集箱应设置明显的警示标识和警示说明。</w:t>
            </w:r>
          </w:p>
          <w:p w14:paraId="7028CBA0">
            <w:pPr>
              <w:pStyle w:val="29"/>
              <w:bidi w:val="0"/>
              <w:rPr>
                <w:rFonts w:hint="eastAsia"/>
                <w:color w:val="auto"/>
                <w:lang w:val="en-US" w:eastAsia="zh-CN"/>
              </w:rPr>
            </w:pPr>
            <w:r>
              <w:rPr>
                <w:rFonts w:hint="eastAsia"/>
                <w:color w:val="auto"/>
                <w:lang w:val="en-US" w:eastAsia="zh-CN"/>
              </w:rPr>
              <w:t>其中废针管针头、手术刀、缝合针等损伤性废物采用黄色利器盒进行收集；废检测试剂盒、一次性输液管、针管等感染性废物；手术废弃组织等病理性废物及废弃或过期药品等药物性废物采用黄色双层医疗废物包装袋及时密封，每个盛装医疗废物的包装袋及容器外设置警示标识，并贴有标签，标注医疗废物产生单位、产生日期、类别及需要的特别说明。</w:t>
            </w:r>
          </w:p>
          <w:p w14:paraId="0F6CADDF">
            <w:pPr>
              <w:pStyle w:val="29"/>
              <w:bidi w:val="0"/>
              <w:rPr>
                <w:rFonts w:hint="eastAsia"/>
                <w:color w:val="auto"/>
                <w:lang w:val="en-US" w:eastAsia="zh-CN"/>
              </w:rPr>
            </w:pPr>
            <w:bookmarkStart w:id="57" w:name="OLE_LINK116"/>
            <w:r>
              <w:rPr>
                <w:rFonts w:hint="eastAsia"/>
                <w:color w:val="auto"/>
                <w:lang w:val="en-US" w:eastAsia="zh-CN"/>
              </w:rPr>
              <w:t>医疗废物在贮存间分区贮存，根据贮存间内部的医疗废物分类上墙标识，</w:t>
            </w:r>
            <w:bookmarkEnd w:id="57"/>
            <w:r>
              <w:rPr>
                <w:rFonts w:hint="eastAsia"/>
                <w:color w:val="auto"/>
                <w:lang w:val="en-US" w:eastAsia="zh-CN"/>
              </w:rPr>
              <w:t>损伤性废物直接放入黄色医疗专用锐器盒；其余医疗废物用黄色带盖医疗垃圾桶收集，并套专用黄色医疗垃圾袋，当容器3/4满时，垃圾袋封口并贴上专用标识。</w:t>
            </w:r>
          </w:p>
          <w:p w14:paraId="2B49A016">
            <w:pPr>
              <w:pStyle w:val="29"/>
              <w:bidi w:val="0"/>
              <w:rPr>
                <w:rFonts w:hint="eastAsia"/>
                <w:color w:val="auto"/>
                <w:lang w:val="en-US" w:eastAsia="zh-CN"/>
              </w:rPr>
            </w:pPr>
            <w:r>
              <w:rPr>
                <w:rFonts w:hint="default"/>
                <w:color w:val="auto"/>
              </w:rPr>
              <w:t>b.盛装的医疗废物达到包装物或者容器的3/4时，应当使用有效的封口方式</w:t>
            </w:r>
            <w:r>
              <w:rPr>
                <w:rFonts w:hint="eastAsia"/>
                <w:color w:val="auto"/>
                <w:lang w:eastAsia="zh-CN"/>
              </w:rPr>
              <w:t>，</w:t>
            </w:r>
            <w:r>
              <w:rPr>
                <w:rFonts w:hint="default"/>
                <w:color w:val="auto"/>
              </w:rPr>
              <w:t>使包装物或者容器的封口紧实、严密。包装物或者容器的外表面被感染性废物污染时，应当对被污染处进行消毒处理或者增加一层包装。</w:t>
            </w:r>
          </w:p>
          <w:p w14:paraId="566F2983">
            <w:pPr>
              <w:pStyle w:val="29"/>
              <w:bidi w:val="0"/>
              <w:rPr>
                <w:color w:val="auto"/>
              </w:rPr>
            </w:pPr>
            <w:r>
              <w:rPr>
                <w:rFonts w:hint="default"/>
                <w:color w:val="auto"/>
              </w:rPr>
              <w:t>c.</w:t>
            </w:r>
            <w:r>
              <w:rPr>
                <w:rFonts w:hint="eastAsia"/>
                <w:color w:val="auto"/>
                <w:lang w:eastAsia="zh-CN"/>
              </w:rPr>
              <w:t>危险废物贮存间</w:t>
            </w:r>
            <w:r>
              <w:rPr>
                <w:color w:val="auto"/>
              </w:rPr>
              <w:t>应当定期消毒和清洁；医疗废物暂时贮存的时间不得超过</w:t>
            </w:r>
            <w:r>
              <w:rPr>
                <w:rFonts w:hint="default"/>
                <w:color w:val="auto"/>
              </w:rPr>
              <w:t>2</w:t>
            </w:r>
            <w:r>
              <w:rPr>
                <w:color w:val="auto"/>
              </w:rPr>
              <w:t>天。</w:t>
            </w:r>
          </w:p>
          <w:p w14:paraId="5CD1EE9C">
            <w:pPr>
              <w:pStyle w:val="29"/>
              <w:bidi w:val="0"/>
              <w:rPr>
                <w:color w:val="auto"/>
              </w:rPr>
            </w:pPr>
            <w:r>
              <w:rPr>
                <w:rFonts w:hint="eastAsia"/>
                <w:color w:val="auto"/>
                <w:lang w:val="en-US" w:eastAsia="zh-CN"/>
              </w:rPr>
              <w:t>d.</w:t>
            </w:r>
            <w:r>
              <w:rPr>
                <w:rFonts w:hint="eastAsia"/>
                <w:color w:val="auto"/>
              </w:rPr>
              <w:t>医疗废物运送人员在接收医疗废物时，应外观检查医院是否按规定进行包装、标识，并盛装于周转箱内，不得打开包装袋取出医疗废物。对包装破损、包装外表污染或未盛装于周转箱内的医疗废物</w:t>
            </w:r>
            <w:r>
              <w:rPr>
                <w:rFonts w:hint="eastAsia"/>
                <w:color w:val="auto"/>
                <w:lang w:eastAsia="zh-CN"/>
              </w:rPr>
              <w:t>，</w:t>
            </w:r>
            <w:r>
              <w:rPr>
                <w:rFonts w:hint="eastAsia"/>
                <w:color w:val="auto"/>
              </w:rPr>
              <w:t>医疗废物运送人员应当要求医院重新包装、标识，并盛装于周转箱内。</w:t>
            </w:r>
          </w:p>
          <w:p w14:paraId="03DF21D5">
            <w:pPr>
              <w:pStyle w:val="29"/>
              <w:keepNext w:val="0"/>
              <w:keepLines w:val="0"/>
              <w:pageBreakBefore w:val="0"/>
              <w:widowControl/>
              <w:kinsoku/>
              <w:wordWrap/>
              <w:overflowPunct/>
              <w:topLinePunct w:val="0"/>
              <w:autoSpaceDE w:val="0"/>
              <w:autoSpaceDN w:val="0"/>
              <w:bidi w:val="0"/>
              <w:adjustRightInd/>
              <w:snapToGrid/>
              <w:textAlignment w:val="baseline"/>
              <w:rPr>
                <w:color w:val="auto"/>
              </w:rPr>
            </w:pPr>
            <w:r>
              <w:rPr>
                <w:rFonts w:hint="eastAsia"/>
                <w:color w:val="auto"/>
                <w:lang w:val="en-US" w:eastAsia="zh-CN"/>
              </w:rPr>
              <w:t>e</w:t>
            </w:r>
            <w:r>
              <w:rPr>
                <w:rFonts w:hint="default"/>
                <w:color w:val="auto"/>
              </w:rPr>
              <w:t>.</w:t>
            </w:r>
            <w:r>
              <w:rPr>
                <w:color w:val="auto"/>
              </w:rPr>
              <w:t>应委托有资质单位转移、处置医疗废物，并与处置单位签订处理协议，明确双方责任、义务、清运时间、处置费用等内容；应按照《中华人民共和国</w:t>
            </w:r>
            <w:r>
              <w:rPr>
                <w:rFonts w:hint="eastAsia"/>
                <w:color w:val="auto"/>
                <w:lang w:val="en-US" w:eastAsia="zh-CN"/>
              </w:rPr>
              <w:t>生态环境法典</w:t>
            </w:r>
            <w:r>
              <w:rPr>
                <w:color w:val="auto"/>
              </w:rPr>
              <w:t>》的规定，执行危险废物转移联单管理制度；医疗废物的转运应符合《医疗废物转运车技术要求》（</w:t>
            </w:r>
            <w:r>
              <w:rPr>
                <w:rFonts w:hint="default"/>
                <w:color w:val="auto"/>
              </w:rPr>
              <w:t>GB19217-2003</w:t>
            </w:r>
            <w:r>
              <w:rPr>
                <w:color w:val="auto"/>
              </w:rPr>
              <w:t>）的要求。</w:t>
            </w:r>
          </w:p>
          <w:p w14:paraId="5AD23713">
            <w:pPr>
              <w:pStyle w:val="29"/>
              <w:bidi w:val="0"/>
              <w:rPr>
                <w:color w:val="auto"/>
              </w:rPr>
            </w:pPr>
            <w:r>
              <w:rPr>
                <w:rFonts w:hint="eastAsia"/>
                <w:color w:val="auto"/>
                <w:lang w:val="en-US" w:eastAsia="zh-CN"/>
              </w:rPr>
              <w:t>f.</w:t>
            </w:r>
            <w:r>
              <w:rPr>
                <w:rFonts w:hint="default"/>
                <w:color w:val="auto"/>
                <w:lang w:eastAsia="zh-CN"/>
              </w:rPr>
              <w:t>根据</w:t>
            </w:r>
            <w:r>
              <w:rPr>
                <w:rFonts w:hint="eastAsia"/>
                <w:color w:val="auto"/>
              </w:rPr>
              <w:t>《危险废物转移</w:t>
            </w:r>
            <w:r>
              <w:rPr>
                <w:rFonts w:hint="eastAsia"/>
                <w:color w:val="auto"/>
                <w:lang w:val="en-US" w:eastAsia="zh-CN"/>
              </w:rPr>
              <w:t>管理办法</w:t>
            </w:r>
            <w:r>
              <w:rPr>
                <w:rFonts w:hint="eastAsia"/>
                <w:color w:val="auto"/>
              </w:rPr>
              <w:t>》</w:t>
            </w:r>
            <w:r>
              <w:rPr>
                <w:rFonts w:hint="eastAsia"/>
                <w:color w:val="auto"/>
                <w:lang w:eastAsia="zh-CN"/>
              </w:rPr>
              <w:t>（</w:t>
            </w:r>
            <w:r>
              <w:rPr>
                <w:rFonts w:hint="eastAsia"/>
                <w:color w:val="auto"/>
                <w:lang w:val="en-US" w:eastAsia="zh-CN"/>
              </w:rPr>
              <w:t>生态环境部、公安部、交通运输部令第23号）</w:t>
            </w:r>
            <w:r>
              <w:rPr>
                <w:rFonts w:hint="default"/>
                <w:color w:val="auto"/>
                <w:lang w:eastAsia="zh-CN"/>
              </w:rPr>
              <w:t>，</w:t>
            </w:r>
            <w:r>
              <w:rPr>
                <w:rFonts w:hint="eastAsia"/>
                <w:color w:val="auto"/>
                <w:lang w:eastAsia="zh-CN"/>
              </w:rPr>
              <w:t>危险废物转移联单应当根据危险废物管理计划中填报的危险废物转移等备案信息填写、运行。移出人每转移一车（船或者其他运输工具）次同类危险废物，应当填写、运行一份危险废物转移联单；每车（船或者其他运输工具）一次转移多类危险废物的，可以填写、运行一份危险废物转移联单，也可以每一类危险废物填写、运行一份危险废物转移联单。使用同一车（船或者其他运输工具）一次为多个移出人转移危险废物的，每个移出人应当分别填写、运行危险废物转移联单。</w:t>
            </w:r>
          </w:p>
          <w:p w14:paraId="0046C548">
            <w:pPr>
              <w:pStyle w:val="29"/>
              <w:bidi w:val="0"/>
              <w:rPr>
                <w:rFonts w:hint="eastAsia"/>
                <w:color w:val="auto"/>
                <w:lang w:val="en-US" w:eastAsia="zh-CN"/>
              </w:rPr>
            </w:pPr>
            <w:r>
              <w:rPr>
                <w:rFonts w:hint="eastAsia"/>
                <w:color w:val="auto"/>
                <w:lang w:val="en-US" w:eastAsia="zh-CN"/>
              </w:rPr>
              <w:t>g.危险废物电子转移联单数据应当在信息系统中至少保存十年。因特殊原因无法运行危险废物电子转移联单的，可以先使用纸质转移联单，并于转移活动完成后十个工作日内在信息系统中补录电子转移联单。</w:t>
            </w:r>
          </w:p>
          <w:p w14:paraId="51A2F8BF">
            <w:pPr>
              <w:pStyle w:val="29"/>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（3）危险废物台账管理规定</w:t>
            </w:r>
          </w:p>
          <w:p w14:paraId="0DC88B99">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严格落实危险废物申报登记和管理计划备案要求，并依法向生态环境部门申报医疗废物的种类、产生量、流向、贮存和处置等情况；项目根据要求建立危险废物电子转移联单，数据应当在信息系统中至少保存十年。</w:t>
            </w:r>
          </w:p>
          <w:p w14:paraId="313C1CC7">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台账管理具体内容如下：</w:t>
            </w:r>
          </w:p>
          <w:p w14:paraId="0BD472FC">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①台账录入要及时、准确、清晰，便于查看；</w:t>
            </w:r>
          </w:p>
          <w:p w14:paraId="001AAAAE">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②台账要专人录入，数据、信息、记录内容要真实，与实际相符；</w:t>
            </w:r>
          </w:p>
          <w:p w14:paraId="44866CE9">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③台账要设专人管理，定点存放。无关人员不得随意移动、查看；</w:t>
            </w:r>
          </w:p>
          <w:p w14:paraId="12F6744D">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④重要台账必</w:t>
            </w:r>
            <w:r>
              <w:rPr>
                <w:rFonts w:hint="eastAsia" w:cs="Times New Roman"/>
                <w:color w:val="auto"/>
                <w:highlight w:val="none"/>
                <w:lang w:val="en-US" w:eastAsia="zh-CN"/>
              </w:rPr>
              <w:t>须以</w:t>
            </w:r>
            <w:r>
              <w:rPr>
                <w:rFonts w:hint="default" w:ascii="Times New Roman" w:hAnsi="Times New Roman" w:cs="Times New Roman"/>
                <w:color w:val="auto"/>
                <w:highlight w:val="none"/>
                <w:lang w:val="en-US" w:eastAsia="zh-CN"/>
              </w:rPr>
              <w:t>纸版与电子版两种形式保存；</w:t>
            </w:r>
          </w:p>
          <w:p w14:paraId="61AB6FDE">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⑤业务部定期对台账数据进行审核，定期检查台账录入内容，确保台账数据的准确性、完整性和及时性；</w:t>
            </w:r>
          </w:p>
          <w:p w14:paraId="72BFBBD6">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⑥安全台账应与其他台账分开放置，由专职安全员亲自管理；</w:t>
            </w:r>
          </w:p>
          <w:p w14:paraId="6F2172C3">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⑦有台账盒签必须统一打印，名称清楚、完整设置危险危废管理台账，记录危险废物的名称、来源、数量、入库日期、存放库位、危废出库日期及</w:t>
            </w:r>
            <w:r>
              <w:rPr>
                <w:rFonts w:hint="eastAsia" w:cs="Times New Roman"/>
                <w:color w:val="auto"/>
                <w:highlight w:val="none"/>
                <w:lang w:val="en-US" w:eastAsia="zh-CN"/>
              </w:rPr>
              <w:t>接收单位</w:t>
            </w:r>
            <w:r>
              <w:rPr>
                <w:rFonts w:hint="default" w:ascii="Times New Roman" w:hAnsi="Times New Roman" w:cs="Times New Roman"/>
                <w:color w:val="auto"/>
                <w:highlight w:val="none"/>
                <w:lang w:val="en-US" w:eastAsia="zh-CN"/>
              </w:rPr>
              <w:t>名称。</w:t>
            </w:r>
          </w:p>
          <w:p w14:paraId="68B40A95">
            <w:pPr>
              <w:pStyle w:val="29"/>
              <w:bidi w:val="0"/>
              <w:rPr>
                <w:rFonts w:hint="eastAsia"/>
                <w:color w:val="auto"/>
                <w:lang w:val="en-US" w:eastAsia="zh-CN"/>
              </w:rPr>
            </w:pPr>
            <w:r>
              <w:rPr>
                <w:rFonts w:hint="default" w:ascii="Times New Roman" w:hAnsi="Times New Roman" w:cs="Times New Roman"/>
                <w:color w:val="auto"/>
                <w:highlight w:val="none"/>
                <w:lang w:val="en-US" w:eastAsia="zh-CN"/>
              </w:rPr>
              <w:t>综上所述，本项目固体废物分类收集、分类处理，不会对环境造成二次污染，固体废物处理处置具有可行性。</w:t>
            </w:r>
          </w:p>
          <w:p w14:paraId="31E757EC">
            <w:pPr>
              <w:pStyle w:val="3"/>
              <w:bidi w:val="0"/>
              <w:rPr>
                <w:color w:val="auto"/>
                <w:lang w:eastAsia="zh-CN"/>
              </w:rPr>
            </w:pPr>
            <w:r>
              <w:rPr>
                <w:rFonts w:hint="eastAsia"/>
                <w:color w:val="auto"/>
                <w:lang w:val="en-US" w:eastAsia="zh-CN"/>
              </w:rPr>
              <w:t>4.9</w:t>
            </w:r>
            <w:r>
              <w:rPr>
                <w:rFonts w:hint="eastAsia"/>
                <w:color w:val="auto"/>
                <w:lang w:eastAsia="zh-CN"/>
              </w:rPr>
              <w:t>、地下水、土壤污染防治措施</w:t>
            </w:r>
          </w:p>
          <w:p w14:paraId="10FBA15A">
            <w:pPr>
              <w:pStyle w:val="29"/>
              <w:keepNext w:val="0"/>
              <w:keepLines w:val="0"/>
              <w:pageBreakBefore w:val="0"/>
              <w:widowControl/>
              <w:kinsoku/>
              <w:wordWrap/>
              <w:overflowPunct/>
              <w:topLinePunct w:val="0"/>
              <w:autoSpaceDE w:val="0"/>
              <w:autoSpaceDN w:val="0"/>
              <w:bidi w:val="0"/>
              <w:adjustRightInd/>
              <w:snapToGrid/>
              <w:textAlignment w:val="baseline"/>
              <w:rPr>
                <w:rFonts w:hint="eastAsia" w:ascii="Times New Roman" w:hAnsi="Times New Roman" w:eastAsia="宋体" w:cs="Times New Roman"/>
                <w:color w:val="auto"/>
                <w:lang w:eastAsia="zh-CN"/>
              </w:rPr>
            </w:pPr>
            <w:r>
              <w:rPr>
                <w:rFonts w:ascii="Times New Roman" w:hAnsi="Times New Roman" w:eastAsia="宋体" w:cs="Times New Roman"/>
                <w:color w:val="auto"/>
                <w:lang w:eastAsia="zh-CN"/>
              </w:rPr>
              <w:t>本项目</w:t>
            </w:r>
            <w:r>
              <w:rPr>
                <w:rFonts w:hint="eastAsia" w:ascii="Times New Roman" w:hAnsi="Times New Roman" w:eastAsia="宋体" w:cs="Times New Roman"/>
                <w:color w:val="auto"/>
                <w:lang w:val="en-US" w:eastAsia="zh-CN"/>
              </w:rPr>
              <w:t>运营期</w:t>
            </w:r>
            <w:r>
              <w:rPr>
                <w:rFonts w:ascii="Times New Roman" w:hAnsi="Times New Roman" w:eastAsia="宋体" w:cs="Times New Roman"/>
                <w:color w:val="auto"/>
                <w:lang w:eastAsia="zh-CN"/>
              </w:rPr>
              <w:t>用水为市政供水，不开采地下水；所排废水为生活污水、</w:t>
            </w:r>
            <w:bookmarkStart w:id="58" w:name="OLE_LINK57"/>
            <w:r>
              <w:rPr>
                <w:rFonts w:hint="eastAsia"/>
                <w:color w:val="auto"/>
                <w:lang w:val="en-US" w:eastAsia="zh-CN"/>
              </w:rPr>
              <w:t>清洗消毒废水</w:t>
            </w:r>
            <w:r>
              <w:rPr>
                <w:rFonts w:hint="eastAsia" w:ascii="Times New Roman" w:hAnsi="Times New Roman" w:eastAsia="宋体" w:cs="Times New Roman"/>
                <w:color w:val="auto"/>
                <w:lang w:val="en-US" w:eastAsia="zh-CN"/>
              </w:rPr>
              <w:t>和医疗废水</w:t>
            </w:r>
            <w:bookmarkEnd w:id="58"/>
            <w:r>
              <w:rPr>
                <w:rFonts w:hint="eastAsia" w:ascii="Times New Roman" w:hAnsi="Times New Roman" w:eastAsia="宋体" w:cs="Times New Roman"/>
                <w:color w:val="auto"/>
                <w:lang w:val="en-US" w:eastAsia="zh-CN"/>
              </w:rPr>
              <w:t>，医疗废水</w:t>
            </w:r>
            <w:r>
              <w:rPr>
                <w:rFonts w:hint="eastAsia" w:cs="Times New Roman"/>
                <w:color w:val="auto"/>
                <w:lang w:val="en-US" w:eastAsia="zh-CN"/>
              </w:rPr>
              <w:t>、</w:t>
            </w:r>
            <w:r>
              <w:rPr>
                <w:rFonts w:hint="eastAsia" w:cs="Times New Roman"/>
                <w:color w:val="auto"/>
                <w:highlight w:val="none"/>
                <w:lang w:val="en-US" w:eastAsia="zh-CN"/>
              </w:rPr>
              <w:t>清洗消毒废水</w:t>
            </w:r>
            <w:r>
              <w:rPr>
                <w:rFonts w:hint="eastAsia" w:ascii="Times New Roman" w:hAnsi="Times New Roman" w:eastAsia="宋体" w:cs="Times New Roman"/>
                <w:color w:val="auto"/>
                <w:lang w:val="en-US" w:eastAsia="zh-CN"/>
              </w:rPr>
              <w:t>经一体化污水处理设备处理后与</w:t>
            </w:r>
            <w:r>
              <w:rPr>
                <w:rFonts w:hint="eastAsia" w:cs="Times New Roman"/>
                <w:color w:val="auto"/>
                <w:lang w:val="en-US" w:eastAsia="zh-CN"/>
              </w:rPr>
              <w:t>宠物</w:t>
            </w:r>
            <w:r>
              <w:rPr>
                <w:rFonts w:hint="eastAsia" w:ascii="Times New Roman" w:hAnsi="Times New Roman" w:eastAsia="宋体" w:cs="Times New Roman"/>
                <w:color w:val="auto"/>
                <w:lang w:val="en-US" w:eastAsia="zh-CN"/>
              </w:rPr>
              <w:t>生活污水一起排入市政污水管网</w:t>
            </w:r>
            <w:r>
              <w:rPr>
                <w:rFonts w:ascii="Times New Roman" w:hAnsi="Times New Roman" w:eastAsia="宋体" w:cs="Times New Roman"/>
                <w:color w:val="auto"/>
                <w:lang w:eastAsia="zh-CN"/>
              </w:rPr>
              <w:t>。项目室内均已水泥硬</w:t>
            </w:r>
            <w:r>
              <w:rPr>
                <w:rFonts w:hint="eastAsia" w:ascii="Times New Roman" w:hAnsi="Times New Roman" w:eastAsia="宋体" w:cs="Times New Roman"/>
                <w:color w:val="auto"/>
                <w:lang w:val="en-US" w:eastAsia="zh-CN"/>
              </w:rPr>
              <w:t>化</w:t>
            </w:r>
            <w:r>
              <w:rPr>
                <w:rFonts w:hint="eastAsia" w:ascii="Times New Roman" w:hAnsi="Times New Roman" w:eastAsia="宋体" w:cs="Times New Roman"/>
                <w:color w:val="auto"/>
                <w:lang w:eastAsia="zh-CN"/>
              </w:rPr>
              <w:t>，</w:t>
            </w:r>
            <w:r>
              <w:rPr>
                <w:rFonts w:hint="eastAsia" w:cs="Times New Roman"/>
                <w:color w:val="auto"/>
                <w:highlight w:val="none"/>
                <w:lang w:val="en-US" w:eastAsia="zh-CN"/>
              </w:rPr>
              <w:t>污水房</w:t>
            </w:r>
            <w:r>
              <w:rPr>
                <w:rFonts w:ascii="Times New Roman" w:hAnsi="Times New Roman" w:eastAsia="宋体" w:cs="Times New Roman"/>
                <w:color w:val="auto"/>
                <w:lang w:eastAsia="zh-CN"/>
              </w:rPr>
              <w:t>装修时</w:t>
            </w:r>
            <w:bookmarkStart w:id="59" w:name="OLE_LINK58"/>
            <w:r>
              <w:rPr>
                <w:rFonts w:ascii="Times New Roman" w:hAnsi="Times New Roman" w:eastAsia="宋体" w:cs="Times New Roman"/>
                <w:color w:val="auto"/>
                <w:lang w:eastAsia="zh-CN"/>
              </w:rPr>
              <w:t>已进行防渗处理</w:t>
            </w:r>
            <w:bookmarkEnd w:id="59"/>
            <w:r>
              <w:rPr>
                <w:rFonts w:hint="eastAsia" w:ascii="Times New Roman" w:hAnsi="Times New Roman" w:eastAsia="宋体" w:cs="Times New Roman"/>
                <w:color w:val="auto"/>
                <w:lang w:eastAsia="zh-CN"/>
              </w:rPr>
              <w:t>；</w:t>
            </w:r>
            <w:r>
              <w:rPr>
                <w:rFonts w:hint="eastAsia" w:cs="Times New Roman"/>
                <w:color w:val="auto"/>
                <w:lang w:val="en-US" w:eastAsia="zh-CN"/>
              </w:rPr>
              <w:t>危险废物贮存间</w:t>
            </w:r>
            <w:r>
              <w:rPr>
                <w:rFonts w:ascii="Times New Roman" w:hAnsi="Times New Roman" w:eastAsia="宋体" w:cs="Times New Roman"/>
                <w:color w:val="auto"/>
                <w:lang w:eastAsia="zh-CN"/>
              </w:rPr>
              <w:t>已进行防渗处理</w:t>
            </w:r>
            <w:r>
              <w:rPr>
                <w:rFonts w:hint="eastAsia" w:ascii="Times New Roman" w:hAnsi="Times New Roman" w:eastAsia="宋体" w:cs="Times New Roman"/>
                <w:color w:val="auto"/>
                <w:lang w:eastAsia="zh-CN"/>
              </w:rPr>
              <w:t>，</w:t>
            </w:r>
            <w:r>
              <w:rPr>
                <w:rFonts w:ascii="Times New Roman" w:hAnsi="Times New Roman" w:eastAsia="宋体" w:cs="Times New Roman"/>
                <w:color w:val="auto"/>
                <w:lang w:eastAsia="zh-CN"/>
              </w:rPr>
              <w:t>切断了废水污染地下水和土壤的途径</w:t>
            </w:r>
            <w:r>
              <w:rPr>
                <w:rFonts w:hint="eastAsia" w:ascii="Times New Roman" w:hAnsi="Times New Roman" w:eastAsia="宋体" w:cs="Times New Roman"/>
                <w:color w:val="auto"/>
                <w:lang w:eastAsia="zh-CN"/>
              </w:rPr>
              <w:t>。</w:t>
            </w:r>
          </w:p>
          <w:p w14:paraId="543627E8">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为防止项目对地下水及土壤环境的影响，项目</w:t>
            </w:r>
            <w:r>
              <w:rPr>
                <w:rFonts w:hint="default" w:ascii="Times New Roman" w:hAnsi="Times New Roman" w:cs="Times New Roman"/>
                <w:color w:val="auto"/>
                <w:highlight w:val="none"/>
                <w:lang w:val="en-US" w:eastAsia="zh-CN"/>
              </w:rPr>
              <w:t>医疗废物贮存间</w:t>
            </w:r>
            <w:r>
              <w:rPr>
                <w:rFonts w:hint="default" w:ascii="Times New Roman" w:hAnsi="Times New Roman" w:cs="Times New Roman"/>
                <w:color w:val="auto"/>
                <w:highlight w:val="none"/>
                <w:lang w:eastAsia="zh-CN"/>
              </w:rPr>
              <w:t>采取重点防渗、其余室内地面采取</w:t>
            </w:r>
            <w:r>
              <w:rPr>
                <w:rFonts w:hint="eastAsia" w:cs="Times New Roman"/>
                <w:color w:val="auto"/>
                <w:highlight w:val="none"/>
                <w:lang w:val="en-US" w:eastAsia="zh-CN"/>
              </w:rPr>
              <w:t>一般</w:t>
            </w:r>
            <w:r>
              <w:rPr>
                <w:rFonts w:hint="default" w:ascii="Times New Roman" w:hAnsi="Times New Roman" w:cs="Times New Roman"/>
                <w:color w:val="auto"/>
                <w:highlight w:val="none"/>
                <w:lang w:eastAsia="zh-CN"/>
              </w:rPr>
              <w:t>防渗，分区防渗控制措施如下：</w:t>
            </w:r>
          </w:p>
          <w:p w14:paraId="31433798">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重点防渗：四周壁及裙角与地面防渗层连成整体；底部铺设300mm粘土层压实平整，粘土层上铺设HDPE-GCL复合防渗系统（2mm厚的高密度聚乙烯膜、300g/m</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土工织物膨润土垫），上部外加耐腐蚀混凝土15cm（保护层）防渗，渗透系数≤1×10</w:t>
            </w:r>
            <w:r>
              <w:rPr>
                <w:rFonts w:hint="default" w:ascii="Times New Roman" w:hAnsi="Times New Roman" w:cs="Times New Roman"/>
                <w:color w:val="auto"/>
                <w:highlight w:val="none"/>
                <w:vertAlign w:val="superscript"/>
                <w:lang w:eastAsia="zh-CN"/>
              </w:rPr>
              <w:t>-10</w:t>
            </w:r>
            <w:r>
              <w:rPr>
                <w:rFonts w:hint="default" w:ascii="Times New Roman" w:hAnsi="Times New Roman" w:cs="Times New Roman"/>
                <w:color w:val="auto"/>
                <w:highlight w:val="none"/>
                <w:lang w:eastAsia="zh-CN"/>
              </w:rPr>
              <w:t>cm/s。</w:t>
            </w:r>
          </w:p>
          <w:p w14:paraId="0C6BC40B">
            <w:pPr>
              <w:pStyle w:val="29"/>
              <w:bidi w:val="0"/>
              <w:rPr>
                <w:rFonts w:hint="default" w:ascii="Times New Roman" w:hAnsi="Times New Roman" w:cs="Times New Roman"/>
                <w:color w:val="auto"/>
                <w:highlight w:val="none"/>
                <w:lang w:eastAsia="zh-CN"/>
              </w:rPr>
            </w:pPr>
            <w:r>
              <w:rPr>
                <w:rFonts w:hint="eastAsia" w:cs="Times New Roman"/>
                <w:color w:val="auto"/>
                <w:highlight w:val="none"/>
                <w:lang w:val="en-US" w:eastAsia="zh-CN"/>
              </w:rPr>
              <w:t>一般</w:t>
            </w:r>
            <w:r>
              <w:rPr>
                <w:rFonts w:hint="default" w:ascii="Times New Roman" w:hAnsi="Times New Roman" w:cs="Times New Roman"/>
                <w:color w:val="auto"/>
                <w:highlight w:val="none"/>
                <w:lang w:eastAsia="zh-CN"/>
              </w:rPr>
              <w:t>防渗区：室内地面采取一般硬化处理，渗透系数≤1×10</w:t>
            </w:r>
            <w:r>
              <w:rPr>
                <w:rFonts w:hint="default" w:ascii="Times New Roman" w:hAnsi="Times New Roman" w:cs="Times New Roman"/>
                <w:color w:val="auto"/>
                <w:highlight w:val="none"/>
                <w:vertAlign w:val="superscript"/>
                <w:lang w:eastAsia="zh-CN"/>
              </w:rPr>
              <w:t>-7</w:t>
            </w:r>
            <w:r>
              <w:rPr>
                <w:rFonts w:hint="default" w:ascii="Times New Roman" w:hAnsi="Times New Roman" w:cs="Times New Roman"/>
                <w:color w:val="auto"/>
                <w:highlight w:val="none"/>
                <w:lang w:eastAsia="zh-CN"/>
              </w:rPr>
              <w:t>cm/s。</w:t>
            </w:r>
          </w:p>
          <w:p w14:paraId="1A06468B">
            <w:pPr>
              <w:pStyle w:val="29"/>
              <w:keepNext w:val="0"/>
              <w:keepLines w:val="0"/>
              <w:pageBreakBefore w:val="0"/>
              <w:widowControl/>
              <w:kinsoku/>
              <w:wordWrap/>
              <w:overflowPunct/>
              <w:topLinePunct w:val="0"/>
              <w:autoSpaceDE w:val="0"/>
              <w:autoSpaceDN w:val="0"/>
              <w:bidi w:val="0"/>
              <w:adjustRightInd/>
              <w:snapToGrid/>
              <w:textAlignment w:val="baseline"/>
              <w:rPr>
                <w:rFonts w:hint="eastAsia" w:ascii="Times New Roman" w:hAnsi="Times New Roman" w:eastAsia="宋体" w:cs="Times New Roman"/>
                <w:color w:val="auto"/>
                <w:lang w:eastAsia="zh-CN"/>
              </w:rPr>
            </w:pPr>
            <w:r>
              <w:rPr>
                <w:rFonts w:hint="default" w:ascii="Times New Roman" w:hAnsi="Times New Roman" w:cs="Times New Roman"/>
                <w:color w:val="auto"/>
                <w:highlight w:val="none"/>
              </w:rPr>
              <w:t>综上所述，项目不会对厂区地下水、土壤环境造成影响。</w:t>
            </w:r>
          </w:p>
          <w:p w14:paraId="518D6927">
            <w:pPr>
              <w:pStyle w:val="3"/>
              <w:bidi w:val="0"/>
              <w:rPr>
                <w:color w:val="auto"/>
                <w:lang w:eastAsia="zh-CN"/>
              </w:rPr>
            </w:pPr>
            <w:r>
              <w:rPr>
                <w:rFonts w:hint="eastAsia"/>
                <w:color w:val="auto"/>
                <w:lang w:val="en-US" w:eastAsia="zh-CN"/>
              </w:rPr>
              <w:t>4.10</w:t>
            </w:r>
            <w:r>
              <w:rPr>
                <w:rFonts w:hint="eastAsia"/>
                <w:color w:val="auto"/>
                <w:lang w:eastAsia="zh-CN"/>
              </w:rPr>
              <w:t>、环境风险分析</w:t>
            </w:r>
          </w:p>
          <w:p w14:paraId="49AFE747">
            <w:pPr>
              <w:pStyle w:val="4"/>
              <w:bidi w:val="0"/>
              <w:rPr>
                <w:rFonts w:hint="eastAsia"/>
                <w:color w:val="auto"/>
                <w:lang w:val="en-US" w:eastAsia="zh-CN"/>
              </w:rPr>
            </w:pPr>
            <w:r>
              <w:rPr>
                <w:rFonts w:hint="eastAsia"/>
                <w:color w:val="auto"/>
                <w:lang w:val="en-US" w:eastAsia="zh-CN"/>
              </w:rPr>
              <w:t>4.10.1风险调查</w:t>
            </w:r>
          </w:p>
          <w:p w14:paraId="2CEA1A8E">
            <w:pPr>
              <w:pStyle w:val="29"/>
              <w:bidi w:val="0"/>
              <w:rPr>
                <w:rFonts w:hint="eastAsia"/>
                <w:color w:val="auto"/>
                <w:lang w:eastAsia="zh-CN"/>
              </w:rPr>
            </w:pPr>
            <w:r>
              <w:rPr>
                <w:rFonts w:hint="eastAsia"/>
                <w:color w:val="auto"/>
                <w:lang w:eastAsia="zh-CN"/>
              </w:rPr>
              <w:t>（</w:t>
            </w:r>
            <w:r>
              <w:rPr>
                <w:rFonts w:hint="eastAsia"/>
                <w:color w:val="auto"/>
                <w:lang w:val="en-US" w:eastAsia="zh-CN"/>
              </w:rPr>
              <w:t>1</w:t>
            </w:r>
            <w:r>
              <w:rPr>
                <w:rFonts w:hint="eastAsia"/>
                <w:color w:val="auto"/>
                <w:lang w:eastAsia="zh-CN"/>
              </w:rPr>
              <w:t>）风险物质调查</w:t>
            </w:r>
          </w:p>
          <w:p w14:paraId="76DF699D">
            <w:pPr>
              <w:pStyle w:val="29"/>
              <w:bidi w:val="0"/>
              <w:rPr>
                <w:rFonts w:hint="eastAsia"/>
                <w:color w:val="auto"/>
                <w:lang w:eastAsia="zh-CN"/>
              </w:rPr>
            </w:pPr>
            <w:r>
              <w:rPr>
                <w:color w:val="auto"/>
                <w:lang w:eastAsia="zh-CN"/>
              </w:rPr>
              <w:t>对照《建设项目环境风险评价技术导则》（HJ169-2018）中附录B，项目使用的原辅料、产品以及生</w:t>
            </w:r>
            <w:r>
              <w:rPr>
                <w:rFonts w:ascii="Times New Roman" w:hAnsi="Times New Roman" w:eastAsia="宋体" w:cs="Times New Roman"/>
                <w:color w:val="auto"/>
                <w:lang w:eastAsia="zh-CN"/>
              </w:rPr>
              <w:t>产过程中的中间物质以及排放的废气、废水</w:t>
            </w:r>
            <w:r>
              <w:rPr>
                <w:rFonts w:hint="eastAsia" w:cs="Times New Roman"/>
                <w:color w:val="auto"/>
                <w:lang w:eastAsia="zh-CN"/>
              </w:rPr>
              <w:t>、</w:t>
            </w:r>
            <w:r>
              <w:rPr>
                <w:rFonts w:hint="eastAsia" w:cs="Times New Roman"/>
                <w:color w:val="auto"/>
                <w:lang w:val="en-US" w:eastAsia="zh-CN"/>
              </w:rPr>
              <w:t>固体废物</w:t>
            </w:r>
            <w:r>
              <w:rPr>
                <w:rFonts w:ascii="Times New Roman" w:hAnsi="Times New Roman" w:eastAsia="宋体" w:cs="Times New Roman"/>
                <w:color w:val="auto"/>
                <w:lang w:eastAsia="zh-CN"/>
              </w:rPr>
              <w:t>等属于附录中涉及的环境风险物质主要有：</w:t>
            </w:r>
            <w:r>
              <w:rPr>
                <w:rFonts w:hint="eastAsia" w:ascii="Times New Roman" w:hAnsi="Times New Roman" w:eastAsia="宋体" w:cs="Times New Roman"/>
                <w:color w:val="auto"/>
                <w:lang w:val="en-US" w:eastAsia="zh-CN"/>
              </w:rPr>
              <w:t>酒精、</w:t>
            </w:r>
            <w:r>
              <w:rPr>
                <w:rFonts w:hint="default" w:ascii="Times New Roman" w:hAnsi="Times New Roman" w:eastAsia="宋体" w:cs="Times New Roman"/>
                <w:color w:val="auto"/>
                <w:highlight w:val="none"/>
                <w:lang w:val="en-US" w:eastAsia="zh-CN"/>
              </w:rPr>
              <w:t>三氯异氰尿酸片</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废紫外线灯管</w:t>
            </w:r>
            <w:r>
              <w:rPr>
                <w:rFonts w:hint="eastAsia" w:ascii="Times New Roman" w:hAnsi="Times New Roman" w:eastAsia="宋体" w:cs="Times New Roman"/>
                <w:color w:val="auto"/>
                <w:lang w:val="en-US" w:eastAsia="zh-CN"/>
              </w:rPr>
              <w:t>、</w:t>
            </w:r>
            <w:r>
              <w:rPr>
                <w:rFonts w:hint="eastAsia" w:cs="Times New Roman"/>
                <w:color w:val="auto"/>
                <w:lang w:val="en-US" w:eastAsia="zh-CN"/>
              </w:rPr>
              <w:t>废渣</w:t>
            </w:r>
            <w:r>
              <w:rPr>
                <w:rFonts w:hint="eastAsia" w:ascii="Times New Roman" w:hAnsi="Times New Roman" w:eastAsia="宋体" w:cs="Times New Roman"/>
                <w:color w:val="auto"/>
                <w:lang w:val="en-US" w:eastAsia="zh-CN"/>
              </w:rPr>
              <w:t>以及医疗废物</w:t>
            </w:r>
            <w:r>
              <w:rPr>
                <w:rFonts w:ascii="Times New Roman" w:hAnsi="Times New Roman" w:eastAsia="宋体" w:cs="Times New Roman"/>
                <w:color w:val="auto"/>
                <w:lang w:eastAsia="zh-CN"/>
              </w:rPr>
              <w:t>。其分布情</w:t>
            </w:r>
            <w:r>
              <w:rPr>
                <w:color w:val="auto"/>
                <w:lang w:eastAsia="zh-CN"/>
              </w:rPr>
              <w:t>况如下：</w:t>
            </w:r>
          </w:p>
          <w:p w14:paraId="3681BC1B">
            <w:pPr>
              <w:pStyle w:val="22"/>
              <w:bidi w:val="0"/>
              <w:rPr>
                <w:color w:val="auto"/>
                <w:lang w:eastAsia="zh-CN"/>
              </w:rPr>
            </w:pPr>
            <w:r>
              <w:rPr>
                <w:color w:val="auto"/>
                <w:lang w:val="en-GB" w:eastAsia="zh-CN"/>
              </w:rPr>
              <w:t>表</w:t>
            </w:r>
            <w:r>
              <w:rPr>
                <w:rFonts w:hint="eastAsia"/>
                <w:color w:val="auto"/>
                <w:lang w:eastAsia="zh-CN"/>
              </w:rPr>
              <w:t>4-1</w:t>
            </w:r>
            <w:r>
              <w:rPr>
                <w:rFonts w:hint="eastAsia"/>
                <w:color w:val="auto"/>
                <w:lang w:val="en-US" w:eastAsia="zh-CN"/>
              </w:rPr>
              <w:t xml:space="preserve">5    </w:t>
            </w:r>
            <w:r>
              <w:rPr>
                <w:rFonts w:hint="eastAsia"/>
                <w:color w:val="auto"/>
                <w:lang w:val="en-GB" w:eastAsia="zh-CN"/>
              </w:rPr>
              <w:t>项目风险物质及分布情况表</w:t>
            </w:r>
          </w:p>
          <w:tbl>
            <w:tblPr>
              <w:tblStyle w:val="14"/>
              <w:tblW w:w="49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1871"/>
              <w:gridCol w:w="1852"/>
              <w:gridCol w:w="1584"/>
              <w:gridCol w:w="1907"/>
            </w:tblGrid>
            <w:tr w14:paraId="731A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39" w:type="pct"/>
                  <w:tcBorders>
                    <w:top w:val="single" w:color="auto" w:sz="12" w:space="0"/>
                    <w:left w:val="nil"/>
                    <w:bottom w:val="single" w:color="auto" w:sz="12" w:space="0"/>
                  </w:tcBorders>
                  <w:noWrap w:val="0"/>
                  <w:vAlign w:val="center"/>
                </w:tcPr>
                <w:p w14:paraId="784AD1C4">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lang w:eastAsia="zh-CN"/>
                    </w:rPr>
                    <w:t>序号</w:t>
                  </w:r>
                </w:p>
              </w:tc>
              <w:tc>
                <w:tcPr>
                  <w:tcW w:w="1156" w:type="pct"/>
                  <w:tcBorders>
                    <w:top w:val="single" w:color="auto" w:sz="12" w:space="0"/>
                    <w:bottom w:val="single" w:color="auto" w:sz="12" w:space="0"/>
                  </w:tcBorders>
                  <w:noWrap w:val="0"/>
                  <w:vAlign w:val="center"/>
                </w:tcPr>
                <w:p w14:paraId="0490697C">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lang w:eastAsia="zh-CN"/>
                    </w:rPr>
                    <w:t>名称</w:t>
                  </w:r>
                </w:p>
              </w:tc>
              <w:tc>
                <w:tcPr>
                  <w:tcW w:w="1145" w:type="pct"/>
                  <w:tcBorders>
                    <w:top w:val="single" w:color="auto" w:sz="12" w:space="0"/>
                    <w:bottom w:val="single" w:color="auto" w:sz="12" w:space="0"/>
                    <w:right w:val="single" w:color="000000" w:sz="2" w:space="0"/>
                  </w:tcBorders>
                  <w:noWrap w:val="0"/>
                  <w:vAlign w:val="center"/>
                </w:tcPr>
                <w:p w14:paraId="484F45F0">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lang w:eastAsia="zh-CN"/>
                    </w:rPr>
                    <w:t>储存方式</w:t>
                  </w:r>
                </w:p>
              </w:tc>
              <w:tc>
                <w:tcPr>
                  <w:tcW w:w="979" w:type="pct"/>
                  <w:tcBorders>
                    <w:top w:val="single" w:color="auto" w:sz="12" w:space="0"/>
                    <w:bottom w:val="single" w:color="auto" w:sz="12" w:space="0"/>
                    <w:right w:val="single" w:color="000000" w:sz="2" w:space="0"/>
                  </w:tcBorders>
                  <w:noWrap w:val="0"/>
                  <w:vAlign w:val="center"/>
                </w:tcPr>
                <w:p w14:paraId="461C7222">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lang w:eastAsia="zh-CN"/>
                    </w:rPr>
                    <w:t>最大储存量t</w:t>
                  </w:r>
                </w:p>
              </w:tc>
              <w:tc>
                <w:tcPr>
                  <w:tcW w:w="1179" w:type="pct"/>
                  <w:tcBorders>
                    <w:top w:val="single" w:color="auto" w:sz="12" w:space="0"/>
                    <w:left w:val="single" w:color="000000" w:sz="2" w:space="0"/>
                    <w:bottom w:val="single" w:color="auto" w:sz="12" w:space="0"/>
                    <w:right w:val="nil"/>
                  </w:tcBorders>
                  <w:noWrap w:val="0"/>
                  <w:vAlign w:val="center"/>
                </w:tcPr>
                <w:p w14:paraId="483E3DEA">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highlight w:val="none"/>
                      <w:lang w:eastAsia="zh-CN"/>
                    </w:rPr>
                    <w:t>储存位置</w:t>
                  </w:r>
                </w:p>
              </w:tc>
            </w:tr>
            <w:tr w14:paraId="56AF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539" w:type="pct"/>
                  <w:tcBorders>
                    <w:left w:val="nil"/>
                  </w:tcBorders>
                  <w:noWrap w:val="0"/>
                  <w:vAlign w:val="center"/>
                </w:tcPr>
                <w:p w14:paraId="125E6A6E">
                  <w:pPr>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w:t>
                  </w:r>
                </w:p>
              </w:tc>
              <w:tc>
                <w:tcPr>
                  <w:tcW w:w="1156" w:type="pct"/>
                  <w:noWrap w:val="0"/>
                  <w:vAlign w:val="center"/>
                </w:tcPr>
                <w:p w14:paraId="454EDADB">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7</w:t>
                  </w:r>
                  <w:r>
                    <w:rPr>
                      <w:rFonts w:hint="default" w:ascii="Times New Roman" w:hAnsi="Times New Roman" w:eastAsia="宋体" w:cs="Times New Roman"/>
                      <w:color w:val="auto"/>
                      <w:sz w:val="21"/>
                      <w:szCs w:val="21"/>
                      <w:lang w:val="en-US" w:eastAsia="zh-CN"/>
                    </w:rPr>
                    <w:t>5%酒精 （乙醇）</w:t>
                  </w:r>
                </w:p>
              </w:tc>
              <w:tc>
                <w:tcPr>
                  <w:tcW w:w="1145" w:type="pct"/>
                  <w:tcBorders>
                    <w:top w:val="single" w:color="000000" w:sz="2" w:space="0"/>
                    <w:bottom w:val="single" w:color="000000" w:sz="2" w:space="0"/>
                    <w:right w:val="single" w:color="000000" w:sz="2" w:space="0"/>
                  </w:tcBorders>
                  <w:noWrap w:val="0"/>
                  <w:vAlign w:val="center"/>
                </w:tcPr>
                <w:p w14:paraId="62E02450">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瓶装</w:t>
                  </w:r>
                </w:p>
              </w:tc>
              <w:tc>
                <w:tcPr>
                  <w:tcW w:w="979" w:type="pct"/>
                  <w:tcBorders>
                    <w:right w:val="single" w:color="000000" w:sz="2" w:space="0"/>
                  </w:tcBorders>
                  <w:noWrap w:val="0"/>
                  <w:vAlign w:val="center"/>
                </w:tcPr>
                <w:p w14:paraId="67CE6D29">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0.</w:t>
                  </w: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125</w:t>
                  </w:r>
                </w:p>
              </w:tc>
              <w:tc>
                <w:tcPr>
                  <w:tcW w:w="1179" w:type="pct"/>
                  <w:tcBorders>
                    <w:top w:val="single" w:color="000000" w:sz="2" w:space="0"/>
                    <w:left w:val="single" w:color="000000" w:sz="2" w:space="0"/>
                    <w:bottom w:val="single" w:color="000000" w:sz="2" w:space="0"/>
                    <w:right w:val="nil"/>
                  </w:tcBorders>
                  <w:noWrap w:val="0"/>
                  <w:vAlign w:val="center"/>
                </w:tcPr>
                <w:p w14:paraId="4581BB0B">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药房</w:t>
                  </w:r>
                </w:p>
              </w:tc>
            </w:tr>
            <w:tr w14:paraId="27A4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39" w:type="pct"/>
                  <w:tcBorders>
                    <w:left w:val="nil"/>
                  </w:tcBorders>
                  <w:noWrap w:val="0"/>
                  <w:vAlign w:val="center"/>
                </w:tcPr>
                <w:p w14:paraId="140E7C24">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156" w:type="pct"/>
                  <w:noWrap w:val="0"/>
                  <w:vAlign w:val="center"/>
                </w:tcPr>
                <w:p w14:paraId="0C9BA70A">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三氯异氰尿酸片</w:t>
                  </w:r>
                </w:p>
              </w:tc>
              <w:tc>
                <w:tcPr>
                  <w:tcW w:w="1145" w:type="pct"/>
                  <w:tcBorders>
                    <w:top w:val="single" w:color="000000" w:sz="2" w:space="0"/>
                    <w:bottom w:val="single" w:color="000000" w:sz="2" w:space="0"/>
                    <w:right w:val="single" w:color="000000" w:sz="2" w:space="0"/>
                  </w:tcBorders>
                  <w:noWrap w:val="0"/>
                  <w:vAlign w:val="center"/>
                </w:tcPr>
                <w:p w14:paraId="026FCEB8">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瓶装</w:t>
                  </w:r>
                </w:p>
              </w:tc>
              <w:tc>
                <w:tcPr>
                  <w:tcW w:w="979" w:type="pct"/>
                  <w:tcBorders>
                    <w:right w:val="single" w:color="000000" w:sz="2" w:space="0"/>
                  </w:tcBorders>
                  <w:noWrap w:val="0"/>
                  <w:vAlign w:val="center"/>
                </w:tcPr>
                <w:p w14:paraId="1D588E7A">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0.002</w:t>
                  </w:r>
                </w:p>
              </w:tc>
              <w:tc>
                <w:tcPr>
                  <w:tcW w:w="1179" w:type="pct"/>
                  <w:tcBorders>
                    <w:top w:val="single" w:color="000000" w:sz="2" w:space="0"/>
                    <w:left w:val="single" w:color="000000" w:sz="2" w:space="0"/>
                    <w:bottom w:val="single" w:color="000000" w:sz="2" w:space="0"/>
                    <w:right w:val="nil"/>
                  </w:tcBorders>
                  <w:noWrap w:val="0"/>
                  <w:vAlign w:val="center"/>
                </w:tcPr>
                <w:p w14:paraId="249C21CB">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药房</w:t>
                  </w:r>
                </w:p>
              </w:tc>
            </w:tr>
            <w:tr w14:paraId="79C9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539" w:type="pct"/>
                  <w:tcBorders>
                    <w:left w:val="nil"/>
                  </w:tcBorders>
                  <w:noWrap w:val="0"/>
                  <w:vAlign w:val="center"/>
                </w:tcPr>
                <w:p w14:paraId="6E66646B">
                  <w:pPr>
                    <w:pStyle w:val="28"/>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1156" w:type="pct"/>
                  <w:noWrap w:val="0"/>
                  <w:vAlign w:val="center"/>
                </w:tcPr>
                <w:p w14:paraId="5C73B78C">
                  <w:pPr>
                    <w:pStyle w:val="28"/>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废紫外线灯管</w:t>
                  </w:r>
                </w:p>
              </w:tc>
              <w:tc>
                <w:tcPr>
                  <w:tcW w:w="1145" w:type="pct"/>
                  <w:tcBorders>
                    <w:top w:val="single" w:color="000000" w:sz="2" w:space="0"/>
                    <w:bottom w:val="single" w:color="000000" w:sz="2" w:space="0"/>
                    <w:right w:val="single" w:color="000000" w:sz="2" w:space="0"/>
                  </w:tcBorders>
                  <w:noWrap w:val="0"/>
                  <w:vAlign w:val="center"/>
                </w:tcPr>
                <w:p w14:paraId="13DB1271">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分区存放</w:t>
                  </w:r>
                </w:p>
              </w:tc>
              <w:tc>
                <w:tcPr>
                  <w:tcW w:w="979" w:type="pct"/>
                  <w:tcBorders>
                    <w:right w:val="single" w:color="000000" w:sz="2" w:space="0"/>
                  </w:tcBorders>
                  <w:noWrap w:val="0"/>
                  <w:vAlign w:val="center"/>
                </w:tcPr>
                <w:p w14:paraId="4A3A9883">
                  <w:pPr>
                    <w:pStyle w:val="28"/>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w:t>
                  </w:r>
                  <w:r>
                    <w:rPr>
                      <w:rFonts w:hint="eastAsia" w:cs="Times New Roman"/>
                      <w:color w:val="auto"/>
                      <w:sz w:val="21"/>
                      <w:szCs w:val="21"/>
                      <w:highlight w:val="none"/>
                      <w:lang w:val="en-US" w:eastAsia="zh-CN"/>
                    </w:rPr>
                    <w:t>2</w:t>
                  </w:r>
                </w:p>
              </w:tc>
              <w:tc>
                <w:tcPr>
                  <w:tcW w:w="1179" w:type="pct"/>
                  <w:tcBorders>
                    <w:top w:val="single" w:color="000000" w:sz="2" w:space="0"/>
                    <w:left w:val="single" w:color="000000" w:sz="2" w:space="0"/>
                    <w:bottom w:val="single" w:color="000000" w:sz="2" w:space="0"/>
                    <w:right w:val="nil"/>
                  </w:tcBorders>
                  <w:noWrap w:val="0"/>
                  <w:vAlign w:val="center"/>
                </w:tcPr>
                <w:p w14:paraId="69435572">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危险废物贮存间</w:t>
                  </w:r>
                </w:p>
              </w:tc>
            </w:tr>
            <w:tr w14:paraId="5E22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539" w:type="pct"/>
                  <w:tcBorders>
                    <w:left w:val="nil"/>
                  </w:tcBorders>
                  <w:noWrap w:val="0"/>
                  <w:vAlign w:val="center"/>
                </w:tcPr>
                <w:p w14:paraId="6F7B55B2">
                  <w:pPr>
                    <w:pStyle w:val="28"/>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1156" w:type="pct"/>
                  <w:noWrap w:val="0"/>
                  <w:vAlign w:val="center"/>
                </w:tcPr>
                <w:p w14:paraId="1868992E">
                  <w:pPr>
                    <w:pStyle w:val="28"/>
                    <w:bidi w:val="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废渣</w:t>
                  </w:r>
                </w:p>
              </w:tc>
              <w:tc>
                <w:tcPr>
                  <w:tcW w:w="1145" w:type="pct"/>
                  <w:tcBorders>
                    <w:top w:val="single" w:color="000000" w:sz="2" w:space="0"/>
                    <w:bottom w:val="single" w:color="000000" w:sz="2" w:space="0"/>
                    <w:right w:val="single" w:color="000000" w:sz="2" w:space="0"/>
                  </w:tcBorders>
                  <w:noWrap w:val="0"/>
                  <w:vAlign w:val="center"/>
                </w:tcPr>
                <w:p w14:paraId="351709C5">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由资质单位处理</w:t>
                  </w:r>
                </w:p>
              </w:tc>
              <w:tc>
                <w:tcPr>
                  <w:tcW w:w="979" w:type="pct"/>
                  <w:tcBorders>
                    <w:right w:val="single" w:color="000000" w:sz="2" w:space="0"/>
                  </w:tcBorders>
                  <w:noWrap w:val="0"/>
                  <w:vAlign w:val="center"/>
                </w:tcPr>
                <w:p w14:paraId="5A1A2400">
                  <w:pPr>
                    <w:pStyle w:val="28"/>
                    <w:bidi w:val="0"/>
                    <w:rPr>
                      <w:rFonts w:hint="default" w:ascii="Times New Roman" w:hAnsi="Times New Roman" w:eastAsia="宋体" w:cs="Times New Roman"/>
                      <w:color w:val="auto"/>
                      <w:sz w:val="21"/>
                      <w:szCs w:val="21"/>
                      <w:highlight w:val="none"/>
                      <w:lang w:val="en-US" w:eastAsia="zh-CN"/>
                    </w:rPr>
                  </w:pPr>
                  <w:r>
                    <w:rPr>
                      <w:rFonts w:hint="eastAsia"/>
                      <w:color w:val="auto"/>
                      <w:lang w:val="en-US" w:eastAsia="zh-CN"/>
                    </w:rPr>
                    <w:t>0.0039</w:t>
                  </w:r>
                </w:p>
              </w:tc>
              <w:tc>
                <w:tcPr>
                  <w:tcW w:w="1179" w:type="pct"/>
                  <w:tcBorders>
                    <w:top w:val="single" w:color="000000" w:sz="2" w:space="0"/>
                    <w:left w:val="single" w:color="000000" w:sz="2" w:space="0"/>
                    <w:bottom w:val="single" w:color="000000" w:sz="2" w:space="0"/>
                    <w:right w:val="nil"/>
                  </w:tcBorders>
                  <w:noWrap w:val="0"/>
                  <w:vAlign w:val="center"/>
                </w:tcPr>
                <w:p w14:paraId="36D9EF2E">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27A9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9" w:type="pct"/>
                  <w:tcBorders>
                    <w:left w:val="nil"/>
                  </w:tcBorders>
                  <w:noWrap w:val="0"/>
                  <w:vAlign w:val="center"/>
                </w:tcPr>
                <w:p w14:paraId="061CB2B9">
                  <w:pPr>
                    <w:pStyle w:val="28"/>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1156" w:type="pct"/>
                  <w:noWrap w:val="0"/>
                  <w:vAlign w:val="center"/>
                </w:tcPr>
                <w:p w14:paraId="536D4759">
                  <w:pPr>
                    <w:pStyle w:val="28"/>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医疗废物</w:t>
                  </w:r>
                  <w:r>
                    <w:rPr>
                      <w:rFonts w:hint="eastAsia" w:cs="Times New Roman"/>
                      <w:color w:val="auto"/>
                      <w:sz w:val="21"/>
                      <w:szCs w:val="21"/>
                      <w:highlight w:val="none"/>
                      <w:lang w:val="en-US" w:eastAsia="zh-CN"/>
                    </w:rPr>
                    <w:t>（包括毛发、粪便等）</w:t>
                  </w:r>
                </w:p>
              </w:tc>
              <w:tc>
                <w:tcPr>
                  <w:tcW w:w="1145" w:type="pct"/>
                  <w:tcBorders>
                    <w:top w:val="single" w:color="000000" w:sz="2" w:space="0"/>
                    <w:bottom w:val="single" w:color="000000" w:sz="2" w:space="0"/>
                    <w:right w:val="single" w:color="000000" w:sz="2" w:space="0"/>
                  </w:tcBorders>
                  <w:noWrap w:val="0"/>
                  <w:vAlign w:val="center"/>
                </w:tcPr>
                <w:p w14:paraId="16B7823C">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分区存放</w:t>
                  </w:r>
                </w:p>
              </w:tc>
              <w:tc>
                <w:tcPr>
                  <w:tcW w:w="979" w:type="pct"/>
                  <w:tcBorders>
                    <w:right w:val="single" w:color="000000" w:sz="2" w:space="0"/>
                  </w:tcBorders>
                  <w:noWrap w:val="0"/>
                  <w:vAlign w:val="center"/>
                </w:tcPr>
                <w:p w14:paraId="37392EB1">
                  <w:pPr>
                    <w:pStyle w:val="28"/>
                    <w:bidi w:val="0"/>
                    <w:rPr>
                      <w:rFonts w:hint="default" w:ascii="Times New Roman" w:hAnsi="Times New Roman" w:eastAsia="宋体" w:cs="Times New Roman"/>
                      <w:color w:val="auto"/>
                      <w:sz w:val="21"/>
                      <w:szCs w:val="21"/>
                      <w:highlight w:val="none"/>
                      <w:lang w:val="en-US" w:eastAsia="zh-CN"/>
                    </w:rPr>
                  </w:pPr>
                  <w:r>
                    <w:rPr>
                      <w:rFonts w:hint="default"/>
                      <w:color w:val="auto"/>
                      <w:lang w:val="en-US" w:eastAsia="zh-CN"/>
                    </w:rPr>
                    <w:t>0.1</w:t>
                  </w:r>
                  <w:r>
                    <w:rPr>
                      <w:rFonts w:hint="eastAsia"/>
                      <w:color w:val="auto"/>
                      <w:lang w:val="en-US" w:eastAsia="zh-CN"/>
                    </w:rPr>
                    <w:t>579</w:t>
                  </w:r>
                </w:p>
              </w:tc>
              <w:tc>
                <w:tcPr>
                  <w:tcW w:w="1179" w:type="pct"/>
                  <w:tcBorders>
                    <w:top w:val="single" w:color="000000" w:sz="2" w:space="0"/>
                    <w:left w:val="single" w:color="000000" w:sz="2" w:space="0"/>
                    <w:bottom w:val="single" w:color="000000" w:sz="2" w:space="0"/>
                    <w:right w:val="nil"/>
                  </w:tcBorders>
                  <w:noWrap w:val="0"/>
                  <w:vAlign w:val="center"/>
                </w:tcPr>
                <w:p w14:paraId="2C71F886">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危险废物贮存间</w:t>
                  </w:r>
                </w:p>
              </w:tc>
            </w:tr>
          </w:tbl>
          <w:p w14:paraId="7451A838">
            <w:pPr>
              <w:tabs>
                <w:tab w:val="left" w:pos="2760"/>
              </w:tabs>
              <w:spacing w:line="360" w:lineRule="auto"/>
              <w:ind w:firstLine="480"/>
              <w:jc w:val="both"/>
              <w:rPr>
                <w:rFonts w:ascii="Times New Roman"/>
                <w:b w:val="0"/>
                <w:color w:val="auto"/>
                <w:sz w:val="24"/>
                <w:szCs w:val="24"/>
                <w:lang w:val="en-US" w:eastAsia="zh-CN"/>
              </w:rPr>
            </w:pPr>
            <w:r>
              <w:rPr>
                <w:rFonts w:hint="eastAsia"/>
                <w:b w:val="0"/>
                <w:color w:val="auto"/>
                <w:sz w:val="24"/>
                <w:szCs w:val="24"/>
                <w:lang w:val="en-US" w:eastAsia="zh-CN"/>
              </w:rPr>
              <w:t>（2）</w:t>
            </w:r>
            <w:r>
              <w:rPr>
                <w:rFonts w:ascii="Times New Roman"/>
                <w:b w:val="0"/>
                <w:color w:val="auto"/>
                <w:sz w:val="24"/>
                <w:szCs w:val="24"/>
                <w:lang w:val="en-US" w:eastAsia="zh-CN"/>
              </w:rPr>
              <w:t>工艺系统风险调查</w:t>
            </w:r>
          </w:p>
          <w:p w14:paraId="07BECAE4">
            <w:pPr>
              <w:pStyle w:val="29"/>
              <w:bidi w:val="0"/>
              <w:rPr>
                <w:color w:val="auto"/>
                <w:lang w:val="en-US" w:eastAsia="zh-CN"/>
              </w:rPr>
            </w:pPr>
            <w:r>
              <w:rPr>
                <w:rFonts w:hint="eastAsia"/>
                <w:color w:val="auto"/>
                <w:lang w:val="en-US" w:eastAsia="zh-CN"/>
              </w:rPr>
              <w:t>①</w:t>
            </w:r>
            <w:r>
              <w:rPr>
                <w:color w:val="auto"/>
                <w:lang w:val="en-US" w:eastAsia="zh-CN"/>
              </w:rPr>
              <w:t>生产工艺</w:t>
            </w:r>
          </w:p>
          <w:p w14:paraId="6D4236EC">
            <w:pPr>
              <w:pStyle w:val="29"/>
              <w:bidi w:val="0"/>
              <w:rPr>
                <w:color w:val="auto"/>
                <w:lang w:val="en-US" w:eastAsia="zh-CN"/>
              </w:rPr>
            </w:pPr>
            <w:r>
              <w:rPr>
                <w:color w:val="auto"/>
                <w:lang w:val="en-US" w:eastAsia="zh-CN"/>
              </w:rPr>
              <w:t>本项目不涉及危险工艺；</w:t>
            </w:r>
            <w:r>
              <w:rPr>
                <w:rFonts w:hint="eastAsia"/>
                <w:color w:val="auto"/>
                <w:lang w:val="en-US" w:eastAsia="zh-CN"/>
              </w:rPr>
              <w:t>一体化污水处理设施</w:t>
            </w:r>
            <w:r>
              <w:rPr>
                <w:color w:val="auto"/>
                <w:lang w:val="en-US" w:eastAsia="zh-CN"/>
              </w:rPr>
              <w:t>可能发生废水泄漏和超标排放。</w:t>
            </w:r>
          </w:p>
          <w:p w14:paraId="47F1B62A">
            <w:pPr>
              <w:pStyle w:val="29"/>
              <w:bidi w:val="0"/>
              <w:rPr>
                <w:color w:val="auto"/>
                <w:lang w:val="en-US" w:eastAsia="zh-CN"/>
              </w:rPr>
            </w:pPr>
            <w:r>
              <w:rPr>
                <w:rFonts w:hint="eastAsia"/>
                <w:color w:val="auto"/>
                <w:lang w:val="en-US" w:eastAsia="zh-CN"/>
              </w:rPr>
              <w:t>②</w:t>
            </w:r>
            <w:r>
              <w:rPr>
                <w:color w:val="auto"/>
                <w:lang w:val="en-US" w:eastAsia="zh-CN"/>
              </w:rPr>
              <w:t>危险物质贮存区</w:t>
            </w:r>
          </w:p>
          <w:p w14:paraId="65867EDF">
            <w:pPr>
              <w:pStyle w:val="29"/>
              <w:bidi w:val="0"/>
              <w:rPr>
                <w:rFonts w:hint="eastAsia"/>
                <w:color w:val="auto"/>
                <w:lang w:val="en-US" w:eastAsia="zh-CN"/>
              </w:rPr>
            </w:pPr>
            <w:r>
              <w:rPr>
                <w:color w:val="auto"/>
                <w:lang w:val="en-US" w:eastAsia="zh-CN"/>
              </w:rPr>
              <w:t>本项目涉及</w:t>
            </w:r>
            <w:r>
              <w:rPr>
                <w:rFonts w:hint="eastAsia"/>
                <w:color w:val="auto"/>
                <w:lang w:val="en-US" w:eastAsia="zh-CN"/>
              </w:rPr>
              <w:t>危险</w:t>
            </w:r>
            <w:r>
              <w:rPr>
                <w:color w:val="auto"/>
                <w:lang w:val="en-US" w:eastAsia="zh-CN"/>
              </w:rPr>
              <w:t>废物的存储，属于危险物质贮存区。</w:t>
            </w:r>
          </w:p>
          <w:p w14:paraId="6C25C466">
            <w:pPr>
              <w:pStyle w:val="4"/>
              <w:bidi w:val="0"/>
              <w:rPr>
                <w:color w:val="auto"/>
                <w:lang w:val="en-US" w:eastAsia="zh-CN"/>
              </w:rPr>
            </w:pPr>
            <w:r>
              <w:rPr>
                <w:rFonts w:hint="eastAsia"/>
                <w:color w:val="auto"/>
                <w:lang w:val="en-US" w:eastAsia="zh-CN"/>
              </w:rPr>
              <w:t>4.10.2</w:t>
            </w:r>
            <w:r>
              <w:rPr>
                <w:color w:val="auto"/>
                <w:lang w:val="en-US" w:eastAsia="zh-CN"/>
              </w:rPr>
              <w:t>环境风险评价等级</w:t>
            </w:r>
          </w:p>
          <w:p w14:paraId="68B2A8FF">
            <w:pPr>
              <w:pStyle w:val="29"/>
              <w:bidi w:val="0"/>
              <w:rPr>
                <w:rFonts w:hint="eastAsia"/>
                <w:color w:val="auto"/>
                <w:lang w:val="en-US" w:eastAsia="zh-CN"/>
              </w:rPr>
            </w:pPr>
            <w:r>
              <w:rPr>
                <w:rFonts w:hint="eastAsia"/>
                <w:color w:val="auto"/>
                <w:lang w:val="en-US" w:eastAsia="zh-CN"/>
              </w:rPr>
              <w:t>（1）</w:t>
            </w:r>
            <w:r>
              <w:rPr>
                <w:color w:val="auto"/>
                <w:lang w:val="en-US" w:eastAsia="zh-CN"/>
              </w:rPr>
              <w:t>环境风险潜势划分</w:t>
            </w:r>
          </w:p>
          <w:p w14:paraId="4CF8ABF3">
            <w:pPr>
              <w:pStyle w:val="29"/>
              <w:bidi w:val="0"/>
              <w:rPr>
                <w:rFonts w:hint="eastAsia"/>
                <w:color w:val="auto"/>
                <w:lang w:val="en-US" w:eastAsia="zh-CN"/>
              </w:rPr>
            </w:pPr>
            <w:r>
              <w:rPr>
                <w:color w:val="auto"/>
                <w:lang w:val="en-US" w:eastAsia="zh-CN"/>
              </w:rPr>
              <w:t>依据《建设项目环境风险评价技术导则》（HJ169-2018），当单元内存在的危险物质为多品种时，则按</w:t>
            </w:r>
            <w:r>
              <w:rPr>
                <w:rFonts w:hint="eastAsia"/>
                <w:color w:val="auto"/>
                <w:lang w:val="en-US" w:eastAsia="zh-CN"/>
              </w:rPr>
              <w:t>下</w:t>
            </w:r>
            <w:r>
              <w:rPr>
                <w:color w:val="auto"/>
                <w:lang w:val="en-US" w:eastAsia="zh-CN"/>
              </w:rPr>
              <w:t>式进行计算，若满足，则该单元定为危险化学品重大危险源。</w:t>
            </w:r>
          </w:p>
          <w:p w14:paraId="6D6906B1">
            <w:pPr>
              <w:jc w:val="center"/>
              <w:rPr>
                <w:rFonts w:hint="eastAsia"/>
                <w:color w:val="auto"/>
                <w:lang w:eastAsia="zh-CN"/>
              </w:rPr>
            </w:pPr>
            <w:r>
              <w:rPr>
                <w:color w:val="auto"/>
              </w:rPr>
              <w:drawing>
                <wp:inline distT="0" distB="0" distL="114300" distR="114300">
                  <wp:extent cx="1942465" cy="598805"/>
                  <wp:effectExtent l="0" t="0" r="635" b="10795"/>
                  <wp:docPr id="14" name="图片 892" descr="微信截图_2023041823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92" descr="微信截图_20230418234405"/>
                          <pic:cNvPicPr>
                            <a:picLocks noChangeAspect="1"/>
                          </pic:cNvPicPr>
                        </pic:nvPicPr>
                        <pic:blipFill>
                          <a:blip r:embed="rId30"/>
                          <a:stretch>
                            <a:fillRect/>
                          </a:stretch>
                        </pic:blipFill>
                        <pic:spPr>
                          <a:xfrm>
                            <a:off x="0" y="0"/>
                            <a:ext cx="1942465" cy="598805"/>
                          </a:xfrm>
                          <a:prstGeom prst="rect">
                            <a:avLst/>
                          </a:prstGeom>
                          <a:noFill/>
                          <a:ln>
                            <a:noFill/>
                          </a:ln>
                        </pic:spPr>
                      </pic:pic>
                    </a:graphicData>
                  </a:graphic>
                </wp:inline>
              </w:drawing>
            </w:r>
          </w:p>
          <w:p w14:paraId="1D23E45A">
            <w:pPr>
              <w:pStyle w:val="29"/>
              <w:bidi w:val="0"/>
              <w:rPr>
                <w:color w:val="auto"/>
                <w:lang w:eastAsia="zh-CN"/>
              </w:rPr>
            </w:pPr>
            <w:r>
              <w:rPr>
                <w:color w:val="auto"/>
                <w:lang w:eastAsia="zh-CN"/>
              </w:rPr>
              <w:t>式中：</w:t>
            </w:r>
          </w:p>
          <w:p w14:paraId="6CEFEC6F">
            <w:pPr>
              <w:pStyle w:val="29"/>
              <w:bidi w:val="0"/>
              <w:rPr>
                <w:rFonts w:hint="eastAsia"/>
                <w:color w:val="auto"/>
                <w:lang w:eastAsia="zh-CN"/>
              </w:rPr>
            </w:pPr>
            <w:r>
              <w:rPr>
                <w:color w:val="auto"/>
                <w:lang w:eastAsia="zh-CN"/>
              </w:rPr>
              <w:t>q1，q2，.....qn—每种危险物质的最大存在总量，t；</w:t>
            </w:r>
          </w:p>
          <w:p w14:paraId="531ADCC2">
            <w:pPr>
              <w:pStyle w:val="29"/>
              <w:bidi w:val="0"/>
              <w:rPr>
                <w:rFonts w:hint="eastAsia"/>
                <w:color w:val="auto"/>
                <w:lang w:eastAsia="zh-CN"/>
              </w:rPr>
            </w:pPr>
            <w:r>
              <w:rPr>
                <w:color w:val="auto"/>
                <w:lang w:eastAsia="zh-CN"/>
              </w:rPr>
              <w:t>Q1，Q2，........Qn—每种危险物质的临界量，t。</w:t>
            </w:r>
          </w:p>
          <w:p w14:paraId="796D9CEB">
            <w:pPr>
              <w:pStyle w:val="29"/>
              <w:bidi w:val="0"/>
              <w:rPr>
                <w:rFonts w:hint="eastAsia"/>
                <w:color w:val="auto"/>
                <w:lang w:eastAsia="zh-CN"/>
              </w:rPr>
            </w:pPr>
            <w:r>
              <w:rPr>
                <w:color w:val="auto"/>
                <w:lang w:eastAsia="zh-CN"/>
              </w:rPr>
              <w:t>当Q＜1时，该项目环境风险潜势为I。</w:t>
            </w:r>
          </w:p>
          <w:p w14:paraId="2FC01977">
            <w:pPr>
              <w:pStyle w:val="29"/>
              <w:bidi w:val="0"/>
              <w:rPr>
                <w:rFonts w:hint="eastAsia"/>
                <w:color w:val="auto"/>
                <w:lang w:eastAsia="zh-CN"/>
              </w:rPr>
            </w:pPr>
            <w:r>
              <w:rPr>
                <w:color w:val="auto"/>
                <w:lang w:eastAsia="zh-CN"/>
              </w:rPr>
              <w:t>当Q≥1时，将Q值划分为：（1）1≤Q＜10；（2）10≤Q＜100；（3）Q≥100。</w:t>
            </w:r>
          </w:p>
          <w:p w14:paraId="2F2EA40B">
            <w:pPr>
              <w:pStyle w:val="29"/>
              <w:bidi w:val="0"/>
              <w:rPr>
                <w:rFonts w:hint="eastAsia"/>
                <w:color w:val="auto"/>
                <w:lang w:eastAsia="zh-CN"/>
              </w:rPr>
            </w:pPr>
            <w:r>
              <w:rPr>
                <w:color w:val="auto"/>
                <w:lang w:eastAsia="zh-CN"/>
              </w:rPr>
              <w:t>本项目主要风险物质及临界量详见表</w:t>
            </w:r>
            <w:r>
              <w:rPr>
                <w:rFonts w:hint="eastAsia"/>
                <w:color w:val="auto"/>
                <w:lang w:eastAsia="zh-CN"/>
              </w:rPr>
              <w:t>4-</w:t>
            </w:r>
            <w:r>
              <w:rPr>
                <w:rFonts w:hint="eastAsia"/>
                <w:color w:val="auto"/>
                <w:lang w:val="en-US" w:eastAsia="zh-CN"/>
              </w:rPr>
              <w:t>16</w:t>
            </w:r>
            <w:r>
              <w:rPr>
                <w:rFonts w:hint="eastAsia"/>
                <w:color w:val="auto"/>
                <w:lang w:eastAsia="zh-CN"/>
              </w:rPr>
              <w:t>。</w:t>
            </w:r>
          </w:p>
          <w:p w14:paraId="4BBA78F5">
            <w:pPr>
              <w:pStyle w:val="22"/>
              <w:bidi w:val="0"/>
              <w:rPr>
                <w:rFonts w:hint="eastAsia"/>
                <w:color w:val="auto"/>
                <w:highlight w:val="none"/>
                <w:lang w:eastAsia="zh-CN"/>
              </w:rPr>
            </w:pPr>
            <w:r>
              <w:rPr>
                <w:color w:val="auto"/>
                <w:highlight w:val="none"/>
                <w:lang w:val="en-GB" w:eastAsia="zh-CN"/>
              </w:rPr>
              <w:t>表</w:t>
            </w:r>
            <w:r>
              <w:rPr>
                <w:color w:val="auto"/>
                <w:highlight w:val="none"/>
                <w:lang w:eastAsia="zh-CN"/>
              </w:rPr>
              <w:t>4-</w:t>
            </w:r>
            <w:r>
              <w:rPr>
                <w:rFonts w:hint="eastAsia"/>
                <w:color w:val="auto"/>
                <w:highlight w:val="none"/>
                <w:lang w:eastAsia="zh-CN"/>
              </w:rPr>
              <w:t>1</w:t>
            </w:r>
            <w:r>
              <w:rPr>
                <w:rFonts w:hint="eastAsia"/>
                <w:color w:val="auto"/>
                <w:highlight w:val="none"/>
                <w:lang w:val="en-US" w:eastAsia="zh-CN"/>
              </w:rPr>
              <w:t>6</w:t>
            </w:r>
            <w:r>
              <w:rPr>
                <w:color w:val="auto"/>
                <w:highlight w:val="none"/>
                <w:lang w:eastAsia="zh-CN"/>
              </w:rPr>
              <w:t xml:space="preserve">    </w:t>
            </w:r>
            <w:r>
              <w:rPr>
                <w:rFonts w:hint="eastAsia"/>
                <w:color w:val="auto"/>
                <w:highlight w:val="none"/>
                <w:lang w:val="en-GB" w:eastAsia="zh-CN"/>
              </w:rPr>
              <w:t>项目主要风险物质及临界量</w:t>
            </w:r>
          </w:p>
          <w:tbl>
            <w:tblPr>
              <w:tblStyle w:val="14"/>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910"/>
              <w:gridCol w:w="1597"/>
              <w:gridCol w:w="2121"/>
              <w:gridCol w:w="1616"/>
            </w:tblGrid>
            <w:tr w14:paraId="7B4B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538" w:type="pct"/>
                  <w:noWrap w:val="0"/>
                  <w:vAlign w:val="center"/>
                </w:tcPr>
                <w:p w14:paraId="75DBC84F">
                  <w:pPr>
                    <w:pStyle w:val="28"/>
                    <w:bidi w:val="0"/>
                    <w:rPr>
                      <w:rFonts w:hint="eastAsia"/>
                      <w:color w:val="auto"/>
                      <w:highlight w:val="none"/>
                      <w:lang w:eastAsia="zh-CN"/>
                    </w:rPr>
                  </w:pPr>
                  <w:r>
                    <w:rPr>
                      <w:rFonts w:hint="eastAsia"/>
                      <w:color w:val="auto"/>
                      <w:highlight w:val="none"/>
                      <w:lang w:eastAsia="zh-CN"/>
                    </w:rPr>
                    <w:t>序号</w:t>
                  </w:r>
                </w:p>
              </w:tc>
              <w:tc>
                <w:tcPr>
                  <w:tcW w:w="1176" w:type="pct"/>
                  <w:noWrap w:val="0"/>
                  <w:vAlign w:val="center"/>
                </w:tcPr>
                <w:p w14:paraId="32AD2806">
                  <w:pPr>
                    <w:pStyle w:val="28"/>
                    <w:bidi w:val="0"/>
                    <w:rPr>
                      <w:rFonts w:hint="eastAsia"/>
                      <w:color w:val="auto"/>
                      <w:highlight w:val="none"/>
                      <w:lang w:eastAsia="zh-CN"/>
                    </w:rPr>
                  </w:pPr>
                  <w:r>
                    <w:rPr>
                      <w:rFonts w:hint="eastAsia"/>
                      <w:color w:val="auto"/>
                      <w:highlight w:val="none"/>
                      <w:lang w:eastAsia="zh-CN"/>
                    </w:rPr>
                    <w:t>名称</w:t>
                  </w:r>
                </w:p>
              </w:tc>
              <w:tc>
                <w:tcPr>
                  <w:tcW w:w="983" w:type="pct"/>
                  <w:noWrap w:val="0"/>
                  <w:vAlign w:val="center"/>
                </w:tcPr>
                <w:p w14:paraId="4D72E28A">
                  <w:pPr>
                    <w:pStyle w:val="28"/>
                    <w:bidi w:val="0"/>
                    <w:rPr>
                      <w:rFonts w:hint="default"/>
                      <w:color w:val="auto"/>
                      <w:highlight w:val="none"/>
                      <w:lang w:val="en-US" w:eastAsia="zh-CN"/>
                    </w:rPr>
                  </w:pPr>
                  <w:r>
                    <w:rPr>
                      <w:rFonts w:hint="eastAsia"/>
                      <w:color w:val="auto"/>
                      <w:highlight w:val="none"/>
                      <w:lang w:val="en-US" w:eastAsia="zh-CN"/>
                    </w:rPr>
                    <w:t>厂内设计</w:t>
                  </w:r>
                  <w:r>
                    <w:rPr>
                      <w:rFonts w:hint="eastAsia"/>
                      <w:color w:val="auto"/>
                      <w:highlight w:val="none"/>
                      <w:lang w:eastAsia="zh-CN"/>
                    </w:rPr>
                    <w:t>最大</w:t>
                  </w:r>
                  <w:r>
                    <w:rPr>
                      <w:rFonts w:hint="eastAsia"/>
                      <w:color w:val="auto"/>
                      <w:highlight w:val="none"/>
                      <w:lang w:val="en-US" w:eastAsia="zh-CN"/>
                    </w:rPr>
                    <w:t>存储量q</w:t>
                  </w:r>
                </w:p>
              </w:tc>
              <w:tc>
                <w:tcPr>
                  <w:tcW w:w="1306" w:type="pct"/>
                  <w:noWrap w:val="0"/>
                  <w:vAlign w:val="center"/>
                </w:tcPr>
                <w:p w14:paraId="0ED4C6F9">
                  <w:pPr>
                    <w:pStyle w:val="28"/>
                    <w:bidi w:val="0"/>
                    <w:rPr>
                      <w:rFonts w:hint="default"/>
                      <w:color w:val="auto"/>
                      <w:highlight w:val="none"/>
                      <w:lang w:val="en-US" w:eastAsia="zh-CN"/>
                    </w:rPr>
                  </w:pPr>
                  <w:bookmarkStart w:id="60" w:name="OLE_LINK112"/>
                  <w:r>
                    <w:rPr>
                      <w:rFonts w:hint="eastAsia"/>
                      <w:color w:val="auto"/>
                      <w:highlight w:val="none"/>
                      <w:lang w:val="en-US" w:eastAsia="zh-CN"/>
                    </w:rPr>
                    <w:t>贮存场所</w:t>
                  </w:r>
                  <w:r>
                    <w:rPr>
                      <w:rFonts w:hint="eastAsia"/>
                      <w:color w:val="auto"/>
                      <w:highlight w:val="none"/>
                      <w:lang w:eastAsia="zh-CN"/>
                    </w:rPr>
                    <w:t>临界量</w:t>
                  </w:r>
                  <w:bookmarkEnd w:id="60"/>
                  <w:r>
                    <w:rPr>
                      <w:rFonts w:hint="eastAsia"/>
                      <w:color w:val="auto"/>
                      <w:highlight w:val="none"/>
                      <w:lang w:val="en-US" w:eastAsia="zh-CN"/>
                    </w:rPr>
                    <w:t>Q</w:t>
                  </w:r>
                </w:p>
              </w:tc>
              <w:tc>
                <w:tcPr>
                  <w:tcW w:w="995" w:type="pct"/>
                  <w:noWrap w:val="0"/>
                  <w:vAlign w:val="center"/>
                </w:tcPr>
                <w:p w14:paraId="68366414">
                  <w:pPr>
                    <w:pStyle w:val="28"/>
                    <w:bidi w:val="0"/>
                    <w:rPr>
                      <w:rFonts w:hint="eastAsia"/>
                      <w:color w:val="auto"/>
                      <w:highlight w:val="none"/>
                      <w:lang w:eastAsia="zh-CN"/>
                    </w:rPr>
                  </w:pPr>
                  <w:r>
                    <w:rPr>
                      <w:rFonts w:hint="eastAsia"/>
                      <w:color w:val="auto"/>
                      <w:highlight w:val="none"/>
                      <w:lang w:val="en-US" w:eastAsia="zh-CN"/>
                    </w:rPr>
                    <w:t>q/Q</w:t>
                  </w:r>
                </w:p>
              </w:tc>
            </w:tr>
            <w:tr w14:paraId="4421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38" w:type="pct"/>
                  <w:noWrap w:val="0"/>
                  <w:vAlign w:val="center"/>
                </w:tcPr>
                <w:p w14:paraId="4F13E37D">
                  <w:pPr>
                    <w:pStyle w:val="28"/>
                    <w:bidi w:val="0"/>
                    <w:rPr>
                      <w:rFonts w:hint="eastAsia"/>
                      <w:color w:val="auto"/>
                      <w:highlight w:val="none"/>
                      <w:lang w:eastAsia="zh-CN"/>
                    </w:rPr>
                  </w:pPr>
                  <w:r>
                    <w:rPr>
                      <w:rFonts w:hint="eastAsia"/>
                      <w:color w:val="auto"/>
                      <w:highlight w:val="none"/>
                      <w:lang w:eastAsia="zh-CN"/>
                    </w:rPr>
                    <w:t>1</w:t>
                  </w:r>
                </w:p>
              </w:tc>
              <w:tc>
                <w:tcPr>
                  <w:tcW w:w="1176" w:type="pct"/>
                  <w:noWrap w:val="0"/>
                  <w:vAlign w:val="center"/>
                </w:tcPr>
                <w:p w14:paraId="09809D23">
                  <w:pPr>
                    <w:pStyle w:val="28"/>
                    <w:bidi w:val="0"/>
                    <w:rPr>
                      <w:rFonts w:hint="default"/>
                      <w:color w:val="auto"/>
                      <w:highlight w:val="none"/>
                    </w:rPr>
                  </w:pPr>
                  <w:r>
                    <w:rPr>
                      <w:color w:val="auto"/>
                      <w:highlight w:val="none"/>
                    </w:rPr>
                    <w:t>7</w:t>
                  </w:r>
                  <w:r>
                    <w:rPr>
                      <w:rFonts w:hint="eastAsia"/>
                      <w:color w:val="auto"/>
                      <w:highlight w:val="none"/>
                      <w:lang w:val="en-US" w:eastAsia="zh-CN"/>
                    </w:rPr>
                    <w:t>5%酒精（乙醇）</w:t>
                  </w:r>
                </w:p>
              </w:tc>
              <w:tc>
                <w:tcPr>
                  <w:tcW w:w="983" w:type="pct"/>
                  <w:shd w:val="clear" w:color="auto" w:fill="auto"/>
                  <w:noWrap w:val="0"/>
                  <w:vAlign w:val="center"/>
                </w:tcPr>
                <w:p w14:paraId="49478ECB">
                  <w:pPr>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eastAsia="zh-CN"/>
                    </w:rPr>
                    <w:t>0.</w:t>
                  </w: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125</w:t>
                  </w:r>
                </w:p>
              </w:tc>
              <w:tc>
                <w:tcPr>
                  <w:tcW w:w="1306" w:type="pct"/>
                  <w:noWrap w:val="0"/>
                  <w:vAlign w:val="center"/>
                </w:tcPr>
                <w:p w14:paraId="73998228">
                  <w:pPr>
                    <w:pStyle w:val="28"/>
                    <w:bidi w:val="0"/>
                    <w:rPr>
                      <w:rFonts w:hint="default"/>
                      <w:color w:val="auto"/>
                      <w:highlight w:val="none"/>
                    </w:rPr>
                  </w:pPr>
                  <w:r>
                    <w:rPr>
                      <w:rFonts w:hint="default"/>
                      <w:color w:val="auto"/>
                      <w:highlight w:val="none"/>
                    </w:rPr>
                    <w:t>5</w:t>
                  </w:r>
                  <w:r>
                    <w:rPr>
                      <w:rFonts w:hint="eastAsia"/>
                      <w:color w:val="auto"/>
                      <w:highlight w:val="none"/>
                      <w:lang w:val="en-US" w:eastAsia="zh-CN"/>
                    </w:rPr>
                    <w:t>00</w:t>
                  </w:r>
                  <w:r>
                    <w:rPr>
                      <w:rFonts w:hint="default"/>
                      <w:color w:val="auto"/>
                      <w:highlight w:val="none"/>
                    </w:rPr>
                    <w:t>t</w:t>
                  </w:r>
                </w:p>
              </w:tc>
              <w:tc>
                <w:tcPr>
                  <w:tcW w:w="995" w:type="pct"/>
                  <w:noWrap w:val="0"/>
                  <w:vAlign w:val="center"/>
                </w:tcPr>
                <w:p w14:paraId="61547FB8">
                  <w:pPr>
                    <w:pStyle w:val="28"/>
                    <w:bidi w:val="0"/>
                    <w:rPr>
                      <w:rFonts w:hint="default"/>
                      <w:color w:val="auto"/>
                      <w:highlight w:val="none"/>
                      <w:lang w:val="en-US" w:eastAsia="zh-CN"/>
                    </w:rPr>
                  </w:pPr>
                  <w:r>
                    <w:rPr>
                      <w:rFonts w:hint="eastAsia"/>
                      <w:color w:val="auto"/>
                      <w:highlight w:val="none"/>
                      <w:lang w:val="en-US" w:eastAsia="zh-CN"/>
                    </w:rPr>
                    <w:t>0.000025</w:t>
                  </w:r>
                </w:p>
              </w:tc>
            </w:tr>
            <w:tr w14:paraId="6984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538" w:type="pct"/>
                  <w:noWrap w:val="0"/>
                  <w:vAlign w:val="center"/>
                </w:tcPr>
                <w:p w14:paraId="21052FB5">
                  <w:pPr>
                    <w:pStyle w:val="28"/>
                    <w:bidi w:val="0"/>
                    <w:rPr>
                      <w:rFonts w:hint="default"/>
                      <w:color w:val="auto"/>
                      <w:highlight w:val="none"/>
                      <w:lang w:val="en-US" w:eastAsia="zh-CN"/>
                    </w:rPr>
                  </w:pPr>
                  <w:r>
                    <w:rPr>
                      <w:rFonts w:hint="eastAsia"/>
                      <w:color w:val="auto"/>
                      <w:highlight w:val="none"/>
                      <w:lang w:val="en-US" w:eastAsia="zh-CN"/>
                    </w:rPr>
                    <w:t>2</w:t>
                  </w:r>
                </w:p>
              </w:tc>
              <w:tc>
                <w:tcPr>
                  <w:tcW w:w="1176" w:type="pct"/>
                  <w:noWrap w:val="0"/>
                  <w:vAlign w:val="center"/>
                </w:tcPr>
                <w:p w14:paraId="673BC3F2">
                  <w:pPr>
                    <w:pStyle w:val="28"/>
                    <w:bidi w:val="0"/>
                    <w:rPr>
                      <w:rFonts w:hint="default"/>
                      <w:color w:val="auto"/>
                      <w:highlight w:val="none"/>
                      <w:lang w:val="en-US" w:eastAsia="zh-CN"/>
                    </w:rPr>
                  </w:pPr>
                  <w:r>
                    <w:rPr>
                      <w:rFonts w:hint="default" w:ascii="Times New Roman" w:hAnsi="Times New Roman" w:eastAsia="宋体" w:cs="Times New Roman"/>
                      <w:color w:val="auto"/>
                      <w:highlight w:val="none"/>
                      <w:lang w:val="en-US" w:eastAsia="zh-CN"/>
                    </w:rPr>
                    <w:t>三氯异氰尿酸片</w:t>
                  </w:r>
                  <w:r>
                    <w:rPr>
                      <w:rFonts w:hint="eastAsia" w:cs="Times New Roman"/>
                      <w:color w:val="auto"/>
                      <w:highlight w:val="none"/>
                      <w:lang w:val="en-US" w:eastAsia="zh-CN"/>
                    </w:rPr>
                    <w:t>（二氧化氯）</w:t>
                  </w:r>
                </w:p>
              </w:tc>
              <w:tc>
                <w:tcPr>
                  <w:tcW w:w="983" w:type="pct"/>
                  <w:shd w:val="clear" w:color="auto" w:fill="auto"/>
                  <w:noWrap w:val="0"/>
                  <w:vAlign w:val="center"/>
                </w:tcPr>
                <w:p w14:paraId="35C4651F">
                  <w:pPr>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0.002</w:t>
                  </w:r>
                </w:p>
              </w:tc>
              <w:tc>
                <w:tcPr>
                  <w:tcW w:w="1306" w:type="pct"/>
                  <w:noWrap w:val="0"/>
                  <w:vAlign w:val="center"/>
                </w:tcPr>
                <w:p w14:paraId="1DA2D976">
                  <w:pPr>
                    <w:pStyle w:val="28"/>
                    <w:bidi w:val="0"/>
                    <w:rPr>
                      <w:rFonts w:hint="default"/>
                      <w:color w:val="auto"/>
                      <w:highlight w:val="none"/>
                      <w:lang w:val="en-US" w:eastAsia="zh-CN"/>
                    </w:rPr>
                  </w:pPr>
                  <w:r>
                    <w:rPr>
                      <w:rFonts w:hint="eastAsia"/>
                      <w:color w:val="auto"/>
                      <w:highlight w:val="none"/>
                      <w:lang w:val="en-US" w:eastAsia="zh-CN"/>
                    </w:rPr>
                    <w:t>10</w:t>
                  </w:r>
                  <w:r>
                    <w:rPr>
                      <w:rFonts w:hint="default"/>
                      <w:color w:val="auto"/>
                      <w:highlight w:val="none"/>
                    </w:rPr>
                    <w:t>t</w:t>
                  </w:r>
                </w:p>
              </w:tc>
              <w:tc>
                <w:tcPr>
                  <w:tcW w:w="995" w:type="pct"/>
                  <w:noWrap w:val="0"/>
                  <w:vAlign w:val="center"/>
                </w:tcPr>
                <w:p w14:paraId="4250CB19">
                  <w:pPr>
                    <w:pStyle w:val="28"/>
                    <w:bidi w:val="0"/>
                    <w:rPr>
                      <w:rFonts w:hint="default"/>
                      <w:color w:val="auto"/>
                      <w:highlight w:val="none"/>
                      <w:lang w:val="en-US" w:eastAsia="zh-CN"/>
                    </w:rPr>
                  </w:pPr>
                  <w:r>
                    <w:rPr>
                      <w:rFonts w:hint="eastAsia"/>
                      <w:color w:val="auto"/>
                      <w:highlight w:val="none"/>
                      <w:lang w:val="en-US" w:eastAsia="zh-CN"/>
                    </w:rPr>
                    <w:t>0.0002</w:t>
                  </w:r>
                </w:p>
              </w:tc>
            </w:tr>
            <w:tr w14:paraId="64F3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38" w:type="pct"/>
                  <w:noWrap w:val="0"/>
                  <w:vAlign w:val="center"/>
                </w:tcPr>
                <w:p w14:paraId="196A057F">
                  <w:pPr>
                    <w:pStyle w:val="28"/>
                    <w:bidi w:val="0"/>
                    <w:rPr>
                      <w:rFonts w:hint="default"/>
                      <w:color w:val="auto"/>
                      <w:highlight w:val="none"/>
                      <w:lang w:val="en-US" w:eastAsia="zh-CN"/>
                    </w:rPr>
                  </w:pPr>
                  <w:r>
                    <w:rPr>
                      <w:rFonts w:hint="eastAsia"/>
                      <w:color w:val="auto"/>
                      <w:highlight w:val="none"/>
                      <w:lang w:val="en-US" w:eastAsia="zh-CN"/>
                    </w:rPr>
                    <w:t>3</w:t>
                  </w:r>
                </w:p>
              </w:tc>
              <w:tc>
                <w:tcPr>
                  <w:tcW w:w="1176" w:type="pct"/>
                  <w:noWrap w:val="0"/>
                  <w:vAlign w:val="center"/>
                </w:tcPr>
                <w:p w14:paraId="2E70C601">
                  <w:pPr>
                    <w:pStyle w:val="28"/>
                    <w:bidi w:val="0"/>
                    <w:rPr>
                      <w:rFonts w:hint="default"/>
                      <w:color w:val="auto"/>
                      <w:highlight w:val="none"/>
                      <w:lang w:val="en-US" w:eastAsia="zh-CN"/>
                    </w:rPr>
                  </w:pPr>
                  <w:r>
                    <w:rPr>
                      <w:rFonts w:hint="eastAsia"/>
                      <w:color w:val="auto"/>
                      <w:highlight w:val="none"/>
                      <w:lang w:val="en-US" w:eastAsia="zh-CN"/>
                    </w:rPr>
                    <w:t>废紫外线灯管</w:t>
                  </w:r>
                </w:p>
              </w:tc>
              <w:tc>
                <w:tcPr>
                  <w:tcW w:w="983" w:type="pct"/>
                  <w:shd w:val="clear" w:color="auto" w:fill="auto"/>
                  <w:noWrap w:val="0"/>
                  <w:vAlign w:val="center"/>
                </w:tcPr>
                <w:p w14:paraId="038C73C1">
                  <w:pPr>
                    <w:pStyle w:val="28"/>
                    <w:bidi w:val="0"/>
                    <w:rPr>
                      <w:rFonts w:hint="default" w:ascii="Times New Roman" w:hAnsi="Times New Roman" w:eastAsia="宋体" w:cs="Times New Roman"/>
                      <w:bCs/>
                      <w:snapToGrid w:val="0"/>
                      <w:color w:val="auto"/>
                      <w:spacing w:val="8"/>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w:t>
                  </w:r>
                  <w:r>
                    <w:rPr>
                      <w:rFonts w:hint="eastAsia" w:cs="Times New Roman"/>
                      <w:color w:val="auto"/>
                      <w:sz w:val="21"/>
                      <w:szCs w:val="21"/>
                      <w:highlight w:val="none"/>
                      <w:lang w:val="en-US" w:eastAsia="zh-CN"/>
                    </w:rPr>
                    <w:t>2</w:t>
                  </w:r>
                </w:p>
              </w:tc>
              <w:tc>
                <w:tcPr>
                  <w:tcW w:w="1306" w:type="pct"/>
                  <w:noWrap w:val="0"/>
                  <w:vAlign w:val="center"/>
                </w:tcPr>
                <w:p w14:paraId="275E4136">
                  <w:pPr>
                    <w:pStyle w:val="28"/>
                    <w:bidi w:val="0"/>
                    <w:rPr>
                      <w:rFonts w:hint="default"/>
                      <w:color w:val="auto"/>
                      <w:highlight w:val="none"/>
                      <w:lang w:val="en-US" w:eastAsia="zh-CN"/>
                    </w:rPr>
                  </w:pPr>
                  <w:r>
                    <w:rPr>
                      <w:rFonts w:hint="eastAsia"/>
                      <w:color w:val="auto"/>
                      <w:highlight w:val="none"/>
                      <w:lang w:val="en-US" w:eastAsia="zh-CN"/>
                    </w:rPr>
                    <w:t>/</w:t>
                  </w:r>
                </w:p>
              </w:tc>
              <w:tc>
                <w:tcPr>
                  <w:tcW w:w="995" w:type="pct"/>
                  <w:noWrap w:val="0"/>
                  <w:vAlign w:val="center"/>
                </w:tcPr>
                <w:p w14:paraId="0C6886A3">
                  <w:pPr>
                    <w:pStyle w:val="28"/>
                    <w:bidi w:val="0"/>
                    <w:rPr>
                      <w:rFonts w:hint="eastAsia"/>
                      <w:color w:val="auto"/>
                      <w:highlight w:val="none"/>
                      <w:lang w:val="en-US" w:eastAsia="zh-CN"/>
                    </w:rPr>
                  </w:pPr>
                  <w:r>
                    <w:rPr>
                      <w:rFonts w:hint="eastAsia"/>
                      <w:color w:val="auto"/>
                      <w:highlight w:val="none"/>
                      <w:lang w:val="en-US" w:eastAsia="zh-CN"/>
                    </w:rPr>
                    <w:t>/</w:t>
                  </w:r>
                </w:p>
              </w:tc>
            </w:tr>
            <w:tr w14:paraId="5F7D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38" w:type="pct"/>
                  <w:noWrap w:val="0"/>
                  <w:vAlign w:val="center"/>
                </w:tcPr>
                <w:p w14:paraId="2A1A049B">
                  <w:pPr>
                    <w:pStyle w:val="28"/>
                    <w:bidi w:val="0"/>
                    <w:rPr>
                      <w:rFonts w:hint="default"/>
                      <w:color w:val="auto"/>
                      <w:highlight w:val="none"/>
                      <w:lang w:val="en-US" w:eastAsia="zh-CN"/>
                    </w:rPr>
                  </w:pPr>
                  <w:r>
                    <w:rPr>
                      <w:rFonts w:hint="eastAsia"/>
                      <w:color w:val="auto"/>
                      <w:highlight w:val="none"/>
                      <w:lang w:val="en-US" w:eastAsia="zh-CN"/>
                    </w:rPr>
                    <w:t>4</w:t>
                  </w:r>
                </w:p>
              </w:tc>
              <w:tc>
                <w:tcPr>
                  <w:tcW w:w="1176" w:type="pct"/>
                  <w:noWrap w:val="0"/>
                  <w:vAlign w:val="center"/>
                </w:tcPr>
                <w:p w14:paraId="0F1A5E3C">
                  <w:pPr>
                    <w:pStyle w:val="28"/>
                    <w:bidi w:val="0"/>
                    <w:rPr>
                      <w:rFonts w:hint="default"/>
                      <w:color w:val="auto"/>
                      <w:highlight w:val="none"/>
                      <w:lang w:val="en-US" w:eastAsia="zh-CN"/>
                    </w:rPr>
                  </w:pPr>
                  <w:r>
                    <w:rPr>
                      <w:rFonts w:hint="eastAsia"/>
                      <w:color w:val="auto"/>
                      <w:highlight w:val="none"/>
                      <w:lang w:val="en-US" w:eastAsia="zh-CN"/>
                    </w:rPr>
                    <w:t>废渣</w:t>
                  </w:r>
                </w:p>
              </w:tc>
              <w:tc>
                <w:tcPr>
                  <w:tcW w:w="983" w:type="pct"/>
                  <w:shd w:val="clear" w:color="auto" w:fill="auto"/>
                  <w:noWrap w:val="0"/>
                  <w:vAlign w:val="center"/>
                </w:tcPr>
                <w:p w14:paraId="3A0FEB53">
                  <w:pPr>
                    <w:pStyle w:val="28"/>
                    <w:bidi w:val="0"/>
                    <w:rPr>
                      <w:rFonts w:hint="default" w:ascii="Times New Roman" w:hAnsi="Times New Roman" w:eastAsia="宋体" w:cs="Times New Roman"/>
                      <w:bCs/>
                      <w:snapToGrid w:val="0"/>
                      <w:color w:val="auto"/>
                      <w:spacing w:val="8"/>
                      <w:kern w:val="0"/>
                      <w:sz w:val="21"/>
                      <w:szCs w:val="21"/>
                      <w:highlight w:val="none"/>
                      <w:lang w:val="en-US" w:eastAsia="zh-CN"/>
                    </w:rPr>
                  </w:pPr>
                  <w:r>
                    <w:rPr>
                      <w:rFonts w:hint="eastAsia"/>
                      <w:color w:val="auto"/>
                      <w:lang w:val="en-US" w:eastAsia="zh-CN"/>
                    </w:rPr>
                    <w:t>0.0039</w:t>
                  </w:r>
                </w:p>
              </w:tc>
              <w:tc>
                <w:tcPr>
                  <w:tcW w:w="1306" w:type="pct"/>
                  <w:noWrap w:val="0"/>
                  <w:vAlign w:val="center"/>
                </w:tcPr>
                <w:p w14:paraId="479F47EA">
                  <w:pPr>
                    <w:pStyle w:val="28"/>
                    <w:bidi w:val="0"/>
                    <w:rPr>
                      <w:rFonts w:hint="default"/>
                      <w:color w:val="auto"/>
                      <w:highlight w:val="none"/>
                      <w:lang w:val="en-US" w:eastAsia="zh-CN"/>
                    </w:rPr>
                  </w:pPr>
                  <w:r>
                    <w:rPr>
                      <w:rFonts w:hint="eastAsia"/>
                      <w:color w:val="auto"/>
                      <w:highlight w:val="none"/>
                      <w:lang w:val="en-US" w:eastAsia="zh-CN"/>
                    </w:rPr>
                    <w:t>/</w:t>
                  </w:r>
                </w:p>
              </w:tc>
              <w:tc>
                <w:tcPr>
                  <w:tcW w:w="995" w:type="pct"/>
                  <w:noWrap w:val="0"/>
                  <w:vAlign w:val="center"/>
                </w:tcPr>
                <w:p w14:paraId="312C104D">
                  <w:pPr>
                    <w:pStyle w:val="28"/>
                    <w:bidi w:val="0"/>
                    <w:rPr>
                      <w:rFonts w:hint="default"/>
                      <w:color w:val="auto"/>
                      <w:highlight w:val="none"/>
                      <w:lang w:val="en-US" w:eastAsia="zh-CN"/>
                    </w:rPr>
                  </w:pPr>
                  <w:r>
                    <w:rPr>
                      <w:rFonts w:hint="eastAsia"/>
                      <w:color w:val="auto"/>
                      <w:highlight w:val="none"/>
                      <w:lang w:val="en-US" w:eastAsia="zh-CN"/>
                    </w:rPr>
                    <w:t>/</w:t>
                  </w:r>
                </w:p>
              </w:tc>
            </w:tr>
            <w:tr w14:paraId="6537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38" w:type="pct"/>
                  <w:noWrap w:val="0"/>
                  <w:vAlign w:val="center"/>
                </w:tcPr>
                <w:p w14:paraId="3DBFA09F">
                  <w:pPr>
                    <w:pStyle w:val="28"/>
                    <w:bidi w:val="0"/>
                    <w:rPr>
                      <w:rFonts w:hint="default"/>
                      <w:color w:val="auto"/>
                      <w:highlight w:val="none"/>
                      <w:lang w:val="en-US" w:eastAsia="zh-CN"/>
                    </w:rPr>
                  </w:pPr>
                  <w:r>
                    <w:rPr>
                      <w:rFonts w:hint="eastAsia"/>
                      <w:color w:val="auto"/>
                      <w:highlight w:val="none"/>
                      <w:lang w:val="en-US" w:eastAsia="zh-CN"/>
                    </w:rPr>
                    <w:t>5</w:t>
                  </w:r>
                </w:p>
              </w:tc>
              <w:tc>
                <w:tcPr>
                  <w:tcW w:w="1176" w:type="pct"/>
                  <w:noWrap w:val="0"/>
                  <w:vAlign w:val="center"/>
                </w:tcPr>
                <w:p w14:paraId="5D81A8BC">
                  <w:pPr>
                    <w:pStyle w:val="28"/>
                    <w:bidi w:val="0"/>
                    <w:rPr>
                      <w:rFonts w:hint="default"/>
                      <w:color w:val="auto"/>
                      <w:highlight w:val="none"/>
                      <w:lang w:val="en-US" w:eastAsia="zh-CN"/>
                    </w:rPr>
                  </w:pPr>
                  <w:r>
                    <w:rPr>
                      <w:rFonts w:hint="eastAsia"/>
                      <w:color w:val="auto"/>
                      <w:highlight w:val="none"/>
                      <w:lang w:val="en-US" w:eastAsia="zh-CN"/>
                    </w:rPr>
                    <w:t>医疗废物</w:t>
                  </w:r>
                </w:p>
              </w:tc>
              <w:tc>
                <w:tcPr>
                  <w:tcW w:w="983" w:type="pct"/>
                  <w:shd w:val="clear" w:color="auto" w:fill="auto"/>
                  <w:noWrap w:val="0"/>
                  <w:vAlign w:val="center"/>
                </w:tcPr>
                <w:p w14:paraId="6264E6A6">
                  <w:pPr>
                    <w:pStyle w:val="28"/>
                    <w:bidi w:val="0"/>
                    <w:rPr>
                      <w:rFonts w:hint="default" w:ascii="Times New Roman" w:hAnsi="Times New Roman" w:eastAsia="宋体" w:cs="Times New Roman"/>
                      <w:bCs/>
                      <w:snapToGrid w:val="0"/>
                      <w:color w:val="auto"/>
                      <w:spacing w:val="8"/>
                      <w:kern w:val="0"/>
                      <w:sz w:val="21"/>
                      <w:szCs w:val="21"/>
                      <w:highlight w:val="none"/>
                      <w:lang w:val="en-US" w:eastAsia="zh-CN"/>
                    </w:rPr>
                  </w:pPr>
                  <w:r>
                    <w:rPr>
                      <w:rFonts w:hint="default"/>
                      <w:color w:val="auto"/>
                      <w:lang w:val="en-US" w:eastAsia="zh-CN"/>
                    </w:rPr>
                    <w:t>0.1</w:t>
                  </w:r>
                  <w:r>
                    <w:rPr>
                      <w:rFonts w:hint="eastAsia"/>
                      <w:color w:val="auto"/>
                      <w:lang w:val="en-US" w:eastAsia="zh-CN"/>
                    </w:rPr>
                    <w:t>579</w:t>
                  </w:r>
                </w:p>
              </w:tc>
              <w:tc>
                <w:tcPr>
                  <w:tcW w:w="1306" w:type="pct"/>
                  <w:noWrap w:val="0"/>
                  <w:vAlign w:val="center"/>
                </w:tcPr>
                <w:p w14:paraId="06B0E5C1">
                  <w:pPr>
                    <w:pStyle w:val="28"/>
                    <w:bidi w:val="0"/>
                    <w:rPr>
                      <w:rFonts w:hint="default"/>
                      <w:color w:val="auto"/>
                      <w:highlight w:val="none"/>
                      <w:lang w:val="en-US" w:eastAsia="zh-CN"/>
                    </w:rPr>
                  </w:pPr>
                  <w:r>
                    <w:rPr>
                      <w:rFonts w:hint="eastAsia"/>
                      <w:color w:val="auto"/>
                      <w:highlight w:val="none"/>
                      <w:lang w:val="en-US" w:eastAsia="zh-CN"/>
                    </w:rPr>
                    <w:t>/</w:t>
                  </w:r>
                </w:p>
              </w:tc>
              <w:tc>
                <w:tcPr>
                  <w:tcW w:w="995" w:type="pct"/>
                  <w:noWrap w:val="0"/>
                  <w:vAlign w:val="center"/>
                </w:tcPr>
                <w:p w14:paraId="3BF720AC">
                  <w:pPr>
                    <w:pStyle w:val="28"/>
                    <w:bidi w:val="0"/>
                    <w:rPr>
                      <w:rFonts w:hint="default"/>
                      <w:color w:val="auto"/>
                      <w:highlight w:val="none"/>
                      <w:lang w:val="en-US" w:eastAsia="zh-CN"/>
                    </w:rPr>
                  </w:pPr>
                  <w:r>
                    <w:rPr>
                      <w:rFonts w:hint="eastAsia"/>
                      <w:color w:val="auto"/>
                      <w:highlight w:val="none"/>
                      <w:lang w:val="en-US" w:eastAsia="zh-CN"/>
                    </w:rPr>
                    <w:t>/</w:t>
                  </w:r>
                </w:p>
              </w:tc>
            </w:tr>
            <w:tr w14:paraId="6C25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714" w:type="pct"/>
                  <w:gridSpan w:val="2"/>
                  <w:noWrap w:val="0"/>
                  <w:vAlign w:val="center"/>
                </w:tcPr>
                <w:p w14:paraId="694BC062">
                  <w:pPr>
                    <w:pStyle w:val="28"/>
                    <w:bidi w:val="0"/>
                    <w:rPr>
                      <w:rFonts w:hint="default"/>
                      <w:color w:val="auto"/>
                      <w:highlight w:val="none"/>
                      <w:lang w:val="en-US" w:eastAsia="zh-CN"/>
                    </w:rPr>
                  </w:pPr>
                  <w:r>
                    <w:rPr>
                      <w:rFonts w:hint="eastAsia"/>
                      <w:color w:val="auto"/>
                      <w:highlight w:val="none"/>
                      <w:lang w:val="en-US" w:eastAsia="zh-CN"/>
                    </w:rPr>
                    <w:t>合计</w:t>
                  </w:r>
                </w:p>
              </w:tc>
              <w:tc>
                <w:tcPr>
                  <w:tcW w:w="983" w:type="pct"/>
                  <w:noWrap w:val="0"/>
                  <w:vAlign w:val="center"/>
                </w:tcPr>
                <w:p w14:paraId="3C20C8A9">
                  <w:pPr>
                    <w:pStyle w:val="28"/>
                    <w:bidi w:val="0"/>
                    <w:rPr>
                      <w:rFonts w:hint="default"/>
                      <w:color w:val="auto"/>
                      <w:highlight w:val="none"/>
                      <w:lang w:val="en-US" w:eastAsia="zh-CN"/>
                    </w:rPr>
                  </w:pPr>
                  <w:r>
                    <w:rPr>
                      <w:rFonts w:hint="eastAsia"/>
                      <w:color w:val="auto"/>
                      <w:highlight w:val="none"/>
                      <w:lang w:val="en-US" w:eastAsia="zh-CN"/>
                    </w:rPr>
                    <w:t>/</w:t>
                  </w:r>
                </w:p>
              </w:tc>
              <w:tc>
                <w:tcPr>
                  <w:tcW w:w="1306" w:type="pct"/>
                  <w:noWrap w:val="0"/>
                  <w:vAlign w:val="center"/>
                </w:tcPr>
                <w:p w14:paraId="76DD5FDD">
                  <w:pPr>
                    <w:pStyle w:val="28"/>
                    <w:bidi w:val="0"/>
                    <w:rPr>
                      <w:rFonts w:hint="default"/>
                      <w:color w:val="auto"/>
                      <w:highlight w:val="none"/>
                      <w:lang w:val="en-US" w:eastAsia="zh-CN"/>
                    </w:rPr>
                  </w:pPr>
                  <w:r>
                    <w:rPr>
                      <w:rFonts w:hint="eastAsia"/>
                      <w:color w:val="auto"/>
                      <w:highlight w:val="none"/>
                      <w:lang w:val="en-US" w:eastAsia="zh-CN"/>
                    </w:rPr>
                    <w:t>/</w:t>
                  </w:r>
                </w:p>
              </w:tc>
              <w:tc>
                <w:tcPr>
                  <w:tcW w:w="995" w:type="pct"/>
                  <w:noWrap w:val="0"/>
                  <w:vAlign w:val="center"/>
                </w:tcPr>
                <w:p w14:paraId="3AE6AA46">
                  <w:pPr>
                    <w:pStyle w:val="28"/>
                    <w:bidi w:val="0"/>
                    <w:rPr>
                      <w:rFonts w:hint="default"/>
                      <w:color w:val="auto"/>
                      <w:highlight w:val="none"/>
                      <w:lang w:val="en-US" w:eastAsia="zh-CN"/>
                    </w:rPr>
                  </w:pPr>
                  <w:r>
                    <w:rPr>
                      <w:rFonts w:hint="eastAsia"/>
                      <w:color w:val="auto"/>
                      <w:highlight w:val="none"/>
                      <w:lang w:val="en-US" w:eastAsia="zh-CN"/>
                    </w:rPr>
                    <w:t>0.000225</w:t>
                  </w:r>
                </w:p>
              </w:tc>
            </w:tr>
          </w:tbl>
          <w:p w14:paraId="13BB96C0">
            <w:pPr>
              <w:tabs>
                <w:tab w:val="left" w:pos="2760"/>
              </w:tabs>
              <w:snapToGrid w:val="0"/>
              <w:spacing w:line="460" w:lineRule="exact"/>
              <w:ind w:firstLine="480"/>
              <w:jc w:val="both"/>
              <w:rPr>
                <w:rFonts w:hint="default"/>
                <w:b w:val="0"/>
                <w:color w:val="auto"/>
                <w:sz w:val="24"/>
                <w:szCs w:val="24"/>
                <w:highlight w:val="none"/>
                <w:lang w:val="en-US" w:eastAsia="zh-CN"/>
              </w:rPr>
            </w:pPr>
            <w:r>
              <w:rPr>
                <w:rFonts w:hint="eastAsia"/>
                <w:b w:val="0"/>
                <w:color w:val="auto"/>
                <w:sz w:val="24"/>
                <w:szCs w:val="24"/>
                <w:highlight w:val="none"/>
                <w:lang w:val="en-US" w:eastAsia="zh-CN"/>
              </w:rPr>
              <w:t>以上可知，本项目Q值为0.000225&lt;1，故可不开展专项分析</w:t>
            </w:r>
          </w:p>
          <w:p w14:paraId="42951615">
            <w:pPr>
              <w:tabs>
                <w:tab w:val="left" w:pos="2760"/>
              </w:tabs>
              <w:snapToGrid w:val="0"/>
              <w:spacing w:line="460" w:lineRule="exact"/>
              <w:ind w:firstLine="480"/>
              <w:jc w:val="both"/>
              <w:rPr>
                <w:rFonts w:hint="eastAsia" w:ascii="Times New Roman"/>
                <w:b w:val="0"/>
                <w:color w:val="auto"/>
                <w:sz w:val="24"/>
                <w:szCs w:val="24"/>
                <w:lang w:val="en-US" w:eastAsia="zh-CN"/>
              </w:rPr>
            </w:pPr>
            <w:r>
              <w:rPr>
                <w:rFonts w:hint="eastAsia"/>
                <w:b w:val="0"/>
                <w:color w:val="auto"/>
                <w:sz w:val="24"/>
                <w:szCs w:val="24"/>
                <w:lang w:val="en-US" w:eastAsia="zh-CN"/>
              </w:rPr>
              <w:t>（2）</w:t>
            </w:r>
            <w:r>
              <w:rPr>
                <w:rFonts w:hint="eastAsia" w:ascii="Times New Roman"/>
                <w:b w:val="0"/>
                <w:color w:val="auto"/>
                <w:sz w:val="24"/>
                <w:szCs w:val="24"/>
                <w:lang w:val="en-US" w:eastAsia="zh-CN"/>
              </w:rPr>
              <w:t>评价等级确定</w:t>
            </w:r>
          </w:p>
          <w:p w14:paraId="4F547B7A">
            <w:pPr>
              <w:tabs>
                <w:tab w:val="left" w:pos="2760"/>
              </w:tabs>
              <w:snapToGrid w:val="0"/>
              <w:spacing w:line="460" w:lineRule="exact"/>
              <w:ind w:firstLine="480"/>
              <w:jc w:val="both"/>
              <w:rPr>
                <w:rFonts w:hint="eastAsia" w:ascii="Times New Roman"/>
                <w:b w:val="0"/>
                <w:color w:val="auto"/>
                <w:sz w:val="24"/>
                <w:szCs w:val="24"/>
                <w:lang w:val="en-US" w:eastAsia="zh-CN"/>
              </w:rPr>
            </w:pPr>
            <w:r>
              <w:rPr>
                <w:rFonts w:ascii="Times New Roman"/>
                <w:b w:val="0"/>
                <w:color w:val="auto"/>
                <w:sz w:val="24"/>
                <w:szCs w:val="24"/>
                <w:lang w:val="en-US" w:eastAsia="zh-CN"/>
              </w:rPr>
              <w:t>根据《建设项目环境风险评价技术导则》（HJ169-2018）</w:t>
            </w:r>
            <w:r>
              <w:rPr>
                <w:rFonts w:hAnsi="宋体"/>
                <w:b w:val="0"/>
                <w:color w:val="auto"/>
                <w:sz w:val="24"/>
                <w:szCs w:val="24"/>
                <w:lang w:val="en-US" w:eastAsia="zh-CN"/>
              </w:rPr>
              <w:t>“</w:t>
            </w:r>
            <w:r>
              <w:rPr>
                <w:rFonts w:ascii="Times New Roman"/>
                <w:b w:val="0"/>
                <w:color w:val="auto"/>
                <w:sz w:val="24"/>
                <w:szCs w:val="24"/>
                <w:lang w:val="en-US" w:eastAsia="zh-CN"/>
              </w:rPr>
              <w:t>风险潜势为I，可开展简单分析。</w:t>
            </w:r>
            <w:r>
              <w:rPr>
                <w:rFonts w:hAnsi="宋体"/>
                <w:b w:val="0"/>
                <w:color w:val="auto"/>
                <w:sz w:val="24"/>
                <w:szCs w:val="24"/>
                <w:lang w:val="en-US" w:eastAsia="zh-CN"/>
              </w:rPr>
              <w:t>”</w:t>
            </w:r>
            <w:r>
              <w:rPr>
                <w:rFonts w:ascii="Times New Roman"/>
                <w:b w:val="0"/>
                <w:color w:val="auto"/>
                <w:sz w:val="24"/>
                <w:szCs w:val="24"/>
                <w:lang w:val="en-US" w:eastAsia="zh-CN"/>
              </w:rPr>
              <w:t>本项目风险潜势为I，因此项目风险评价等级为开展简单分析。</w:t>
            </w:r>
          </w:p>
          <w:p w14:paraId="5ADAB911">
            <w:pPr>
              <w:pStyle w:val="4"/>
              <w:bidi w:val="0"/>
              <w:rPr>
                <w:rFonts w:hint="default"/>
                <w:color w:val="auto"/>
                <w:lang w:val="en-US" w:eastAsia="zh-CN"/>
              </w:rPr>
            </w:pPr>
            <w:r>
              <w:rPr>
                <w:rFonts w:hint="eastAsia"/>
                <w:color w:val="auto"/>
                <w:lang w:val="en-US" w:eastAsia="zh-CN"/>
              </w:rPr>
              <w:t>4.10.3环境</w:t>
            </w:r>
            <w:r>
              <w:rPr>
                <w:rFonts w:hint="eastAsia"/>
                <w:color w:val="auto"/>
                <w:lang w:eastAsia="zh-CN"/>
              </w:rPr>
              <w:t>风险</w:t>
            </w:r>
            <w:r>
              <w:rPr>
                <w:rFonts w:hint="eastAsia"/>
                <w:color w:val="auto"/>
                <w:lang w:val="en-US" w:eastAsia="zh-CN"/>
              </w:rPr>
              <w:t>识别</w:t>
            </w:r>
          </w:p>
          <w:p w14:paraId="2B4C0169">
            <w:pPr>
              <w:pStyle w:val="29"/>
              <w:bidi w:val="0"/>
              <w:rPr>
                <w:color w:val="auto"/>
                <w:lang w:val="en-US" w:eastAsia="zh-CN"/>
              </w:rPr>
            </w:pPr>
            <w:r>
              <w:rPr>
                <w:color w:val="auto"/>
                <w:lang w:val="en-US" w:eastAsia="zh-CN"/>
              </w:rPr>
              <w:t>①污水处理设施出现故障时，泄漏的医疗废水对外环境地下水、土壤的污染。</w:t>
            </w:r>
          </w:p>
          <w:p w14:paraId="08B6CCFB">
            <w:pPr>
              <w:pStyle w:val="29"/>
              <w:bidi w:val="0"/>
              <w:rPr>
                <w:color w:val="auto"/>
                <w:lang w:val="en-US" w:eastAsia="zh-CN"/>
              </w:rPr>
            </w:pPr>
            <w:r>
              <w:rPr>
                <w:color w:val="auto"/>
                <w:lang w:val="en-US" w:eastAsia="zh-CN"/>
              </w:rPr>
              <w:t>②医院涉及的动物可能发生的狂犬病等对周边人群的风险影响。</w:t>
            </w:r>
          </w:p>
          <w:p w14:paraId="6FB00860">
            <w:pPr>
              <w:pStyle w:val="29"/>
              <w:bidi w:val="0"/>
              <w:rPr>
                <w:color w:val="auto"/>
                <w:lang w:val="en-US" w:eastAsia="zh-CN"/>
              </w:rPr>
            </w:pPr>
            <w:r>
              <w:rPr>
                <w:color w:val="auto"/>
                <w:lang w:val="en-US" w:eastAsia="zh-CN"/>
              </w:rPr>
              <w:t>③各类医用化学品存储、使用过程中的环境风险。</w:t>
            </w:r>
          </w:p>
          <w:p w14:paraId="570D424B">
            <w:pPr>
              <w:pStyle w:val="29"/>
              <w:bidi w:val="0"/>
              <w:rPr>
                <w:color w:val="auto"/>
                <w:lang w:val="en-US" w:eastAsia="zh-CN"/>
              </w:rPr>
            </w:pPr>
            <w:r>
              <w:rPr>
                <w:color w:val="auto"/>
                <w:lang w:val="en-US" w:eastAsia="zh-CN"/>
              </w:rPr>
              <w:t>④医疗废物泄漏风险。</w:t>
            </w:r>
          </w:p>
          <w:p w14:paraId="14F703D3">
            <w:pPr>
              <w:pStyle w:val="4"/>
              <w:bidi w:val="0"/>
              <w:rPr>
                <w:rFonts w:hint="eastAsia"/>
                <w:color w:val="auto"/>
                <w:lang w:eastAsia="zh-CN"/>
              </w:rPr>
            </w:pPr>
            <w:r>
              <w:rPr>
                <w:rFonts w:hint="eastAsia"/>
                <w:color w:val="auto"/>
                <w:lang w:val="en-US" w:eastAsia="zh-CN"/>
              </w:rPr>
              <w:t>4.10.4</w:t>
            </w:r>
            <w:r>
              <w:rPr>
                <w:color w:val="auto"/>
                <w:lang w:eastAsia="zh-CN"/>
              </w:rPr>
              <w:t>环境风险防范措施</w:t>
            </w:r>
          </w:p>
          <w:p w14:paraId="17EFA05F">
            <w:pPr>
              <w:pStyle w:val="29"/>
              <w:bidi w:val="0"/>
              <w:rPr>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color w:val="auto"/>
              </w:rPr>
              <w:t>污水处理设施的风险防范措施</w:t>
            </w:r>
          </w:p>
          <w:p w14:paraId="461B553D">
            <w:pPr>
              <w:pStyle w:val="29"/>
              <w:bidi w:val="0"/>
              <w:rPr>
                <w:rFonts w:hint="eastAsia" w:eastAsia="宋体"/>
                <w:color w:val="auto"/>
                <w:lang w:eastAsia="zh-CN"/>
              </w:rPr>
            </w:pPr>
            <w:r>
              <w:rPr>
                <w:rFonts w:hint="eastAsia"/>
                <w:color w:val="auto"/>
                <w:lang w:val="en-US" w:eastAsia="zh-CN"/>
              </w:rPr>
              <w:t>①</w:t>
            </w:r>
            <w:r>
              <w:rPr>
                <w:color w:val="auto"/>
              </w:rPr>
              <w:t>建设单位必须防止污水事故性外排。安排专人定期对一体化医疗废水处理设施进行维修，确保其正常运行，严防污水事故性排放。一旦一体化医疗废水处理设施出现故障时，立即通知科室停止用水，减少废水产生量，同时切断一体化污水处理设备的出口阀门，未处理废水由空桶（容积为</w:t>
            </w:r>
            <w:r>
              <w:rPr>
                <w:rFonts w:hint="default"/>
                <w:color w:val="auto"/>
              </w:rPr>
              <w:t>0.</w:t>
            </w:r>
            <w:r>
              <w:rPr>
                <w:rFonts w:hint="eastAsia"/>
                <w:color w:val="auto"/>
                <w:lang w:val="en-US" w:eastAsia="zh-CN"/>
              </w:rPr>
              <w:t>2m</w:t>
            </w:r>
            <w:r>
              <w:rPr>
                <w:rFonts w:hint="eastAsia"/>
                <w:color w:val="auto"/>
                <w:vertAlign w:val="superscript"/>
                <w:lang w:val="en-US" w:eastAsia="zh-CN"/>
              </w:rPr>
              <w:t>3</w:t>
            </w:r>
            <w:r>
              <w:rPr>
                <w:color w:val="auto"/>
              </w:rPr>
              <w:t>）收集后待设备恢复正常运行再由一体化医疗废水处理设施进行处理，防止医疗废水未经消毒处理直接排入市政污水管网。</w:t>
            </w:r>
          </w:p>
          <w:p w14:paraId="425CA7C7">
            <w:pPr>
              <w:pStyle w:val="29"/>
              <w:bidi w:val="0"/>
              <w:rPr>
                <w:rFonts w:hint="eastAsia" w:eastAsia="宋体"/>
                <w:color w:val="auto"/>
                <w:lang w:eastAsia="zh-CN"/>
              </w:rPr>
            </w:pPr>
            <w:r>
              <w:rPr>
                <w:rFonts w:hint="eastAsia"/>
                <w:color w:val="auto"/>
                <w:lang w:val="en-US" w:eastAsia="zh-CN"/>
              </w:rPr>
              <w:t>②</w:t>
            </w:r>
            <w:r>
              <w:rPr>
                <w:color w:val="auto"/>
              </w:rPr>
              <w:t>要求加强项目污水处理设施的日常管理工作，定期检查污水处理设施内的药剂。</w:t>
            </w:r>
          </w:p>
          <w:p w14:paraId="40C88C9D">
            <w:pPr>
              <w:pStyle w:val="29"/>
              <w:bidi w:val="0"/>
              <w:rPr>
                <w:rFonts w:hint="eastAsia" w:eastAsia="宋体"/>
                <w:color w:val="auto"/>
                <w:lang w:eastAsia="zh-CN"/>
              </w:rPr>
            </w:pPr>
            <w:r>
              <w:rPr>
                <w:rFonts w:hint="eastAsia"/>
                <w:color w:val="auto"/>
                <w:lang w:eastAsia="zh-CN"/>
              </w:rPr>
              <w:t>（</w:t>
            </w:r>
            <w:r>
              <w:rPr>
                <w:rFonts w:hint="eastAsia"/>
                <w:color w:val="auto"/>
                <w:lang w:val="en-US" w:eastAsia="zh-CN"/>
              </w:rPr>
              <w:t>2</w:t>
            </w:r>
            <w:r>
              <w:rPr>
                <w:rFonts w:hint="eastAsia"/>
                <w:color w:val="auto"/>
                <w:lang w:eastAsia="zh-CN"/>
              </w:rPr>
              <w:t>）</w:t>
            </w:r>
            <w:r>
              <w:rPr>
                <w:color w:val="auto"/>
              </w:rPr>
              <w:t>传染病、疫情等卫生风险防范措施</w:t>
            </w:r>
          </w:p>
          <w:p w14:paraId="189D1C89">
            <w:pPr>
              <w:pStyle w:val="29"/>
              <w:bidi w:val="0"/>
              <w:rPr>
                <w:color w:val="auto"/>
              </w:rPr>
            </w:pPr>
            <w:r>
              <w:rPr>
                <w:color w:val="auto"/>
              </w:rPr>
              <w:t>做好医院内部消毒、杀虫、灭鼠工作；对于患病宠物和可疑患病宠物应加强管理。</w:t>
            </w:r>
            <w:r>
              <w:rPr>
                <w:rFonts w:hint="default" w:ascii="Times New Roman" w:hAnsi="Times New Roman" w:cs="Times New Roman"/>
                <w:color w:val="auto"/>
              </w:rPr>
              <w:t>院内要进行房舍隔离，严密消毒（用具、饲料、粪便等）</w:t>
            </w:r>
            <w:r>
              <w:rPr>
                <w:rFonts w:hint="eastAsia" w:cs="Times New Roman"/>
                <w:color w:val="auto"/>
                <w:lang w:eastAsia="zh-CN"/>
              </w:rPr>
              <w:t>。</w:t>
            </w:r>
            <w:r>
              <w:rPr>
                <w:color w:val="auto"/>
              </w:rPr>
              <w:t>严格遵守《</w:t>
            </w:r>
            <w:r>
              <w:rPr>
                <w:rFonts w:hint="eastAsia"/>
                <w:color w:val="auto"/>
                <w:lang w:eastAsia="zh-CN"/>
              </w:rPr>
              <w:t>中华人民共和国动物防疫法》《</w:t>
            </w:r>
            <w:r>
              <w:rPr>
                <w:color w:val="auto"/>
              </w:rPr>
              <w:t>重大动物疫情应急条例</w:t>
            </w:r>
            <w:r>
              <w:rPr>
                <w:rFonts w:hint="eastAsia"/>
                <w:color w:val="auto"/>
                <w:lang w:eastAsia="zh-CN"/>
              </w:rPr>
              <w:t>》《</w:t>
            </w:r>
            <w:r>
              <w:rPr>
                <w:color w:val="auto"/>
              </w:rPr>
              <w:t>动物疫情报告管理办法》等法律法规，一旦发现宠物传染病或疑似宠物疫情的，及时按规定程序上报，不得接收患传染病或疫情的宠物。注意房间通风换气，每晚进行紫外线灯照射消毒。同时采取应急措施控制疫情蔓延。</w:t>
            </w:r>
          </w:p>
          <w:p w14:paraId="30309576">
            <w:pPr>
              <w:pStyle w:val="29"/>
              <w:bidi w:val="0"/>
              <w:rPr>
                <w:rFonts w:hint="eastAsia" w:eastAsia="宋体"/>
                <w:color w:val="auto"/>
                <w:lang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color w:val="auto"/>
              </w:rPr>
              <w:t>医疗废物处置风险防范措施</w:t>
            </w:r>
          </w:p>
          <w:p w14:paraId="01BA485B">
            <w:pPr>
              <w:pStyle w:val="29"/>
              <w:bidi w:val="0"/>
              <w:rPr>
                <w:rFonts w:hint="eastAsia" w:eastAsia="宋体"/>
                <w:color w:val="auto"/>
                <w:lang w:eastAsia="zh-CN"/>
              </w:rPr>
            </w:pPr>
            <w:r>
              <w:rPr>
                <w:rFonts w:hint="eastAsia"/>
                <w:color w:val="auto"/>
                <w:lang w:val="en-US" w:eastAsia="zh-CN"/>
              </w:rPr>
              <w:t>危险废物贮存间</w:t>
            </w:r>
            <w:r>
              <w:rPr>
                <w:color w:val="auto"/>
              </w:rPr>
              <w:t>日常为锁闭状态，由专人进行管理，避免非工作人员进出，以及防鼠、防蚊蝇、防蟑螂、防盗以及预防儿童接触等安全措施；</w:t>
            </w:r>
            <w:r>
              <w:rPr>
                <w:rFonts w:hint="eastAsia"/>
                <w:color w:val="auto"/>
                <w:lang w:val="en-US" w:eastAsia="zh-CN"/>
              </w:rPr>
              <w:t>危险废物贮存间</w:t>
            </w:r>
            <w:r>
              <w:rPr>
                <w:color w:val="auto"/>
              </w:rPr>
              <w:t>地面与裙脚要用坚固、防渗的材料建造，建筑材料必须与危险废物相容；必须有耐腐蚀的硬化地面，且表面无裂隙；不相容的危险废物必须分开存放，并设有隔离间隔断。</w:t>
            </w:r>
            <w:r>
              <w:rPr>
                <w:rFonts w:hint="eastAsia"/>
                <w:color w:val="auto"/>
                <w:lang w:val="en-US" w:eastAsia="zh-CN"/>
              </w:rPr>
              <w:t>危险废物贮存间</w:t>
            </w:r>
            <w:r>
              <w:rPr>
                <w:color w:val="auto"/>
              </w:rPr>
              <w:t>门口应张贴医疗废物标识、标牌，医疗废物暂存于专用的容器内，在医废桶下方，设置防渗托盘。对医疗废物</w:t>
            </w:r>
            <w:r>
              <w:rPr>
                <w:rFonts w:hint="eastAsia"/>
                <w:color w:val="auto"/>
                <w:lang w:val="en-US" w:eastAsia="zh-CN"/>
              </w:rPr>
              <w:t>及其他危险废物</w:t>
            </w:r>
            <w:r>
              <w:rPr>
                <w:color w:val="auto"/>
              </w:rPr>
              <w:t>的产生、储存做好台账管理，定期委托有资质的</w:t>
            </w:r>
            <w:r>
              <w:rPr>
                <w:rFonts w:hint="eastAsia"/>
                <w:color w:val="auto"/>
                <w:lang w:val="en-US" w:eastAsia="zh-CN"/>
              </w:rPr>
              <w:t>危险</w:t>
            </w:r>
            <w:r>
              <w:rPr>
                <w:color w:val="auto"/>
              </w:rPr>
              <w:t>废物集中处置单位。</w:t>
            </w:r>
          </w:p>
          <w:p w14:paraId="6E4DA3CE">
            <w:pPr>
              <w:pStyle w:val="29"/>
              <w:bidi w:val="0"/>
              <w:rPr>
                <w:color w:val="auto"/>
              </w:rPr>
            </w:pPr>
            <w:r>
              <w:rPr>
                <w:color w:val="auto"/>
              </w:rPr>
              <w:t>医疗废物转运过程中由于盛装容器破损、车辆密封不严或者由于交通事故造成的渗漏和遗洒，可能造成传染性病菌的传播和蔓延。出现这些情况，应立即向卫生、公安等有关部门报告，封锁现场，并采取严密的清理和消毒措施。此外，应加强对转运过程中的操作人员和司乘人员加强防护知识和安全教育，配备必要的防护工具，如防护服和消毒剂等。加强和完善危险废物的收集、暂存、交接等环节的管理，对危险废物的处理应设专人责任负责制，负责人在接管前应全面学习有关危险废物处理的有关法规和操作方法。做好危险废物有关资料的记录。</w:t>
            </w:r>
          </w:p>
          <w:p w14:paraId="2FB8D6B3">
            <w:pPr>
              <w:pStyle w:val="29"/>
              <w:bidi w:val="0"/>
              <w:rPr>
                <w:rFonts w:hint="eastAsia" w:eastAsia="宋体"/>
                <w:color w:val="auto"/>
                <w:lang w:eastAsia="zh-CN"/>
              </w:rPr>
            </w:pPr>
            <w:r>
              <w:rPr>
                <w:rFonts w:hint="eastAsia"/>
                <w:color w:val="auto"/>
                <w:lang w:eastAsia="zh-CN"/>
              </w:rPr>
              <w:t>（</w:t>
            </w:r>
            <w:r>
              <w:rPr>
                <w:rFonts w:hint="eastAsia"/>
                <w:color w:val="auto"/>
                <w:lang w:val="en-US" w:eastAsia="zh-CN"/>
              </w:rPr>
              <w:t>4</w:t>
            </w:r>
            <w:r>
              <w:rPr>
                <w:rFonts w:hint="eastAsia"/>
                <w:color w:val="auto"/>
                <w:lang w:eastAsia="zh-CN"/>
              </w:rPr>
              <w:t>）</w:t>
            </w:r>
            <w:r>
              <w:rPr>
                <w:color w:val="auto"/>
              </w:rPr>
              <w:t>化学品管理</w:t>
            </w:r>
          </w:p>
          <w:p w14:paraId="248CF520">
            <w:pPr>
              <w:pStyle w:val="29"/>
              <w:bidi w:val="0"/>
              <w:rPr>
                <w:rFonts w:hint="eastAsia" w:eastAsia="宋体"/>
                <w:color w:val="auto"/>
                <w:lang w:eastAsia="zh-CN"/>
              </w:rPr>
            </w:pPr>
            <w:r>
              <w:rPr>
                <w:color w:val="auto"/>
              </w:rPr>
              <w:t>对于化学品的购买、储存、保管、使用等需要按照《危险化学品安全管理条例》的规定管理，化学品出入库，必须进行核查登记，并定期监测库存。做好化学品的存储及使用的安全防范措施，具体如下：</w:t>
            </w:r>
            <w:r>
              <w:rPr>
                <w:rFonts w:hint="eastAsia"/>
                <w:color w:val="auto"/>
                <w:lang w:val="en-US" w:eastAsia="zh-CN"/>
              </w:rPr>
              <w:t>①</w:t>
            </w:r>
            <w:r>
              <w:rPr>
                <w:color w:val="auto"/>
              </w:rPr>
              <w:t>化学品必须储存在专用储存柜内，其储存方式、方法与储存量必须符合国家标准，并由专人管理。</w:t>
            </w:r>
            <w:r>
              <w:rPr>
                <w:rFonts w:hint="eastAsia"/>
                <w:color w:val="auto"/>
                <w:lang w:val="en-US" w:eastAsia="zh-CN"/>
              </w:rPr>
              <w:t>②</w:t>
            </w:r>
            <w:r>
              <w:rPr>
                <w:color w:val="auto"/>
              </w:rPr>
              <w:t>化学品设有专用存储柜，应当符合国家标准对安全、消防的要求，设置明显标志。</w:t>
            </w:r>
          </w:p>
          <w:p w14:paraId="71DFB7D7">
            <w:pPr>
              <w:pStyle w:val="29"/>
              <w:bidi w:val="0"/>
              <w:rPr>
                <w:rFonts w:hint="eastAsia" w:eastAsia="宋体"/>
                <w:color w:val="auto"/>
                <w:lang w:eastAsia="zh-CN"/>
              </w:rPr>
            </w:pPr>
            <w:r>
              <w:rPr>
                <w:rFonts w:hint="eastAsia"/>
                <w:color w:val="auto"/>
                <w:lang w:eastAsia="zh-CN"/>
              </w:rPr>
              <w:t>（</w:t>
            </w:r>
            <w:r>
              <w:rPr>
                <w:rFonts w:hint="eastAsia"/>
                <w:color w:val="auto"/>
                <w:lang w:val="en-US" w:eastAsia="zh-CN"/>
              </w:rPr>
              <w:t>5</w:t>
            </w:r>
            <w:r>
              <w:rPr>
                <w:rFonts w:hint="eastAsia"/>
                <w:color w:val="auto"/>
                <w:lang w:eastAsia="zh-CN"/>
              </w:rPr>
              <w:t>）</w:t>
            </w:r>
            <w:r>
              <w:rPr>
                <w:color w:val="auto"/>
              </w:rPr>
              <w:t>火灾风险防范措施</w:t>
            </w:r>
          </w:p>
          <w:p w14:paraId="69462136">
            <w:pPr>
              <w:pStyle w:val="29"/>
              <w:bidi w:val="0"/>
              <w:rPr>
                <w:rFonts w:hint="eastAsia" w:eastAsia="宋体"/>
                <w:color w:val="auto"/>
                <w:lang w:eastAsia="zh-CN"/>
              </w:rPr>
            </w:pPr>
            <w:r>
              <w:rPr>
                <w:rFonts w:hint="eastAsia"/>
                <w:color w:val="auto"/>
                <w:lang w:val="en-US" w:eastAsia="zh-CN"/>
              </w:rPr>
              <w:t>①</w:t>
            </w:r>
            <w:r>
              <w:rPr>
                <w:color w:val="auto"/>
              </w:rPr>
              <w:t>集中现有的灭火器材和人员积极扑救尽量消灭火势或控制火势。</w:t>
            </w:r>
          </w:p>
          <w:p w14:paraId="6F4D2EC1">
            <w:pPr>
              <w:pStyle w:val="29"/>
              <w:bidi w:val="0"/>
              <w:rPr>
                <w:rFonts w:hint="eastAsia" w:eastAsia="宋体"/>
                <w:color w:val="auto"/>
                <w:lang w:eastAsia="zh-CN"/>
              </w:rPr>
            </w:pPr>
            <w:r>
              <w:rPr>
                <w:rFonts w:hint="eastAsia"/>
                <w:color w:val="auto"/>
                <w:lang w:val="en-US" w:eastAsia="zh-CN"/>
              </w:rPr>
              <w:t>②</w:t>
            </w:r>
            <w:r>
              <w:rPr>
                <w:color w:val="auto"/>
              </w:rPr>
              <w:t>在保证人员安全撤离的情况下，尽量撤出易燃易爆物。</w:t>
            </w:r>
          </w:p>
          <w:p w14:paraId="162EBF81">
            <w:pPr>
              <w:pStyle w:val="29"/>
              <w:bidi w:val="0"/>
              <w:rPr>
                <w:rFonts w:hint="eastAsia"/>
                <w:color w:val="auto"/>
                <w:lang w:eastAsia="zh-CN"/>
              </w:rPr>
            </w:pPr>
            <w:r>
              <w:rPr>
                <w:rFonts w:hint="eastAsia"/>
                <w:color w:val="auto"/>
                <w:lang w:val="en-US" w:eastAsia="zh-CN"/>
              </w:rPr>
              <w:t>③</w:t>
            </w:r>
            <w:r>
              <w:rPr>
                <w:color w:val="auto"/>
              </w:rPr>
              <w:t>火灾后需及时通风，在烟雾能够</w:t>
            </w:r>
            <w:r>
              <w:rPr>
                <w:rFonts w:hint="eastAsia"/>
                <w:color w:val="auto"/>
                <w:lang w:eastAsia="zh-CN"/>
              </w:rPr>
              <w:t>弥散</w:t>
            </w:r>
            <w:r>
              <w:rPr>
                <w:color w:val="auto"/>
              </w:rPr>
              <w:t>的区域进行有害气体及异味的彻底分解处理。</w:t>
            </w:r>
          </w:p>
          <w:p w14:paraId="63323DDE">
            <w:pPr>
              <w:pStyle w:val="4"/>
              <w:bidi w:val="0"/>
              <w:rPr>
                <w:rFonts w:hint="eastAsia"/>
                <w:color w:val="auto"/>
                <w:lang w:eastAsia="zh-CN"/>
              </w:rPr>
            </w:pPr>
            <w:r>
              <w:rPr>
                <w:rFonts w:hint="eastAsia"/>
                <w:color w:val="auto"/>
                <w:lang w:val="en-US" w:eastAsia="zh-CN"/>
              </w:rPr>
              <w:t>4.10.5</w:t>
            </w:r>
            <w:r>
              <w:rPr>
                <w:color w:val="auto"/>
                <w:lang w:eastAsia="zh-CN"/>
              </w:rPr>
              <w:t>环境风险评价结论</w:t>
            </w:r>
          </w:p>
          <w:p w14:paraId="4F00217C">
            <w:pPr>
              <w:pStyle w:val="29"/>
              <w:bidi w:val="0"/>
              <w:rPr>
                <w:rFonts w:hint="eastAsia"/>
                <w:color w:val="auto"/>
                <w:lang w:eastAsia="zh-CN"/>
              </w:rPr>
            </w:pPr>
            <w:r>
              <w:rPr>
                <w:rFonts w:hint="eastAsia"/>
                <w:color w:val="auto"/>
                <w:lang w:val="en-US" w:eastAsia="zh-CN"/>
              </w:rPr>
              <w:t>本项目</w:t>
            </w:r>
            <w:r>
              <w:rPr>
                <w:color w:val="auto"/>
                <w:lang w:eastAsia="zh-CN"/>
              </w:rPr>
              <w:t>在采取并严格落实建设相应风险防范措施的前提下，项目风险事故发生的概率较小，风险水平控制在可接受程度内。</w:t>
            </w:r>
          </w:p>
          <w:p w14:paraId="5A244B9B">
            <w:pPr>
              <w:pStyle w:val="3"/>
              <w:bidi w:val="0"/>
              <w:rPr>
                <w:color w:val="auto"/>
                <w:lang w:eastAsia="zh-CN"/>
              </w:rPr>
            </w:pPr>
            <w:r>
              <w:rPr>
                <w:rFonts w:hint="eastAsia"/>
                <w:color w:val="auto"/>
                <w:lang w:val="en-US" w:eastAsia="zh-CN"/>
              </w:rPr>
              <w:t>4.11</w:t>
            </w:r>
            <w:r>
              <w:rPr>
                <w:color w:val="auto"/>
                <w:lang w:eastAsia="zh-CN"/>
              </w:rPr>
              <w:t>、环境保护投资</w:t>
            </w:r>
          </w:p>
          <w:p w14:paraId="48C00045">
            <w:pPr>
              <w:pStyle w:val="29"/>
              <w:bidi w:val="0"/>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本项目总投资</w:t>
            </w:r>
            <w:r>
              <w:rPr>
                <w:rFonts w:hint="eastAsia"/>
                <w:color w:val="000000" w:themeColor="text1"/>
                <w:lang w:val="en-US" w:eastAsia="zh-CN"/>
                <w14:textFill>
                  <w14:solidFill>
                    <w14:schemeClr w14:val="tx1"/>
                  </w14:solidFill>
                </w14:textFill>
              </w:rPr>
              <w:t>15</w:t>
            </w:r>
            <w:r>
              <w:rPr>
                <w:color w:val="000000" w:themeColor="text1"/>
                <w:lang w:eastAsia="zh-CN"/>
                <w14:textFill>
                  <w14:solidFill>
                    <w14:schemeClr w14:val="tx1"/>
                  </w14:solidFill>
                </w14:textFill>
              </w:rPr>
              <w:t>万元，其中用于环境保护方面的投资约</w:t>
            </w:r>
            <w:r>
              <w:rPr>
                <w:rFonts w:hint="eastAsia"/>
                <w:color w:val="000000" w:themeColor="text1"/>
                <w:lang w:val="en-US" w:eastAsia="zh-CN"/>
                <w14:textFill>
                  <w14:solidFill>
                    <w14:schemeClr w14:val="tx1"/>
                  </w14:solidFill>
                </w14:textFill>
              </w:rPr>
              <w:t>3</w:t>
            </w:r>
            <w:r>
              <w:rPr>
                <w:color w:val="000000" w:themeColor="text1"/>
                <w:lang w:eastAsia="zh-CN"/>
                <w14:textFill>
                  <w14:solidFill>
                    <w14:schemeClr w14:val="tx1"/>
                  </w14:solidFill>
                </w14:textFill>
              </w:rPr>
              <w:t>万元，占项目总投资额的</w:t>
            </w:r>
            <w:r>
              <w:rPr>
                <w:rFonts w:hint="eastAsia"/>
                <w:color w:val="000000" w:themeColor="text1"/>
                <w:lang w:val="en-US" w:eastAsia="zh-CN"/>
                <w14:textFill>
                  <w14:solidFill>
                    <w14:schemeClr w14:val="tx1"/>
                  </w14:solidFill>
                </w14:textFill>
              </w:rPr>
              <w:t>20</w:t>
            </w:r>
            <w:r>
              <w:rPr>
                <w:color w:val="000000" w:themeColor="text1"/>
                <w:lang w:eastAsia="zh-CN"/>
                <w14:textFill>
                  <w14:solidFill>
                    <w14:schemeClr w14:val="tx1"/>
                  </w14:solidFill>
                </w14:textFill>
              </w:rPr>
              <w:t>%，主要环保设施及投资见表4-</w:t>
            </w:r>
            <w:r>
              <w:rPr>
                <w:rFonts w:hint="eastAsia"/>
                <w:color w:val="000000" w:themeColor="text1"/>
                <w:lang w:val="en-US" w:eastAsia="zh-CN"/>
                <w14:textFill>
                  <w14:solidFill>
                    <w14:schemeClr w14:val="tx1"/>
                  </w14:solidFill>
                </w14:textFill>
              </w:rPr>
              <w:t>17</w:t>
            </w:r>
            <w:r>
              <w:rPr>
                <w:color w:val="000000" w:themeColor="text1"/>
                <w:lang w:eastAsia="zh-CN"/>
                <w14:textFill>
                  <w14:solidFill>
                    <w14:schemeClr w14:val="tx1"/>
                  </w14:solidFill>
                </w14:textFill>
              </w:rPr>
              <w:t>。</w:t>
            </w:r>
          </w:p>
          <w:p w14:paraId="1CE2BCC7">
            <w:pPr>
              <w:pStyle w:val="22"/>
              <w:bidi w:val="0"/>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表4-</w:t>
            </w:r>
            <w:r>
              <w:rPr>
                <w:rFonts w:hint="eastAsia"/>
                <w:color w:val="000000" w:themeColor="text1"/>
                <w:lang w:val="en-US" w:eastAsia="zh-CN"/>
                <w14:textFill>
                  <w14:solidFill>
                    <w14:schemeClr w14:val="tx1"/>
                  </w14:solidFill>
                </w14:textFill>
              </w:rPr>
              <w:t>17</w:t>
            </w:r>
            <w:r>
              <w:rPr>
                <w:color w:val="000000" w:themeColor="text1"/>
                <w:lang w:eastAsia="zh-CN"/>
                <w14:textFill>
                  <w14:solidFill>
                    <w14:schemeClr w14:val="tx1"/>
                  </w14:solidFill>
                </w14:textFill>
              </w:rPr>
              <w:t xml:space="preserve">    环保设施投资</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
              <w:gridCol w:w="1150"/>
              <w:gridCol w:w="1533"/>
              <w:gridCol w:w="3850"/>
              <w:gridCol w:w="1213"/>
            </w:tblGrid>
            <w:tr w14:paraId="5170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8" w:type="pct"/>
                  <w:noWrap w:val="0"/>
                  <w:vAlign w:val="center"/>
                </w:tcPr>
                <w:p w14:paraId="04AC6D62">
                  <w:pPr>
                    <w:pStyle w:val="28"/>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序号</w:t>
                  </w:r>
                </w:p>
              </w:tc>
              <w:tc>
                <w:tcPr>
                  <w:tcW w:w="706" w:type="pct"/>
                  <w:noWrap w:val="0"/>
                  <w:vAlign w:val="center"/>
                </w:tcPr>
                <w:p w14:paraId="50D30878">
                  <w:pPr>
                    <w:pStyle w:val="28"/>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类别</w:t>
                  </w:r>
                </w:p>
              </w:tc>
              <w:tc>
                <w:tcPr>
                  <w:tcW w:w="3308" w:type="pct"/>
                  <w:gridSpan w:val="2"/>
                  <w:noWrap w:val="0"/>
                  <w:vAlign w:val="center"/>
                </w:tcPr>
                <w:p w14:paraId="235C283D">
                  <w:pPr>
                    <w:pStyle w:val="28"/>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环保措施</w:t>
                  </w:r>
                </w:p>
              </w:tc>
              <w:tc>
                <w:tcPr>
                  <w:tcW w:w="745" w:type="pct"/>
                  <w:noWrap w:val="0"/>
                  <w:vAlign w:val="center"/>
                </w:tcPr>
                <w:p w14:paraId="5E0062EE">
                  <w:pPr>
                    <w:pStyle w:val="28"/>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环保投资（万元）</w:t>
                  </w:r>
                </w:p>
              </w:tc>
            </w:tr>
            <w:tr w14:paraId="2C63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38" w:type="pct"/>
                  <w:noWrap w:val="0"/>
                  <w:vAlign w:val="center"/>
                </w:tcPr>
                <w:p w14:paraId="78F70739">
                  <w:pPr>
                    <w:pStyle w:val="28"/>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1</w:t>
                  </w:r>
                </w:p>
              </w:tc>
              <w:tc>
                <w:tcPr>
                  <w:tcW w:w="706" w:type="pct"/>
                  <w:noWrap w:val="0"/>
                  <w:vAlign w:val="center"/>
                </w:tcPr>
                <w:p w14:paraId="5377D906">
                  <w:pPr>
                    <w:pStyle w:val="28"/>
                    <w:bidi w:val="0"/>
                    <w:rPr>
                      <w:rFonts w:hint="default"/>
                      <w:color w:val="000000" w:themeColor="text1"/>
                      <w14:textFill>
                        <w14:solidFill>
                          <w14:schemeClr w14:val="tx1"/>
                        </w14:solidFill>
                      </w14:textFill>
                    </w:rPr>
                  </w:pPr>
                </w:p>
              </w:tc>
              <w:tc>
                <w:tcPr>
                  <w:tcW w:w="3308" w:type="pct"/>
                  <w:gridSpan w:val="2"/>
                  <w:noWrap w:val="0"/>
                  <w:vAlign w:val="center"/>
                </w:tcPr>
                <w:p w14:paraId="65A14902">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紫外灯消毒</w:t>
                  </w:r>
                </w:p>
              </w:tc>
              <w:tc>
                <w:tcPr>
                  <w:tcW w:w="745" w:type="pct"/>
                  <w:noWrap w:val="0"/>
                  <w:vAlign w:val="center"/>
                </w:tcPr>
                <w:p w14:paraId="14C642C7">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0.4</w:t>
                  </w:r>
                </w:p>
              </w:tc>
            </w:tr>
            <w:tr w14:paraId="093A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38" w:type="pct"/>
                  <w:noWrap w:val="0"/>
                  <w:vAlign w:val="center"/>
                </w:tcPr>
                <w:p w14:paraId="5AB7E47B">
                  <w:pPr>
                    <w:pStyle w:val="28"/>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2</w:t>
                  </w:r>
                </w:p>
              </w:tc>
              <w:tc>
                <w:tcPr>
                  <w:tcW w:w="706" w:type="pct"/>
                  <w:noWrap w:val="0"/>
                  <w:vAlign w:val="center"/>
                </w:tcPr>
                <w:p w14:paraId="5D4BABD6">
                  <w:pPr>
                    <w:pStyle w:val="28"/>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废水</w:t>
                  </w:r>
                </w:p>
              </w:tc>
              <w:tc>
                <w:tcPr>
                  <w:tcW w:w="3308" w:type="pct"/>
                  <w:gridSpan w:val="2"/>
                  <w:noWrap w:val="0"/>
                  <w:vAlign w:val="center"/>
                </w:tcPr>
                <w:p w14:paraId="367D00F3">
                  <w:pPr>
                    <w:pStyle w:val="28"/>
                    <w:bidi w:val="0"/>
                    <w:rPr>
                      <w:rFonts w:hint="default"/>
                      <w:color w:val="000000" w:themeColor="text1"/>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一体化污水处理设施</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套</w:t>
                  </w:r>
                  <w:r>
                    <w:rPr>
                      <w:rFonts w:hint="eastAsia"/>
                      <w:color w:val="000000" w:themeColor="text1"/>
                      <w:highlight w:val="none"/>
                      <w:lang w:val="en-US" w:eastAsia="zh-CN"/>
                      <w14:textFill>
                        <w14:solidFill>
                          <w14:schemeClr w14:val="tx1"/>
                        </w14:solidFill>
                      </w14:textFill>
                    </w:rPr>
                    <w:t>：1套</w:t>
                  </w:r>
                  <w:r>
                    <w:rPr>
                      <w:rFonts w:hint="default"/>
                      <w:color w:val="000000" w:themeColor="text1"/>
                      <w:highlight w:val="none"/>
                      <w:lang w:val="en-US" w:eastAsia="zh-CN"/>
                      <w14:textFill>
                        <w14:solidFill>
                          <w14:schemeClr w14:val="tx1"/>
                        </w14:solidFill>
                      </w14:textFill>
                    </w:rPr>
                    <w:t>处理能力</w:t>
                  </w:r>
                  <w:r>
                    <w:rPr>
                      <w:rFonts w:hint="eastAsia"/>
                      <w:color w:val="000000" w:themeColor="text1"/>
                      <w:highlight w:val="none"/>
                      <w:lang w:val="en-US" w:eastAsia="zh-CN"/>
                      <w14:textFill>
                        <w14:solidFill>
                          <w14:schemeClr w14:val="tx1"/>
                        </w14:solidFill>
                      </w14:textFill>
                    </w:rPr>
                    <w:t>为0.2m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/d</w:t>
                  </w:r>
                </w:p>
              </w:tc>
              <w:tc>
                <w:tcPr>
                  <w:tcW w:w="745" w:type="pct"/>
                  <w:noWrap w:val="0"/>
                  <w:vAlign w:val="center"/>
                </w:tcPr>
                <w:p w14:paraId="73B6514A">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0.8</w:t>
                  </w:r>
                </w:p>
              </w:tc>
            </w:tr>
            <w:tr w14:paraId="7DC2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38" w:type="pct"/>
                  <w:noWrap w:val="0"/>
                  <w:vAlign w:val="center"/>
                </w:tcPr>
                <w:p w14:paraId="160ED893">
                  <w:pPr>
                    <w:pStyle w:val="28"/>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p>
              </w:tc>
              <w:tc>
                <w:tcPr>
                  <w:tcW w:w="706" w:type="pct"/>
                  <w:noWrap w:val="0"/>
                  <w:vAlign w:val="center"/>
                </w:tcPr>
                <w:p w14:paraId="446BA8BB">
                  <w:pPr>
                    <w:pStyle w:val="28"/>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噪声</w:t>
                  </w:r>
                </w:p>
              </w:tc>
              <w:tc>
                <w:tcPr>
                  <w:tcW w:w="3308" w:type="pct"/>
                  <w:gridSpan w:val="2"/>
                  <w:noWrap w:val="0"/>
                  <w:vAlign w:val="center"/>
                </w:tcPr>
                <w:p w14:paraId="28253CD2">
                  <w:pPr>
                    <w:pStyle w:val="28"/>
                    <w:bidi w:val="0"/>
                    <w:rPr>
                      <w:rFonts w:hint="default"/>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噪声设备安装基础减振设施，室内隔声等</w:t>
                  </w:r>
                </w:p>
              </w:tc>
              <w:tc>
                <w:tcPr>
                  <w:tcW w:w="745" w:type="pct"/>
                  <w:noWrap w:val="0"/>
                  <w:vAlign w:val="center"/>
                </w:tcPr>
                <w:p w14:paraId="25CD1F59">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0.3</w:t>
                  </w:r>
                </w:p>
              </w:tc>
            </w:tr>
            <w:tr w14:paraId="4D62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38" w:type="pct"/>
                  <w:noWrap w:val="0"/>
                  <w:vAlign w:val="center"/>
                </w:tcPr>
                <w:p w14:paraId="15B37DF6">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706" w:type="pct"/>
                  <w:noWrap w:val="0"/>
                  <w:vAlign w:val="center"/>
                </w:tcPr>
                <w:p w14:paraId="100DA383">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环境风险</w:t>
                  </w:r>
                </w:p>
              </w:tc>
              <w:tc>
                <w:tcPr>
                  <w:tcW w:w="3308" w:type="pct"/>
                  <w:gridSpan w:val="2"/>
                  <w:noWrap w:val="0"/>
                  <w:vAlign w:val="center"/>
                </w:tcPr>
                <w:p w14:paraId="3E2047C9">
                  <w:pPr>
                    <w:pStyle w:val="28"/>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200L塑料桶；做好医院内部消毒、杀虫、灭鼠工作</w:t>
                  </w:r>
                </w:p>
              </w:tc>
              <w:tc>
                <w:tcPr>
                  <w:tcW w:w="745" w:type="pct"/>
                  <w:noWrap w:val="0"/>
                  <w:vAlign w:val="center"/>
                </w:tcPr>
                <w:p w14:paraId="212C582E">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0.1</w:t>
                  </w:r>
                </w:p>
              </w:tc>
            </w:tr>
            <w:tr w14:paraId="421A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38" w:type="pct"/>
                  <w:vMerge w:val="restart"/>
                  <w:noWrap w:val="0"/>
                  <w:vAlign w:val="center"/>
                </w:tcPr>
                <w:p w14:paraId="74BBFA93">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706" w:type="pct"/>
                  <w:vMerge w:val="restart"/>
                  <w:noWrap w:val="0"/>
                  <w:vAlign w:val="center"/>
                </w:tcPr>
                <w:p w14:paraId="661A22C9">
                  <w:pPr>
                    <w:pStyle w:val="28"/>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固废</w:t>
                  </w:r>
                </w:p>
              </w:tc>
              <w:tc>
                <w:tcPr>
                  <w:tcW w:w="942" w:type="pct"/>
                  <w:noWrap w:val="0"/>
                  <w:vAlign w:val="center"/>
                </w:tcPr>
                <w:p w14:paraId="1D23D1E0">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一般固废</w:t>
                  </w:r>
                </w:p>
              </w:tc>
              <w:tc>
                <w:tcPr>
                  <w:tcW w:w="2366" w:type="pct"/>
                  <w:noWrap w:val="0"/>
                  <w:vAlign w:val="center"/>
                </w:tcPr>
                <w:p w14:paraId="1FB8615E">
                  <w:pPr>
                    <w:pStyle w:val="28"/>
                    <w:bidi w:val="0"/>
                    <w:rPr>
                      <w:rFonts w:hint="default"/>
                      <w:color w:val="000000" w:themeColor="text1"/>
                      <w:lang w:val="en-US"/>
                      <w14:textFill>
                        <w14:solidFill>
                          <w14:schemeClr w14:val="tx1"/>
                        </w14:solidFill>
                      </w14:textFill>
                    </w:rPr>
                  </w:pPr>
                  <w:r>
                    <w:rPr>
                      <w:color w:val="000000" w:themeColor="text1"/>
                      <w14:textFill>
                        <w14:solidFill>
                          <w14:schemeClr w14:val="tx1"/>
                        </w14:solidFill>
                      </w14:textFill>
                    </w:rPr>
                    <w:t>设置垃圾收集箱，</w:t>
                  </w:r>
                  <w:r>
                    <w:rPr>
                      <w:rFonts w:hint="default"/>
                      <w:color w:val="000000" w:themeColor="text1"/>
                      <w:lang w:val="en-US" w:eastAsia="zh-CN"/>
                      <w14:textFill>
                        <w14:solidFill>
                          <w14:schemeClr w14:val="tx1"/>
                        </w14:solidFill>
                      </w14:textFill>
                    </w:rPr>
                    <w:t>废包装物</w:t>
                  </w:r>
                  <w:r>
                    <w:rPr>
                      <w:rFonts w:hint="eastAsia"/>
                      <w:color w:val="000000" w:themeColor="text1"/>
                      <w:lang w:val="en-US" w:eastAsia="zh-CN"/>
                      <w14:textFill>
                        <w14:solidFill>
                          <w14:schemeClr w14:val="tx1"/>
                        </w14:solidFill>
                      </w14:textFill>
                    </w:rPr>
                    <w:t>及输液瓶（袋）临时贮存点</w:t>
                  </w:r>
                </w:p>
              </w:tc>
              <w:tc>
                <w:tcPr>
                  <w:tcW w:w="745" w:type="pct"/>
                  <w:noWrap w:val="0"/>
                  <w:vAlign w:val="center"/>
                </w:tcPr>
                <w:p w14:paraId="2C6C2D1D">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w:t>
                  </w:r>
                </w:p>
              </w:tc>
            </w:tr>
            <w:tr w14:paraId="0FE4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38" w:type="pct"/>
                  <w:vMerge w:val="continue"/>
                  <w:noWrap w:val="0"/>
                  <w:vAlign w:val="center"/>
                </w:tcPr>
                <w:p w14:paraId="0C8DC01A">
                  <w:pPr>
                    <w:pStyle w:val="28"/>
                    <w:bidi w:val="0"/>
                    <w:rPr>
                      <w:rFonts w:hint="default"/>
                      <w:color w:val="000000" w:themeColor="text1"/>
                      <w14:textFill>
                        <w14:solidFill>
                          <w14:schemeClr w14:val="tx1"/>
                        </w14:solidFill>
                      </w14:textFill>
                    </w:rPr>
                  </w:pPr>
                </w:p>
              </w:tc>
              <w:tc>
                <w:tcPr>
                  <w:tcW w:w="706" w:type="pct"/>
                  <w:vMerge w:val="continue"/>
                  <w:noWrap w:val="0"/>
                  <w:vAlign w:val="center"/>
                </w:tcPr>
                <w:p w14:paraId="3684BA01">
                  <w:pPr>
                    <w:pStyle w:val="28"/>
                    <w:bidi w:val="0"/>
                    <w:rPr>
                      <w:rFonts w:hint="default"/>
                      <w:color w:val="000000" w:themeColor="text1"/>
                      <w14:textFill>
                        <w14:solidFill>
                          <w14:schemeClr w14:val="tx1"/>
                        </w14:solidFill>
                      </w14:textFill>
                    </w:rPr>
                  </w:pPr>
                </w:p>
              </w:tc>
              <w:tc>
                <w:tcPr>
                  <w:tcW w:w="942" w:type="pct"/>
                  <w:noWrap w:val="0"/>
                  <w:vAlign w:val="center"/>
                </w:tcPr>
                <w:p w14:paraId="1BA5E5FC">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医疗废物及其他危废</w:t>
                  </w:r>
                </w:p>
              </w:tc>
              <w:tc>
                <w:tcPr>
                  <w:tcW w:w="2366" w:type="pct"/>
                  <w:noWrap w:val="0"/>
                  <w:vAlign w:val="center"/>
                </w:tcPr>
                <w:p w14:paraId="6728B9D0">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设置危险废物贮存间及相关标识牌等</w:t>
                  </w:r>
                </w:p>
              </w:tc>
              <w:tc>
                <w:tcPr>
                  <w:tcW w:w="745" w:type="pct"/>
                  <w:noWrap w:val="0"/>
                  <w:vAlign w:val="center"/>
                </w:tcPr>
                <w:p w14:paraId="067D0CD1">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0.5</w:t>
                  </w:r>
                </w:p>
              </w:tc>
            </w:tr>
            <w:tr w14:paraId="04CA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38" w:type="pct"/>
                  <w:noWrap w:val="0"/>
                  <w:vAlign w:val="center"/>
                </w:tcPr>
                <w:p w14:paraId="1488F191">
                  <w:pPr>
                    <w:pStyle w:val="28"/>
                    <w:bidi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706" w:type="pct"/>
                  <w:noWrap w:val="0"/>
                  <w:vAlign w:val="center"/>
                </w:tcPr>
                <w:p w14:paraId="0FABC6EE">
                  <w:pPr>
                    <w:pStyle w:val="28"/>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环境监测及管理</w:t>
                  </w:r>
                </w:p>
              </w:tc>
              <w:tc>
                <w:tcPr>
                  <w:tcW w:w="3308" w:type="pct"/>
                  <w:gridSpan w:val="2"/>
                  <w:noWrap w:val="0"/>
                  <w:vAlign w:val="center"/>
                </w:tcPr>
                <w:p w14:paraId="066226E5">
                  <w:pPr>
                    <w:pStyle w:val="28"/>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建立环境管理和监测体系</w:t>
                  </w:r>
                  <w:r>
                    <w:rPr>
                      <w:rFonts w:hint="eastAsia" w:cs="Times New Roman"/>
                      <w:color w:val="auto"/>
                      <w:highlight w:val="none"/>
                      <w:lang w:val="en-US" w:eastAsia="zh-CN"/>
                    </w:rPr>
                    <w:t>，</w:t>
                  </w:r>
                  <w:r>
                    <w:rPr>
                      <w:rFonts w:ascii="Arial" w:hAnsi="Arial" w:eastAsia="Arial" w:cs="Arial"/>
                      <w:color w:val="auto"/>
                      <w:sz w:val="20"/>
                    </w:rPr>
                    <w:t>编制突发环境事件应急预案并备案</w:t>
                  </w:r>
                </w:p>
              </w:tc>
              <w:tc>
                <w:tcPr>
                  <w:tcW w:w="745" w:type="pct"/>
                  <w:noWrap w:val="0"/>
                  <w:vAlign w:val="center"/>
                </w:tcPr>
                <w:p w14:paraId="0AEC3CEF">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0.3</w:t>
                  </w:r>
                </w:p>
              </w:tc>
            </w:tr>
            <w:tr w14:paraId="5212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38" w:type="pct"/>
                  <w:noWrap w:val="0"/>
                  <w:vAlign w:val="center"/>
                </w:tcPr>
                <w:p w14:paraId="4F2EC95D">
                  <w:pPr>
                    <w:pStyle w:val="28"/>
                    <w:bidi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p>
              </w:tc>
              <w:tc>
                <w:tcPr>
                  <w:tcW w:w="706" w:type="pct"/>
                  <w:noWrap w:val="0"/>
                  <w:vAlign w:val="center"/>
                </w:tcPr>
                <w:p w14:paraId="16F1C6C3">
                  <w:pPr>
                    <w:pStyle w:val="28"/>
                    <w:bidi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运行维护</w:t>
                  </w:r>
                </w:p>
              </w:tc>
              <w:tc>
                <w:tcPr>
                  <w:tcW w:w="3308" w:type="pct"/>
                  <w:gridSpan w:val="2"/>
                  <w:noWrap w:val="0"/>
                  <w:vAlign w:val="center"/>
                </w:tcPr>
                <w:p w14:paraId="2E27C963">
                  <w:pPr>
                    <w:pStyle w:val="28"/>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环保设施运行维护费用</w:t>
                  </w:r>
                </w:p>
              </w:tc>
              <w:tc>
                <w:tcPr>
                  <w:tcW w:w="745" w:type="pct"/>
                  <w:noWrap w:val="0"/>
                  <w:vAlign w:val="center"/>
                </w:tcPr>
                <w:p w14:paraId="0BACBF09">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0.4</w:t>
                  </w:r>
                </w:p>
              </w:tc>
            </w:tr>
            <w:tr w14:paraId="1A1C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254" w:type="pct"/>
                  <w:gridSpan w:val="4"/>
                  <w:noWrap w:val="0"/>
                  <w:vAlign w:val="center"/>
                </w:tcPr>
                <w:p w14:paraId="6737584E">
                  <w:pPr>
                    <w:pStyle w:val="28"/>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总计</w:t>
                  </w:r>
                </w:p>
              </w:tc>
              <w:tc>
                <w:tcPr>
                  <w:tcW w:w="745" w:type="pct"/>
                  <w:noWrap w:val="0"/>
                  <w:vAlign w:val="center"/>
                </w:tcPr>
                <w:p w14:paraId="7F1EA11B">
                  <w:pPr>
                    <w:pStyle w:val="2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p>
              </w:tc>
            </w:tr>
          </w:tbl>
          <w:p w14:paraId="6C1BCA00">
            <w:pPr>
              <w:bidi w:val="0"/>
              <w:jc w:val="both"/>
              <w:rPr>
                <w:rFonts w:hint="default"/>
                <w:color w:val="auto"/>
              </w:rPr>
            </w:pPr>
          </w:p>
        </w:tc>
      </w:tr>
    </w:tbl>
    <w:p w14:paraId="170EF0E4">
      <w:pPr>
        <w:rPr>
          <w:rFonts w:hint="default" w:ascii="Times New Roman" w:hAnsi="Times New Roman" w:cs="Times New Roman"/>
          <w:color w:val="auto"/>
        </w:rPr>
        <w:sectPr>
          <w:footerReference r:id="rId9" w:type="default"/>
          <w:pgSz w:w="11907" w:h="16840"/>
          <w:pgMar w:top="1431" w:right="1490" w:bottom="957" w:left="1489" w:header="0" w:footer="692" w:gutter="0"/>
          <w:pgBorders>
            <w:top w:val="none" w:sz="0" w:space="0"/>
            <w:left w:val="none" w:sz="0" w:space="0"/>
            <w:bottom w:val="none" w:sz="0" w:space="0"/>
            <w:right w:val="none" w:sz="0" w:space="0"/>
          </w:pgBorders>
          <w:pgNumType w:fmt="decimal"/>
          <w:cols w:space="720" w:num="1"/>
        </w:sectPr>
      </w:pPr>
    </w:p>
    <w:p w14:paraId="1E428D6B">
      <w:pPr>
        <w:spacing w:line="249" w:lineRule="auto"/>
        <w:rPr>
          <w:rFonts w:hint="default" w:ascii="Times New Roman" w:hAnsi="Times New Roman" w:cs="Times New Roman"/>
          <w:color w:val="auto"/>
          <w:sz w:val="21"/>
        </w:rPr>
      </w:pPr>
    </w:p>
    <w:p w14:paraId="0B88F16D">
      <w:pPr>
        <w:pStyle w:val="2"/>
        <w:bidi w:val="0"/>
        <w:rPr>
          <w:rFonts w:hint="default"/>
          <w:color w:val="auto"/>
        </w:rPr>
      </w:pPr>
      <w:r>
        <w:rPr>
          <w:rFonts w:hint="default"/>
          <w:color w:val="auto"/>
        </w:rPr>
        <w:t>五、环境保护措施监督检查清单</w:t>
      </w:r>
    </w:p>
    <w:p w14:paraId="169E095D">
      <w:pPr>
        <w:spacing w:line="240" w:lineRule="auto"/>
        <w:rPr>
          <w:rFonts w:hint="default" w:ascii="Times New Roman" w:hAnsi="Times New Roman" w:cs="Times New Roman"/>
          <w:color w:val="auto"/>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7"/>
        <w:gridCol w:w="1281"/>
        <w:gridCol w:w="1277"/>
        <w:gridCol w:w="2115"/>
        <w:gridCol w:w="2722"/>
      </w:tblGrid>
      <w:tr w14:paraId="269F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noWrap w:val="0"/>
            <w:vAlign w:val="center"/>
          </w:tcPr>
          <w:p w14:paraId="614734A8">
            <w:pPr>
              <w:pStyle w:val="33"/>
              <w:spacing w:line="240" w:lineRule="auto"/>
              <w:jc w:val="center"/>
              <w:rPr>
                <w:b/>
                <w:color w:val="auto"/>
                <w:sz w:val="21"/>
                <w:szCs w:val="21"/>
                <w:lang w:val="en-US" w:eastAsia="zh-CN"/>
              </w:rPr>
            </w:pPr>
            <w:r>
              <w:rPr>
                <w:b/>
                <w:color w:val="auto"/>
                <w:sz w:val="21"/>
                <w:szCs w:val="21"/>
                <w:lang w:val="en-US" w:eastAsia="zh-CN"/>
              </w:rPr>
              <w:t>内容</w:t>
            </w:r>
          </w:p>
          <w:p w14:paraId="76A51C67">
            <w:pPr>
              <w:pStyle w:val="33"/>
              <w:spacing w:line="240" w:lineRule="auto"/>
              <w:jc w:val="center"/>
              <w:rPr>
                <w:b/>
                <w:color w:val="auto"/>
                <w:sz w:val="21"/>
                <w:szCs w:val="21"/>
                <w:lang w:val="en-US" w:eastAsia="zh-CN"/>
              </w:rPr>
            </w:pPr>
            <w:r>
              <w:rPr>
                <w:b/>
                <w:color w:val="auto"/>
                <w:sz w:val="21"/>
                <w:szCs w:val="21"/>
                <w:lang w:val="en-US" w:eastAsia="zh-CN"/>
              </w:rPr>
              <w:t>要素</w:t>
            </w:r>
          </w:p>
        </w:tc>
        <w:tc>
          <w:tcPr>
            <w:tcW w:w="1281" w:type="dxa"/>
            <w:noWrap w:val="0"/>
            <w:vAlign w:val="center"/>
          </w:tcPr>
          <w:p w14:paraId="41A9CD47">
            <w:pPr>
              <w:pStyle w:val="33"/>
              <w:spacing w:line="240" w:lineRule="auto"/>
              <w:jc w:val="center"/>
              <w:rPr>
                <w:b/>
                <w:color w:val="auto"/>
                <w:sz w:val="21"/>
                <w:szCs w:val="21"/>
                <w:lang w:val="en-US" w:eastAsia="zh-CN"/>
              </w:rPr>
            </w:pPr>
            <w:r>
              <w:rPr>
                <w:b/>
                <w:color w:val="auto"/>
                <w:sz w:val="21"/>
                <w:szCs w:val="21"/>
                <w:lang w:val="en-US" w:eastAsia="zh-CN"/>
              </w:rPr>
              <w:t>排放口</w:t>
            </w:r>
            <w:r>
              <w:rPr>
                <w:rFonts w:hint="eastAsia"/>
                <w:b/>
                <w:color w:val="auto"/>
                <w:sz w:val="21"/>
                <w:szCs w:val="21"/>
                <w:lang w:val="en-US" w:eastAsia="zh-CN"/>
              </w:rPr>
              <w:t>（</w:t>
            </w:r>
            <w:r>
              <w:rPr>
                <w:b/>
                <w:color w:val="auto"/>
                <w:sz w:val="21"/>
                <w:szCs w:val="21"/>
                <w:lang w:val="en-US" w:eastAsia="zh-CN"/>
              </w:rPr>
              <w:t>编号、名称</w:t>
            </w:r>
            <w:r>
              <w:rPr>
                <w:rFonts w:hint="eastAsia"/>
                <w:b/>
                <w:color w:val="auto"/>
                <w:sz w:val="21"/>
                <w:szCs w:val="21"/>
                <w:lang w:val="en-US" w:eastAsia="zh-CN"/>
              </w:rPr>
              <w:t>）</w:t>
            </w:r>
            <w:r>
              <w:rPr>
                <w:b/>
                <w:color w:val="auto"/>
                <w:sz w:val="21"/>
                <w:szCs w:val="21"/>
                <w:lang w:val="en-US" w:eastAsia="zh-CN"/>
              </w:rPr>
              <w:t>/污染源</w:t>
            </w:r>
          </w:p>
        </w:tc>
        <w:tc>
          <w:tcPr>
            <w:tcW w:w="1277" w:type="dxa"/>
            <w:noWrap w:val="0"/>
            <w:vAlign w:val="center"/>
          </w:tcPr>
          <w:p w14:paraId="7DD60025">
            <w:pPr>
              <w:pStyle w:val="33"/>
              <w:spacing w:line="240" w:lineRule="auto"/>
              <w:jc w:val="center"/>
              <w:rPr>
                <w:b/>
                <w:color w:val="auto"/>
                <w:sz w:val="21"/>
                <w:szCs w:val="21"/>
                <w:lang w:val="en-US" w:eastAsia="zh-CN"/>
              </w:rPr>
            </w:pPr>
            <w:r>
              <w:rPr>
                <w:b/>
                <w:color w:val="auto"/>
                <w:sz w:val="21"/>
                <w:szCs w:val="21"/>
                <w:lang w:val="en-US" w:eastAsia="zh-CN"/>
              </w:rPr>
              <w:t>污染物项目</w:t>
            </w:r>
          </w:p>
        </w:tc>
        <w:tc>
          <w:tcPr>
            <w:tcW w:w="2115" w:type="dxa"/>
            <w:noWrap w:val="0"/>
            <w:vAlign w:val="center"/>
          </w:tcPr>
          <w:p w14:paraId="5AB7D4AA">
            <w:pPr>
              <w:pStyle w:val="33"/>
              <w:spacing w:line="240" w:lineRule="auto"/>
              <w:jc w:val="center"/>
              <w:rPr>
                <w:b/>
                <w:color w:val="auto"/>
                <w:sz w:val="21"/>
                <w:szCs w:val="21"/>
                <w:lang w:val="en-US" w:eastAsia="zh-CN"/>
              </w:rPr>
            </w:pPr>
            <w:r>
              <w:rPr>
                <w:b/>
                <w:color w:val="auto"/>
                <w:sz w:val="21"/>
                <w:szCs w:val="21"/>
                <w:lang w:val="en-US" w:eastAsia="zh-CN"/>
              </w:rPr>
              <w:t>环境保护措施</w:t>
            </w:r>
          </w:p>
        </w:tc>
        <w:tc>
          <w:tcPr>
            <w:tcW w:w="2722" w:type="dxa"/>
            <w:noWrap w:val="0"/>
            <w:vAlign w:val="center"/>
          </w:tcPr>
          <w:p w14:paraId="13F49E76">
            <w:pPr>
              <w:pStyle w:val="33"/>
              <w:spacing w:line="240" w:lineRule="auto"/>
              <w:jc w:val="center"/>
              <w:rPr>
                <w:b/>
                <w:color w:val="auto"/>
                <w:sz w:val="21"/>
                <w:szCs w:val="21"/>
                <w:lang w:val="en-US" w:eastAsia="zh-CN"/>
              </w:rPr>
            </w:pPr>
            <w:r>
              <w:rPr>
                <w:b/>
                <w:color w:val="auto"/>
                <w:sz w:val="21"/>
                <w:szCs w:val="21"/>
                <w:lang w:val="en-US" w:eastAsia="zh-CN"/>
              </w:rPr>
              <w:t>执行标准</w:t>
            </w:r>
          </w:p>
        </w:tc>
      </w:tr>
      <w:tr w14:paraId="571E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127" w:type="dxa"/>
            <w:noWrap w:val="0"/>
            <w:vAlign w:val="center"/>
          </w:tcPr>
          <w:p w14:paraId="1E48290C">
            <w:pPr>
              <w:pStyle w:val="33"/>
              <w:spacing w:line="240" w:lineRule="auto"/>
              <w:jc w:val="center"/>
              <w:rPr>
                <w:color w:val="auto"/>
                <w:sz w:val="21"/>
                <w:szCs w:val="21"/>
                <w:lang w:val="en-US" w:eastAsia="zh-CN"/>
              </w:rPr>
            </w:pPr>
            <w:r>
              <w:rPr>
                <w:color w:val="auto"/>
                <w:sz w:val="21"/>
                <w:szCs w:val="21"/>
                <w:lang w:val="en-US" w:eastAsia="zh-CN"/>
              </w:rPr>
              <w:t>大气环境</w:t>
            </w:r>
          </w:p>
        </w:tc>
        <w:tc>
          <w:tcPr>
            <w:tcW w:w="1281" w:type="dxa"/>
            <w:noWrap w:val="0"/>
            <w:vAlign w:val="center"/>
          </w:tcPr>
          <w:p w14:paraId="52E22A0F">
            <w:pPr>
              <w:snapToGrid w:val="0"/>
              <w:spacing w:line="240" w:lineRule="auto"/>
              <w:ind w:firstLine="0" w:firstLineChars="0"/>
              <w:jc w:val="center"/>
              <w:rPr>
                <w:rFonts w:hint="default"/>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宠物本身散发或手术过程产生的异味</w:t>
            </w:r>
            <w:r>
              <w:rPr>
                <w:rFonts w:hint="eastAsia" w:cs="Times New Roman"/>
                <w:color w:val="auto"/>
                <w:sz w:val="21"/>
                <w:szCs w:val="21"/>
                <w:highlight w:val="none"/>
                <w:lang w:val="en-US" w:eastAsia="zh-CN"/>
              </w:rPr>
              <w:t>、污水处理设备、</w:t>
            </w:r>
            <w:r>
              <w:rPr>
                <w:rFonts w:hint="default" w:ascii="Times New Roman" w:hAnsi="Times New Roman" w:eastAsia="宋体" w:cs="Times New Roman"/>
                <w:b w:val="0"/>
                <w:bCs w:val="0"/>
                <w:snapToGrid w:val="0"/>
                <w:color w:val="auto"/>
                <w:kern w:val="2"/>
                <w:sz w:val="21"/>
                <w:szCs w:val="21"/>
                <w:lang w:val="en-US" w:eastAsia="zh-CN" w:bidi="ar-SA"/>
              </w:rPr>
              <w:t>医疗废物贮存间</w:t>
            </w:r>
            <w:r>
              <w:rPr>
                <w:rFonts w:hint="eastAsia" w:ascii="Times New Roman" w:hAnsi="Times New Roman" w:eastAsia="宋体" w:cs="Times New Roman"/>
                <w:b w:val="0"/>
                <w:bCs w:val="0"/>
                <w:color w:val="auto"/>
                <w:kern w:val="2"/>
                <w:sz w:val="21"/>
                <w:szCs w:val="21"/>
                <w:lang w:val="en-US" w:eastAsia="zh-CN" w:bidi="ar-SA"/>
              </w:rPr>
              <w:t>异味</w:t>
            </w:r>
          </w:p>
        </w:tc>
        <w:tc>
          <w:tcPr>
            <w:tcW w:w="1277" w:type="dxa"/>
            <w:noWrap w:val="0"/>
            <w:vAlign w:val="center"/>
          </w:tcPr>
          <w:p w14:paraId="14174BBF">
            <w:pPr>
              <w:pStyle w:val="33"/>
              <w:snapToGrid w:val="0"/>
              <w:spacing w:line="240" w:lineRule="auto"/>
              <w:jc w:val="center"/>
              <w:rPr>
                <w:rFonts w:hint="default"/>
                <w:color w:val="auto"/>
                <w:sz w:val="21"/>
                <w:szCs w:val="21"/>
                <w:lang w:val="en-US" w:eastAsia="zh-CN"/>
              </w:rPr>
            </w:pPr>
            <w:r>
              <w:rPr>
                <w:rFonts w:hint="eastAsia" w:ascii="Times New Roman" w:hAnsi="Times New Roman" w:eastAsia="宋体" w:cs="Times New Roman"/>
                <w:color w:val="auto"/>
                <w:sz w:val="21"/>
                <w:szCs w:val="21"/>
                <w:lang w:val="en-US" w:eastAsia="zh-CN" w:bidi="ar-SA"/>
              </w:rPr>
              <w:t>臭气浓度（无纲量）</w:t>
            </w:r>
          </w:p>
        </w:tc>
        <w:tc>
          <w:tcPr>
            <w:tcW w:w="2115" w:type="dxa"/>
            <w:noWrap w:val="0"/>
            <w:vAlign w:val="center"/>
          </w:tcPr>
          <w:p w14:paraId="6E952C4A">
            <w:pPr>
              <w:snapToGrid w:val="0"/>
              <w:spacing w:line="240" w:lineRule="auto"/>
              <w:ind w:firstLine="0" w:firstLineChars="0"/>
              <w:jc w:val="center"/>
              <w:rPr>
                <w:rFonts w:hint="default"/>
                <w:color w:val="auto"/>
                <w:sz w:val="21"/>
                <w:szCs w:val="21"/>
                <w:lang w:val="en-US" w:eastAsia="zh-CN"/>
              </w:rPr>
            </w:pPr>
            <w:r>
              <w:rPr>
                <w:rFonts w:hint="eastAsia"/>
                <w:color w:val="auto"/>
                <w:sz w:val="21"/>
                <w:szCs w:val="21"/>
                <w:lang w:val="en-US" w:eastAsia="zh-CN"/>
              </w:rPr>
              <w:t>紫外灯消毒；新风系统；</w:t>
            </w:r>
            <w:bookmarkStart w:id="61" w:name="OLE_LINK82"/>
            <w:r>
              <w:rPr>
                <w:rFonts w:hint="eastAsia"/>
                <w:color w:val="auto"/>
                <w:sz w:val="21"/>
                <w:szCs w:val="21"/>
                <w:lang w:val="en-US" w:eastAsia="zh-CN"/>
              </w:rPr>
              <w:t>喷洒生物除臭剂</w:t>
            </w:r>
            <w:bookmarkEnd w:id="61"/>
          </w:p>
        </w:tc>
        <w:tc>
          <w:tcPr>
            <w:tcW w:w="2722" w:type="dxa"/>
            <w:noWrap w:val="0"/>
            <w:vAlign w:val="center"/>
          </w:tcPr>
          <w:p w14:paraId="3AB972C1">
            <w:pPr>
              <w:snapToGrid w:val="0"/>
              <w:spacing w:line="240" w:lineRule="auto"/>
              <w:ind w:firstLine="0" w:firstLineChars="0"/>
              <w:jc w:val="center"/>
              <w:rPr>
                <w:rFonts w:hint="default"/>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lang w:val="en-US" w:eastAsia="zh-CN"/>
              </w:rPr>
              <w:t>恶臭污染物排放标准》（GB14554-93）中表1中相关标准限值</w:t>
            </w:r>
            <w:r>
              <w:rPr>
                <w:rFonts w:hint="eastAsia" w:ascii="Times New Roman" w:hAnsi="Times New Roman" w:eastAsia="宋体" w:cs="Times New Roman"/>
                <w:color w:val="auto"/>
                <w:sz w:val="21"/>
                <w:szCs w:val="21"/>
                <w:lang w:val="en-US" w:eastAsia="zh-CN"/>
              </w:rPr>
              <w:t>：臭气浓度20</w:t>
            </w:r>
          </w:p>
        </w:tc>
      </w:tr>
      <w:tr w14:paraId="34EB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1127" w:type="dxa"/>
            <w:vMerge w:val="restart"/>
            <w:noWrap w:val="0"/>
            <w:vAlign w:val="center"/>
          </w:tcPr>
          <w:p w14:paraId="0469F222">
            <w:pPr>
              <w:pStyle w:val="33"/>
              <w:spacing w:line="240" w:lineRule="auto"/>
              <w:jc w:val="center"/>
              <w:rPr>
                <w:color w:val="auto"/>
                <w:sz w:val="21"/>
                <w:szCs w:val="21"/>
                <w:lang w:val="en-US" w:eastAsia="zh-CN"/>
              </w:rPr>
            </w:pPr>
            <w:r>
              <w:rPr>
                <w:color w:val="auto"/>
                <w:sz w:val="21"/>
                <w:szCs w:val="21"/>
                <w:lang w:val="en-US" w:eastAsia="zh-CN"/>
              </w:rPr>
              <w:t>地表水</w:t>
            </w:r>
          </w:p>
        </w:tc>
        <w:tc>
          <w:tcPr>
            <w:tcW w:w="1281" w:type="dxa"/>
            <w:noWrap w:val="0"/>
            <w:vAlign w:val="center"/>
          </w:tcPr>
          <w:p w14:paraId="0A6183CA">
            <w:pPr>
              <w:pStyle w:val="33"/>
              <w:spacing w:line="240" w:lineRule="auto"/>
              <w:jc w:val="center"/>
              <w:rPr>
                <w:rFonts w:hint="default"/>
                <w:color w:val="auto"/>
                <w:sz w:val="21"/>
                <w:szCs w:val="21"/>
                <w:lang w:val="en-US" w:eastAsia="zh-CN"/>
              </w:rPr>
            </w:pPr>
            <w:r>
              <w:rPr>
                <w:rFonts w:hint="eastAsia"/>
                <w:color w:val="auto"/>
                <w:sz w:val="21"/>
                <w:szCs w:val="21"/>
                <w:lang w:val="en-US" w:eastAsia="zh-CN"/>
              </w:rPr>
              <w:t>生活污水</w:t>
            </w:r>
          </w:p>
        </w:tc>
        <w:tc>
          <w:tcPr>
            <w:tcW w:w="1277" w:type="dxa"/>
            <w:noWrap w:val="0"/>
            <w:vAlign w:val="center"/>
          </w:tcPr>
          <w:p w14:paraId="66AD4AE6">
            <w:pPr>
              <w:pStyle w:val="33"/>
              <w:snapToGrid w:val="0"/>
              <w:spacing w:line="240" w:lineRule="auto"/>
              <w:jc w:val="center"/>
              <w:rPr>
                <w:rFonts w:hint="default"/>
                <w:color w:val="auto"/>
                <w:sz w:val="21"/>
                <w:szCs w:val="21"/>
                <w:highlight w:val="none"/>
                <w:lang w:val="en-US" w:eastAsia="zh-CN"/>
              </w:rPr>
            </w:pPr>
            <w:bookmarkStart w:id="62" w:name="OLE_LINK61"/>
            <w:bookmarkStart w:id="63" w:name="OLE_LINK62"/>
            <w:r>
              <w:rPr>
                <w:color w:val="auto"/>
                <w:sz w:val="21"/>
                <w:szCs w:val="21"/>
                <w:highlight w:val="none"/>
                <w:lang w:val="en-US" w:eastAsia="zh-CN"/>
              </w:rPr>
              <w:t>COD、BOD</w:t>
            </w:r>
            <w:r>
              <w:rPr>
                <w:rFonts w:hint="eastAsia"/>
                <w:color w:val="auto"/>
                <w:sz w:val="21"/>
                <w:szCs w:val="21"/>
                <w:highlight w:val="none"/>
                <w:vertAlign w:val="subscript"/>
                <w:lang w:val="en-US" w:eastAsia="zh-CN"/>
              </w:rPr>
              <w:t>5</w:t>
            </w:r>
            <w:r>
              <w:rPr>
                <w:color w:val="auto"/>
                <w:sz w:val="21"/>
                <w:szCs w:val="21"/>
                <w:highlight w:val="none"/>
                <w:lang w:val="en-US" w:eastAsia="zh-CN"/>
              </w:rPr>
              <w:t>、SS、氨氮</w:t>
            </w:r>
            <w:bookmarkEnd w:id="62"/>
            <w:bookmarkEnd w:id="63"/>
          </w:p>
        </w:tc>
        <w:tc>
          <w:tcPr>
            <w:tcW w:w="2115" w:type="dxa"/>
            <w:noWrap w:val="0"/>
            <w:vAlign w:val="center"/>
          </w:tcPr>
          <w:p w14:paraId="5F1D6ECB">
            <w:pPr>
              <w:pStyle w:val="33"/>
              <w:snapToGrid w:val="0"/>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排入</w:t>
            </w:r>
            <w:bookmarkStart w:id="64" w:name="OLE_LINK64"/>
            <w:r>
              <w:rPr>
                <w:rFonts w:hint="eastAsia"/>
                <w:color w:val="auto"/>
                <w:sz w:val="21"/>
                <w:szCs w:val="21"/>
                <w:highlight w:val="none"/>
                <w:lang w:val="en-US" w:eastAsia="zh-CN"/>
              </w:rPr>
              <w:t>市政污水管道最终进入库尔勒市老城区污水处理厂处理</w:t>
            </w:r>
            <w:bookmarkEnd w:id="64"/>
          </w:p>
        </w:tc>
        <w:tc>
          <w:tcPr>
            <w:tcW w:w="2722" w:type="dxa"/>
            <w:noWrap w:val="0"/>
            <w:vAlign w:val="center"/>
          </w:tcPr>
          <w:p w14:paraId="75A53358">
            <w:pPr>
              <w:pStyle w:val="33"/>
              <w:snapToGrid w:val="0"/>
              <w:spacing w:line="240" w:lineRule="auto"/>
              <w:jc w:val="center"/>
              <w:rPr>
                <w:color w:val="auto"/>
                <w:sz w:val="21"/>
                <w:szCs w:val="21"/>
                <w:lang w:val="en-US" w:eastAsia="zh-CN"/>
              </w:rPr>
            </w:pPr>
            <w:r>
              <w:rPr>
                <w:rFonts w:hint="eastAsia" w:cs="Times New Roman"/>
                <w:color w:val="auto"/>
                <w:sz w:val="21"/>
                <w:szCs w:val="21"/>
                <w:highlight w:val="none"/>
                <w:vertAlign w:val="baseline"/>
                <w:lang w:val="en-US" w:eastAsia="zh-CN" w:bidi="ar-SA"/>
              </w:rPr>
              <w:t>氨氮和总余氯执行《污水排入城镇下水道水质标准》（</w:t>
            </w:r>
            <w:r>
              <w:rPr>
                <w:rFonts w:hint="default" w:cs="Times New Roman"/>
                <w:color w:val="auto"/>
                <w:sz w:val="21"/>
                <w:szCs w:val="21"/>
                <w:highlight w:val="none"/>
                <w:vertAlign w:val="baseline"/>
                <w:lang w:val="en-US" w:eastAsia="zh-CN" w:bidi="ar-SA"/>
              </w:rPr>
              <w:t>GB/T31962-2015</w:t>
            </w:r>
            <w:r>
              <w:rPr>
                <w:rFonts w:hint="eastAsia" w:cs="Times New Roman"/>
                <w:color w:val="auto"/>
                <w:sz w:val="21"/>
                <w:szCs w:val="21"/>
                <w:highlight w:val="none"/>
                <w:vertAlign w:val="baseline"/>
                <w:lang w:val="en-US" w:eastAsia="zh-CN" w:bidi="ar-SA"/>
              </w:rPr>
              <w:t>）</w:t>
            </w:r>
            <w:r>
              <w:rPr>
                <w:rFonts w:hint="default" w:cs="Times New Roman"/>
                <w:color w:val="auto"/>
                <w:sz w:val="21"/>
                <w:szCs w:val="21"/>
                <w:highlight w:val="none"/>
                <w:vertAlign w:val="baseline"/>
                <w:lang w:val="en-US" w:eastAsia="zh-CN" w:bidi="ar-SA"/>
              </w:rPr>
              <w:t>B</w:t>
            </w:r>
            <w:r>
              <w:rPr>
                <w:rFonts w:hint="eastAsia" w:cs="Times New Roman"/>
                <w:color w:val="auto"/>
                <w:sz w:val="21"/>
                <w:szCs w:val="21"/>
                <w:highlight w:val="none"/>
                <w:vertAlign w:val="baseline"/>
                <w:lang w:val="en-US" w:eastAsia="zh-CN" w:bidi="ar-SA"/>
              </w:rPr>
              <w:t>等级标准，其他指标执行《污水综合排放标准》（</w:t>
            </w:r>
            <w:r>
              <w:rPr>
                <w:rFonts w:hint="default" w:cs="Times New Roman"/>
                <w:color w:val="auto"/>
                <w:sz w:val="21"/>
                <w:szCs w:val="21"/>
                <w:highlight w:val="none"/>
                <w:vertAlign w:val="baseline"/>
                <w:lang w:val="en-US" w:eastAsia="zh-CN" w:bidi="ar-SA"/>
              </w:rPr>
              <w:t>GB8978-1996</w:t>
            </w:r>
            <w:r>
              <w:rPr>
                <w:rFonts w:hint="eastAsia" w:cs="Times New Roman"/>
                <w:color w:val="auto"/>
                <w:sz w:val="21"/>
                <w:szCs w:val="21"/>
                <w:highlight w:val="none"/>
                <w:vertAlign w:val="baseline"/>
                <w:lang w:val="en-US" w:eastAsia="zh-CN" w:bidi="ar-SA"/>
              </w:rPr>
              <w:t>）三级标准：</w:t>
            </w:r>
            <w:r>
              <w:rPr>
                <w:rFonts w:hint="default" w:ascii="Times New Roman" w:hAnsi="Times New Roman" w:eastAsia="宋体" w:cs="Times New Roman"/>
                <w:color w:val="auto"/>
                <w:sz w:val="21"/>
                <w:szCs w:val="21"/>
              </w:rPr>
              <w:t>（COD≤</w:t>
            </w:r>
            <w:r>
              <w:rPr>
                <w:rFonts w:hint="eastAsia" w:ascii="Times New Roman" w:hAnsi="Times New Roman" w:eastAsia="宋体" w:cs="Times New Roman"/>
                <w:color w:val="auto"/>
                <w:sz w:val="21"/>
                <w:szCs w:val="21"/>
                <w:lang w:val="en-US" w:eastAsia="zh-CN"/>
              </w:rPr>
              <w:t>50</w:t>
            </w:r>
            <w:r>
              <w:rPr>
                <w:rFonts w:hint="default" w:ascii="Times New Roman" w:hAnsi="Times New Roman" w:eastAsia="宋体" w:cs="Times New Roman"/>
                <w:color w:val="auto"/>
                <w:sz w:val="21"/>
                <w:szCs w:val="21"/>
              </w:rPr>
              <w:t>0mg/L、BOD</w:t>
            </w:r>
            <w:r>
              <w:rPr>
                <w:rFonts w:hint="eastAsia" w:ascii="Times New Roman" w:hAnsi="Times New Roman" w:eastAsia="宋体" w:cs="Times New Roman"/>
                <w:color w:val="auto"/>
                <w:sz w:val="21"/>
                <w:szCs w:val="21"/>
                <w:vertAlign w:val="subscript"/>
                <w:lang w:val="en-US" w:eastAsia="zh-CN"/>
              </w:rPr>
              <w:t>5</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vertAlign w:val="baseline"/>
                <w:lang w:val="en-US" w:eastAsia="zh-CN"/>
              </w:rPr>
              <w:t>3</w:t>
            </w:r>
            <w:r>
              <w:rPr>
                <w:rFonts w:hint="default" w:ascii="Times New Roman" w:hAnsi="Times New Roman" w:eastAsia="宋体" w:cs="Times New Roman"/>
                <w:color w:val="auto"/>
                <w:sz w:val="21"/>
                <w:szCs w:val="21"/>
              </w:rPr>
              <w:t>00mg/L、SS≤</w:t>
            </w:r>
            <w:r>
              <w:rPr>
                <w:rFonts w:hint="eastAsia" w:ascii="Times New Roman" w:hAnsi="Times New Roman" w:eastAsia="宋体" w:cs="Times New Roman"/>
                <w:color w:val="auto"/>
                <w:sz w:val="21"/>
                <w:szCs w:val="21"/>
                <w:lang w:val="en-US" w:eastAsia="zh-CN"/>
              </w:rPr>
              <w:t>400</w:t>
            </w:r>
            <w:r>
              <w:rPr>
                <w:rFonts w:hint="default" w:ascii="Times New Roman" w:hAnsi="Times New Roman" w:eastAsia="宋体" w:cs="Times New Roman"/>
                <w:color w:val="auto"/>
                <w:sz w:val="21"/>
                <w:szCs w:val="21"/>
              </w:rPr>
              <w:t>mg/L、</w:t>
            </w:r>
            <w:r>
              <w:rPr>
                <w:rFonts w:ascii="宋体" w:hAnsi="宋体" w:eastAsia="宋体" w:cs="宋体"/>
                <w:color w:val="auto"/>
                <w:sz w:val="21"/>
                <w:szCs w:val="21"/>
              </w:rPr>
              <w:t>粪大肠菌群数</w:t>
            </w:r>
            <w:r>
              <w:rPr>
                <w:rFonts w:hint="default" w:ascii="Times New Roman" w:hAnsi="Times New Roman" w:eastAsia="宋体" w:cs="Times New Roman"/>
                <w:color w:val="auto"/>
                <w:sz w:val="21"/>
                <w:szCs w:val="21"/>
              </w:rPr>
              <w:t>≤5000</w:t>
            </w:r>
            <w:r>
              <w:rPr>
                <w:rFonts w:hint="eastAsia" w:ascii="Times New Roman" w:hAnsi="Times New Roman" w:eastAsia="宋体" w:cs="Times New Roman"/>
                <w:color w:val="auto"/>
                <w:sz w:val="21"/>
                <w:szCs w:val="21"/>
                <w:lang w:val="en-US" w:eastAsia="zh-CN"/>
              </w:rPr>
              <w:t>个</w:t>
            </w:r>
            <w:r>
              <w:rPr>
                <w:rFonts w:hint="default" w:ascii="Times New Roman" w:hAnsi="Times New Roman" w:eastAsia="宋体" w:cs="Times New Roman"/>
                <w:color w:val="auto"/>
                <w:sz w:val="21"/>
                <w:szCs w:val="21"/>
              </w:rPr>
              <w:t>/L</w:t>
            </w:r>
            <w:r>
              <w:rPr>
                <w:rFonts w:ascii="宋体" w:hAnsi="宋体" w:eastAsia="宋体" w:cs="宋体"/>
                <w:color w:val="auto"/>
                <w:sz w:val="21"/>
                <w:szCs w:val="21"/>
              </w:rPr>
              <w:t>、</w:t>
            </w: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-N≤45mg/L</w:t>
            </w:r>
            <w:r>
              <w:rPr>
                <w:rFonts w:ascii="宋体" w:hAnsi="宋体" w:eastAsia="宋体" w:cs="宋体"/>
                <w:color w:val="auto"/>
                <w:sz w:val="21"/>
                <w:szCs w:val="21"/>
              </w:rPr>
              <w:t>、总余氯</w:t>
            </w:r>
            <w:r>
              <w:rPr>
                <w:rFonts w:hint="default" w:ascii="Times New Roman" w:hAnsi="Times New Roman" w:eastAsia="宋体" w:cs="Times New Roman"/>
                <w:color w:val="auto"/>
                <w:sz w:val="21"/>
                <w:szCs w:val="21"/>
              </w:rPr>
              <w:t>&gt;</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mg/L</w:t>
            </w:r>
            <w:r>
              <w:rPr>
                <w:rFonts w:ascii="宋体" w:hAnsi="宋体" w:eastAsia="宋体" w:cs="宋体"/>
                <w:color w:val="auto"/>
                <w:sz w:val="21"/>
                <w:szCs w:val="21"/>
              </w:rPr>
              <w:t>）</w:t>
            </w:r>
          </w:p>
        </w:tc>
      </w:tr>
      <w:tr w14:paraId="633E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1127" w:type="dxa"/>
            <w:vMerge w:val="continue"/>
            <w:noWrap w:val="0"/>
            <w:vAlign w:val="center"/>
          </w:tcPr>
          <w:p w14:paraId="021DD03A">
            <w:pPr>
              <w:pStyle w:val="33"/>
              <w:spacing w:line="240" w:lineRule="auto"/>
              <w:jc w:val="center"/>
              <w:rPr>
                <w:color w:val="auto"/>
                <w:sz w:val="21"/>
                <w:szCs w:val="21"/>
                <w:lang w:val="en-US" w:eastAsia="zh-CN"/>
              </w:rPr>
            </w:pPr>
          </w:p>
        </w:tc>
        <w:tc>
          <w:tcPr>
            <w:tcW w:w="1281" w:type="dxa"/>
            <w:noWrap w:val="0"/>
            <w:vAlign w:val="center"/>
          </w:tcPr>
          <w:p w14:paraId="07D1B135">
            <w:pPr>
              <w:pStyle w:val="33"/>
              <w:spacing w:line="240" w:lineRule="auto"/>
              <w:jc w:val="center"/>
              <w:rPr>
                <w:rFonts w:hint="default"/>
                <w:color w:val="auto"/>
                <w:sz w:val="21"/>
                <w:szCs w:val="21"/>
                <w:lang w:val="en-US" w:eastAsia="zh-CN"/>
              </w:rPr>
            </w:pPr>
            <w:r>
              <w:rPr>
                <w:rFonts w:hint="eastAsia"/>
                <w:color w:val="auto"/>
                <w:sz w:val="21"/>
                <w:szCs w:val="21"/>
                <w:lang w:val="en-US" w:eastAsia="zh-CN"/>
              </w:rPr>
              <w:t>医疗废水、</w:t>
            </w:r>
            <w:r>
              <w:rPr>
                <w:rFonts w:hint="eastAsia" w:cs="Times New Roman"/>
                <w:color w:val="auto"/>
                <w:sz w:val="21"/>
                <w:szCs w:val="21"/>
                <w:highlight w:val="none"/>
                <w:lang w:val="en-US" w:eastAsia="zh-CN"/>
              </w:rPr>
              <w:t>清洗消毒废水</w:t>
            </w:r>
          </w:p>
        </w:tc>
        <w:tc>
          <w:tcPr>
            <w:tcW w:w="1277" w:type="dxa"/>
            <w:noWrap w:val="0"/>
            <w:vAlign w:val="center"/>
          </w:tcPr>
          <w:p w14:paraId="45A7AC2A">
            <w:pPr>
              <w:pStyle w:val="33"/>
              <w:snapToGrid w:val="0"/>
              <w:spacing w:line="240" w:lineRule="auto"/>
              <w:jc w:val="center"/>
              <w:rPr>
                <w:color w:val="auto"/>
                <w:sz w:val="21"/>
                <w:szCs w:val="21"/>
                <w:highlight w:val="none"/>
                <w:lang w:val="en-US" w:eastAsia="zh-CN"/>
              </w:rPr>
            </w:pPr>
            <w:r>
              <w:rPr>
                <w:color w:val="auto"/>
                <w:sz w:val="21"/>
                <w:szCs w:val="21"/>
                <w:highlight w:val="none"/>
                <w:lang w:val="en-US" w:eastAsia="zh-CN"/>
              </w:rPr>
              <w:t>COD、BOD</w:t>
            </w:r>
            <w:r>
              <w:rPr>
                <w:rFonts w:hint="eastAsia"/>
                <w:color w:val="auto"/>
                <w:sz w:val="21"/>
                <w:szCs w:val="21"/>
                <w:highlight w:val="none"/>
                <w:vertAlign w:val="subscript"/>
                <w:lang w:val="en-US" w:eastAsia="zh-CN"/>
              </w:rPr>
              <w:t>5</w:t>
            </w:r>
            <w:r>
              <w:rPr>
                <w:color w:val="auto"/>
                <w:sz w:val="21"/>
                <w:szCs w:val="21"/>
                <w:highlight w:val="none"/>
                <w:lang w:val="en-US" w:eastAsia="zh-CN"/>
              </w:rPr>
              <w:t>、SS、氨氮、</w:t>
            </w:r>
            <w:r>
              <w:rPr>
                <w:rFonts w:hint="eastAsia"/>
                <w:color w:val="auto"/>
                <w:sz w:val="21"/>
                <w:szCs w:val="21"/>
                <w:highlight w:val="none"/>
                <w:lang w:val="en-US" w:eastAsia="zh-CN"/>
              </w:rPr>
              <w:t>粪大肠菌群、总余氯</w:t>
            </w:r>
          </w:p>
        </w:tc>
        <w:tc>
          <w:tcPr>
            <w:tcW w:w="2115" w:type="dxa"/>
            <w:noWrap w:val="0"/>
            <w:vAlign w:val="center"/>
          </w:tcPr>
          <w:p w14:paraId="23AAD70D">
            <w:pPr>
              <w:pStyle w:val="33"/>
              <w:snapToGrid w:val="0"/>
              <w:spacing w:line="240" w:lineRule="auto"/>
              <w:jc w:val="center"/>
              <w:rPr>
                <w:color w:val="auto"/>
                <w:sz w:val="21"/>
                <w:szCs w:val="21"/>
                <w:highlight w:val="none"/>
                <w:lang w:val="en-US" w:eastAsia="zh-CN"/>
              </w:rPr>
            </w:pPr>
            <w:r>
              <w:rPr>
                <w:rFonts w:hint="eastAsia"/>
                <w:color w:val="auto"/>
                <w:sz w:val="21"/>
                <w:szCs w:val="21"/>
                <w:highlight w:val="none"/>
                <w:lang w:val="en-US" w:eastAsia="zh-CN"/>
              </w:rPr>
              <w:t>经过一体化污水处理设施过滤与消毒后排入市政污水管道最终进入库尔勒市老城区污水处理厂处理</w:t>
            </w:r>
          </w:p>
        </w:tc>
        <w:tc>
          <w:tcPr>
            <w:tcW w:w="2722" w:type="dxa"/>
            <w:noWrap w:val="0"/>
            <w:vAlign w:val="center"/>
          </w:tcPr>
          <w:p w14:paraId="66D424C4">
            <w:pPr>
              <w:pStyle w:val="33"/>
              <w:snapToGrid w:val="0"/>
              <w:spacing w:line="240" w:lineRule="auto"/>
              <w:jc w:val="center"/>
              <w:rPr>
                <w:color w:val="auto"/>
                <w:sz w:val="21"/>
                <w:szCs w:val="21"/>
                <w:lang w:val="en-US" w:eastAsia="zh-CN"/>
              </w:rPr>
            </w:pPr>
            <w:bookmarkStart w:id="65" w:name="OLE_LINK94"/>
            <w:r>
              <w:rPr>
                <w:rFonts w:hint="eastAsia" w:cs="Times New Roman"/>
                <w:color w:val="auto"/>
                <w:lang w:eastAsia="zh-CN"/>
              </w:rPr>
              <w:t>《医疗机构水污染物排放标准》（GB 18466-2005，含2026年修改单）</w:t>
            </w:r>
            <w:r>
              <w:rPr>
                <w:color w:val="auto"/>
                <w:sz w:val="21"/>
                <w:szCs w:val="21"/>
                <w:lang w:val="en-US" w:eastAsia="zh-CN"/>
              </w:rPr>
              <w:t>表</w:t>
            </w:r>
            <w:r>
              <w:rPr>
                <w:rFonts w:hint="eastAsia"/>
                <w:color w:val="auto"/>
                <w:sz w:val="21"/>
                <w:szCs w:val="21"/>
                <w:lang w:val="en-US" w:eastAsia="zh-CN"/>
              </w:rPr>
              <w:t>2</w:t>
            </w:r>
            <w:r>
              <w:rPr>
                <w:color w:val="auto"/>
                <w:sz w:val="21"/>
                <w:szCs w:val="21"/>
                <w:lang w:val="en-US" w:eastAsia="zh-CN"/>
              </w:rPr>
              <w:t>中</w:t>
            </w:r>
            <w:r>
              <w:rPr>
                <w:rFonts w:hint="default" w:ascii="Times New Roman" w:hAnsi="Times New Roman" w:cs="Times New Roman"/>
                <w:color w:val="auto"/>
                <w:lang w:eastAsia="zh-CN"/>
              </w:rPr>
              <w:t>“预处理标准”</w:t>
            </w:r>
            <w:bookmarkEnd w:id="65"/>
            <w:bookmarkStart w:id="66" w:name="OLE_LINK63"/>
            <w:r>
              <w:rPr>
                <w:rFonts w:hint="eastAsia"/>
                <w:color w:val="auto"/>
                <w:sz w:val="21"/>
                <w:szCs w:val="21"/>
                <w:lang w:val="en-US" w:eastAsia="zh-CN"/>
              </w:rPr>
              <w:t>限值</w:t>
            </w:r>
            <w:bookmarkEnd w:id="66"/>
          </w:p>
        </w:tc>
      </w:tr>
      <w:tr w14:paraId="4F2D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127" w:type="dxa"/>
            <w:noWrap w:val="0"/>
            <w:vAlign w:val="center"/>
          </w:tcPr>
          <w:p w14:paraId="6233DF26">
            <w:pPr>
              <w:pStyle w:val="33"/>
              <w:snapToGrid w:val="0"/>
              <w:spacing w:line="240" w:lineRule="auto"/>
              <w:jc w:val="center"/>
              <w:rPr>
                <w:color w:val="auto"/>
                <w:sz w:val="21"/>
                <w:szCs w:val="21"/>
                <w:lang w:val="en-US" w:eastAsia="zh-CN"/>
              </w:rPr>
            </w:pPr>
            <w:r>
              <w:rPr>
                <w:color w:val="auto"/>
                <w:sz w:val="21"/>
                <w:szCs w:val="21"/>
                <w:lang w:val="en-US" w:eastAsia="zh-CN"/>
              </w:rPr>
              <w:t>声环境</w:t>
            </w:r>
          </w:p>
        </w:tc>
        <w:tc>
          <w:tcPr>
            <w:tcW w:w="1281" w:type="dxa"/>
            <w:noWrap w:val="0"/>
            <w:vAlign w:val="center"/>
          </w:tcPr>
          <w:p w14:paraId="72E446F4">
            <w:pPr>
              <w:pStyle w:val="33"/>
              <w:snapToGrid w:val="0"/>
              <w:spacing w:line="240" w:lineRule="auto"/>
              <w:jc w:val="center"/>
              <w:rPr>
                <w:rFonts w:hint="default"/>
                <w:color w:val="auto"/>
                <w:sz w:val="21"/>
                <w:szCs w:val="21"/>
                <w:lang w:val="en-US" w:eastAsia="zh-CN"/>
              </w:rPr>
            </w:pPr>
            <w:r>
              <w:rPr>
                <w:rFonts w:hint="eastAsia"/>
                <w:color w:val="auto"/>
                <w:sz w:val="21"/>
                <w:szCs w:val="21"/>
                <w:lang w:val="en-US" w:eastAsia="zh-CN"/>
              </w:rPr>
              <w:t>设备噪声</w:t>
            </w:r>
          </w:p>
        </w:tc>
        <w:tc>
          <w:tcPr>
            <w:tcW w:w="1277" w:type="dxa"/>
            <w:noWrap w:val="0"/>
            <w:vAlign w:val="center"/>
          </w:tcPr>
          <w:p w14:paraId="6606FC13">
            <w:pPr>
              <w:pStyle w:val="33"/>
              <w:snapToGrid w:val="0"/>
              <w:spacing w:line="240" w:lineRule="auto"/>
              <w:jc w:val="center"/>
              <w:rPr>
                <w:color w:val="auto"/>
                <w:sz w:val="21"/>
                <w:szCs w:val="21"/>
                <w:lang w:val="en-US" w:eastAsia="zh-CN"/>
              </w:rPr>
            </w:pPr>
            <w:r>
              <w:rPr>
                <w:rFonts w:ascii="宋体" w:hAnsi="宋体" w:eastAsia="宋体" w:cs="宋体"/>
                <w:b w:val="0"/>
                <w:bCs w:val="0"/>
                <w:color w:val="auto"/>
                <w:sz w:val="21"/>
                <w:szCs w:val="21"/>
              </w:rPr>
              <w:t>生产噪声（</w:t>
            </w:r>
            <w:r>
              <w:rPr>
                <w:rFonts w:ascii="TimesNewRomanPSMT" w:hAnsi="TimesNewRomanPSMT" w:eastAsia="TimesNewRomanPSMT" w:cs="TimesNewRomanPSMT"/>
                <w:b w:val="0"/>
                <w:bCs w:val="0"/>
                <w:color w:val="auto"/>
                <w:sz w:val="21"/>
                <w:szCs w:val="21"/>
              </w:rPr>
              <w:t>L</w:t>
            </w:r>
            <w:r>
              <w:rPr>
                <w:rFonts w:hint="default" w:ascii="TimesNewRomanPSMT" w:hAnsi="TimesNewRomanPSMT" w:eastAsia="TimesNewRomanPSMT" w:cs="TimesNewRomanPSMT"/>
                <w:b w:val="0"/>
                <w:bCs w:val="0"/>
                <w:color w:val="auto"/>
                <w:sz w:val="21"/>
                <w:szCs w:val="21"/>
              </w:rPr>
              <w:t>eq</w:t>
            </w:r>
            <w:r>
              <w:rPr>
                <w:rFonts w:ascii="宋体" w:hAnsi="宋体" w:eastAsia="宋体" w:cs="宋体"/>
                <w:b w:val="0"/>
                <w:bCs w:val="0"/>
                <w:color w:val="auto"/>
                <w:sz w:val="21"/>
                <w:szCs w:val="21"/>
              </w:rPr>
              <w:t>）</w:t>
            </w:r>
          </w:p>
        </w:tc>
        <w:tc>
          <w:tcPr>
            <w:tcW w:w="2115" w:type="dxa"/>
            <w:noWrap w:val="0"/>
            <w:vAlign w:val="center"/>
          </w:tcPr>
          <w:p w14:paraId="3D149DAB">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选用低噪声设备，设备安装基础减振设施，室内隔声</w:t>
            </w:r>
          </w:p>
        </w:tc>
        <w:tc>
          <w:tcPr>
            <w:tcW w:w="2722" w:type="dxa"/>
            <w:noWrap w:val="0"/>
            <w:vAlign w:val="center"/>
          </w:tcPr>
          <w:p w14:paraId="7C4A4045">
            <w:pPr>
              <w:widowControl w:val="0"/>
              <w:snapToGrid w:val="0"/>
              <w:spacing w:line="240" w:lineRule="auto"/>
              <w:ind w:firstLine="0" w:firstLineChars="0"/>
              <w:jc w:val="center"/>
              <w:rPr>
                <w:rFonts w:ascii="Times New Roman" w:hAnsi="Times New Roman" w:eastAsia="宋体" w:cs="Times New Roman"/>
                <w:color w:val="auto"/>
                <w:sz w:val="21"/>
                <w:szCs w:val="21"/>
                <w:lang w:val="en-US" w:eastAsia="zh-CN"/>
              </w:rPr>
            </w:pPr>
            <w:r>
              <w:rPr>
                <w:rFonts w:hint="eastAsia"/>
                <w:color w:val="auto"/>
                <w:sz w:val="21"/>
                <w:szCs w:val="21"/>
                <w:lang w:val="en-US" w:eastAsia="zh-CN"/>
              </w:rPr>
              <w:t>厂界四周</w:t>
            </w:r>
            <w:r>
              <w:rPr>
                <w:rFonts w:hint="eastAsia"/>
                <w:color w:val="auto"/>
                <w:sz w:val="21"/>
                <w:szCs w:val="21"/>
                <w:lang w:eastAsia="zh-CN"/>
              </w:rPr>
              <w:t>噪声执行《工业企业厂界环境噪声排放标准》（</w:t>
            </w:r>
            <w:r>
              <w:rPr>
                <w:color w:val="auto"/>
                <w:sz w:val="21"/>
                <w:szCs w:val="21"/>
                <w:lang w:eastAsia="zh-CN"/>
              </w:rPr>
              <w:t>GB12348-2008</w:t>
            </w: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类</w:t>
            </w:r>
            <w:r>
              <w:rPr>
                <w:rFonts w:hint="eastAsia"/>
                <w:color w:val="auto"/>
                <w:sz w:val="21"/>
                <w:szCs w:val="21"/>
                <w:lang w:val="en-US" w:eastAsia="zh-CN"/>
              </w:rPr>
              <w:t>功能</w:t>
            </w:r>
            <w:r>
              <w:rPr>
                <w:rFonts w:hint="eastAsia"/>
                <w:color w:val="auto"/>
                <w:sz w:val="21"/>
                <w:szCs w:val="21"/>
                <w:lang w:eastAsia="zh-CN"/>
              </w:rPr>
              <w:t>区限值</w:t>
            </w:r>
            <w:r>
              <w:rPr>
                <w:rFonts w:hint="eastAsia" w:ascii="Times New Roman" w:hAnsi="Times New Roman" w:eastAsia="宋体" w:cs="Times New Roman"/>
                <w:color w:val="auto"/>
                <w:sz w:val="21"/>
                <w:szCs w:val="21"/>
                <w:lang w:val="en-US" w:eastAsia="zh-CN"/>
              </w:rPr>
              <w:t>（昼间60dB（A）；夜间50dB（A））</w:t>
            </w:r>
          </w:p>
        </w:tc>
      </w:tr>
      <w:tr w14:paraId="7DE4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127" w:type="dxa"/>
            <w:noWrap w:val="0"/>
            <w:vAlign w:val="center"/>
          </w:tcPr>
          <w:p w14:paraId="201817D2">
            <w:pPr>
              <w:pStyle w:val="33"/>
              <w:spacing w:line="240" w:lineRule="auto"/>
              <w:jc w:val="center"/>
              <w:rPr>
                <w:color w:val="auto"/>
                <w:sz w:val="21"/>
                <w:szCs w:val="21"/>
                <w:lang w:val="en-US" w:eastAsia="zh-CN"/>
              </w:rPr>
            </w:pPr>
            <w:r>
              <w:rPr>
                <w:color w:val="auto"/>
                <w:sz w:val="21"/>
                <w:szCs w:val="21"/>
                <w:lang w:val="en-US" w:eastAsia="zh-CN"/>
              </w:rPr>
              <w:t>电磁辐射</w:t>
            </w:r>
          </w:p>
        </w:tc>
        <w:tc>
          <w:tcPr>
            <w:tcW w:w="1281" w:type="dxa"/>
            <w:noWrap w:val="0"/>
            <w:vAlign w:val="center"/>
          </w:tcPr>
          <w:p w14:paraId="2563314D">
            <w:pPr>
              <w:pStyle w:val="33"/>
              <w:spacing w:line="240" w:lineRule="auto"/>
              <w:jc w:val="center"/>
              <w:rPr>
                <w:color w:val="auto"/>
                <w:sz w:val="21"/>
                <w:szCs w:val="21"/>
                <w:lang w:val="zh-CN" w:eastAsia="zh-CN"/>
              </w:rPr>
            </w:pPr>
            <w:r>
              <w:rPr>
                <w:color w:val="auto"/>
                <w:sz w:val="21"/>
                <w:szCs w:val="21"/>
                <w:lang w:val="zh-CN" w:eastAsia="zh-CN"/>
              </w:rPr>
              <w:t>/</w:t>
            </w:r>
          </w:p>
        </w:tc>
        <w:tc>
          <w:tcPr>
            <w:tcW w:w="1277" w:type="dxa"/>
            <w:noWrap w:val="0"/>
            <w:vAlign w:val="center"/>
          </w:tcPr>
          <w:p w14:paraId="77E59812">
            <w:pPr>
              <w:pStyle w:val="33"/>
              <w:spacing w:line="240" w:lineRule="auto"/>
              <w:jc w:val="center"/>
              <w:rPr>
                <w:color w:val="auto"/>
                <w:sz w:val="21"/>
                <w:szCs w:val="21"/>
                <w:lang w:val="zh-CN" w:eastAsia="zh-CN"/>
              </w:rPr>
            </w:pPr>
            <w:r>
              <w:rPr>
                <w:color w:val="auto"/>
                <w:sz w:val="21"/>
                <w:szCs w:val="21"/>
                <w:lang w:val="zh-CN" w:eastAsia="zh-CN"/>
              </w:rPr>
              <w:t>/</w:t>
            </w:r>
          </w:p>
        </w:tc>
        <w:tc>
          <w:tcPr>
            <w:tcW w:w="2115" w:type="dxa"/>
            <w:noWrap w:val="0"/>
            <w:vAlign w:val="center"/>
          </w:tcPr>
          <w:p w14:paraId="7DA2248E">
            <w:pPr>
              <w:pStyle w:val="33"/>
              <w:spacing w:line="240" w:lineRule="auto"/>
              <w:jc w:val="center"/>
              <w:rPr>
                <w:color w:val="auto"/>
                <w:sz w:val="21"/>
                <w:szCs w:val="21"/>
                <w:lang w:val="zh-CN" w:eastAsia="zh-CN"/>
              </w:rPr>
            </w:pPr>
            <w:r>
              <w:rPr>
                <w:color w:val="auto"/>
                <w:sz w:val="21"/>
                <w:szCs w:val="21"/>
                <w:lang w:val="zh-CN" w:eastAsia="zh-CN"/>
              </w:rPr>
              <w:t>/</w:t>
            </w:r>
          </w:p>
        </w:tc>
        <w:tc>
          <w:tcPr>
            <w:tcW w:w="2722" w:type="dxa"/>
            <w:noWrap w:val="0"/>
            <w:vAlign w:val="center"/>
          </w:tcPr>
          <w:p w14:paraId="247B5F4E">
            <w:pPr>
              <w:pStyle w:val="33"/>
              <w:spacing w:line="240" w:lineRule="auto"/>
              <w:jc w:val="center"/>
              <w:rPr>
                <w:color w:val="auto"/>
                <w:sz w:val="21"/>
                <w:szCs w:val="21"/>
                <w:lang w:val="zh-CN" w:eastAsia="zh-CN"/>
              </w:rPr>
            </w:pPr>
            <w:r>
              <w:rPr>
                <w:color w:val="auto"/>
                <w:sz w:val="21"/>
                <w:szCs w:val="21"/>
                <w:lang w:val="zh-CN" w:eastAsia="zh-CN"/>
              </w:rPr>
              <w:t>/</w:t>
            </w:r>
          </w:p>
        </w:tc>
      </w:tr>
      <w:tr w14:paraId="0D57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1127" w:type="dxa"/>
            <w:vMerge w:val="restart"/>
            <w:noWrap w:val="0"/>
            <w:vAlign w:val="center"/>
          </w:tcPr>
          <w:p w14:paraId="67A49849">
            <w:pPr>
              <w:pStyle w:val="33"/>
              <w:spacing w:line="240" w:lineRule="auto"/>
              <w:jc w:val="center"/>
              <w:rPr>
                <w:color w:val="auto"/>
                <w:sz w:val="21"/>
                <w:szCs w:val="21"/>
                <w:highlight w:val="none"/>
                <w:lang w:val="en-US" w:eastAsia="zh-CN"/>
              </w:rPr>
            </w:pPr>
            <w:r>
              <w:rPr>
                <w:color w:val="auto"/>
                <w:sz w:val="21"/>
                <w:szCs w:val="21"/>
                <w:highlight w:val="none"/>
                <w:lang w:val="en-US" w:eastAsia="zh-CN"/>
              </w:rPr>
              <w:t>固废</w:t>
            </w:r>
          </w:p>
        </w:tc>
        <w:tc>
          <w:tcPr>
            <w:tcW w:w="1281" w:type="dxa"/>
            <w:tcBorders>
              <w:right w:val="single" w:color="auto" w:sz="2" w:space="0"/>
            </w:tcBorders>
            <w:noWrap w:val="0"/>
            <w:vAlign w:val="center"/>
          </w:tcPr>
          <w:p w14:paraId="1E060EA9">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隔离室、住院室、诊室、手术室等危险废物</w:t>
            </w:r>
          </w:p>
        </w:tc>
        <w:tc>
          <w:tcPr>
            <w:tcW w:w="1277" w:type="dxa"/>
            <w:tcBorders>
              <w:left w:val="single" w:color="auto" w:sz="2" w:space="0"/>
              <w:right w:val="single" w:color="auto" w:sz="2" w:space="0"/>
            </w:tcBorders>
            <w:noWrap w:val="0"/>
            <w:vAlign w:val="center"/>
          </w:tcPr>
          <w:p w14:paraId="5A726184">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医疗废物、患病宠物排泄物及猫砂、废紫外线灯管</w:t>
            </w:r>
          </w:p>
        </w:tc>
        <w:tc>
          <w:tcPr>
            <w:tcW w:w="2115" w:type="dxa"/>
            <w:tcBorders>
              <w:left w:val="single" w:color="auto" w:sz="2" w:space="0"/>
              <w:bottom w:val="single" w:color="auto" w:sz="2" w:space="0"/>
              <w:right w:val="single" w:color="auto" w:sz="2" w:space="0"/>
            </w:tcBorders>
            <w:noWrap w:val="0"/>
            <w:vAlign w:val="center"/>
          </w:tcPr>
          <w:p w14:paraId="4CFA5200">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集中收集后交由具有资质的单位进行处置</w:t>
            </w:r>
          </w:p>
        </w:tc>
        <w:tc>
          <w:tcPr>
            <w:tcW w:w="2722" w:type="dxa"/>
            <w:vMerge w:val="restart"/>
            <w:tcBorders>
              <w:left w:val="single" w:color="auto" w:sz="2" w:space="0"/>
            </w:tcBorders>
            <w:noWrap w:val="0"/>
            <w:vAlign w:val="center"/>
          </w:tcPr>
          <w:p w14:paraId="7E816BCF">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医疗废物执行《医疗废物管理条例》（国务院令第380号）和《危险废物贮存污染控制标准》（GB18597-2023）中相关规定；废紫外线灯管暂存于</w:t>
            </w:r>
            <w:r>
              <w:rPr>
                <w:rFonts w:hint="eastAsia" w:cs="Times New Roman"/>
                <w:color w:val="auto"/>
                <w:sz w:val="21"/>
                <w:szCs w:val="21"/>
                <w:highlight w:val="none"/>
                <w:lang w:val="en-US" w:eastAsia="zh-CN"/>
              </w:rPr>
              <w:t>危险废物贮存间</w:t>
            </w:r>
            <w:r>
              <w:rPr>
                <w:rFonts w:hint="eastAsia" w:ascii="Times New Roman" w:hAnsi="Times New Roman" w:eastAsia="宋体" w:cs="Times New Roman"/>
                <w:color w:val="auto"/>
                <w:sz w:val="21"/>
                <w:szCs w:val="21"/>
                <w:highlight w:val="none"/>
                <w:lang w:val="en-US" w:eastAsia="zh-CN"/>
              </w:rPr>
              <w:t>内，委托有资质的单位定期综合处置；患病宠物产生的排泄物及猫砂采用专用包装袋收集、消毒后暂存于</w:t>
            </w:r>
            <w:r>
              <w:rPr>
                <w:rFonts w:hint="eastAsia" w:cs="Times New Roman"/>
                <w:color w:val="auto"/>
                <w:sz w:val="21"/>
                <w:szCs w:val="21"/>
                <w:highlight w:val="none"/>
                <w:lang w:val="en-US" w:eastAsia="zh-CN"/>
              </w:rPr>
              <w:t>危险废物贮存间</w:t>
            </w:r>
            <w:r>
              <w:rPr>
                <w:rFonts w:hint="eastAsia" w:ascii="Times New Roman" w:hAnsi="Times New Roman" w:eastAsia="宋体" w:cs="Times New Roman"/>
                <w:color w:val="auto"/>
                <w:sz w:val="21"/>
                <w:szCs w:val="21"/>
                <w:highlight w:val="none"/>
                <w:lang w:val="en-US" w:eastAsia="zh-CN"/>
              </w:rPr>
              <w:t>内，定期委托有资质的单位综合处置</w:t>
            </w:r>
          </w:p>
        </w:tc>
      </w:tr>
      <w:tr w14:paraId="7B69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127" w:type="dxa"/>
            <w:vMerge w:val="continue"/>
            <w:noWrap w:val="0"/>
            <w:vAlign w:val="center"/>
          </w:tcPr>
          <w:p w14:paraId="48A13B71">
            <w:pPr>
              <w:pStyle w:val="33"/>
              <w:spacing w:line="240" w:lineRule="auto"/>
              <w:jc w:val="center"/>
              <w:rPr>
                <w:color w:val="auto"/>
                <w:sz w:val="21"/>
                <w:szCs w:val="21"/>
                <w:lang w:val="en-US" w:eastAsia="zh-CN"/>
              </w:rPr>
            </w:pPr>
          </w:p>
        </w:tc>
        <w:tc>
          <w:tcPr>
            <w:tcW w:w="1281" w:type="dxa"/>
            <w:tcBorders>
              <w:top w:val="single" w:color="auto" w:sz="2" w:space="0"/>
              <w:bottom w:val="single" w:color="auto" w:sz="2" w:space="0"/>
              <w:right w:val="single" w:color="auto" w:sz="2" w:space="0"/>
            </w:tcBorders>
            <w:noWrap w:val="0"/>
            <w:vAlign w:val="center"/>
          </w:tcPr>
          <w:p w14:paraId="07C4A38E">
            <w:pPr>
              <w:pStyle w:val="33"/>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污水处理设备</w:t>
            </w:r>
            <w:r>
              <w:rPr>
                <w:rFonts w:hint="eastAsia" w:ascii="Times New Roman" w:hAnsi="Times New Roman" w:eastAsia="宋体" w:cs="Times New Roman"/>
                <w:color w:val="auto"/>
                <w:sz w:val="21"/>
                <w:szCs w:val="21"/>
                <w:highlight w:val="none"/>
                <w:lang w:val="en-US" w:eastAsia="zh-CN"/>
              </w:rPr>
              <w:t>/危险废物</w:t>
            </w:r>
          </w:p>
        </w:tc>
        <w:tc>
          <w:tcPr>
            <w:tcW w:w="1277" w:type="dxa"/>
            <w:tcBorders>
              <w:top w:val="single" w:color="auto" w:sz="2" w:space="0"/>
              <w:left w:val="single" w:color="auto" w:sz="2" w:space="0"/>
              <w:bottom w:val="single" w:color="auto" w:sz="2" w:space="0"/>
              <w:right w:val="single" w:color="auto" w:sz="2" w:space="0"/>
            </w:tcBorders>
            <w:noWrap w:val="0"/>
            <w:vAlign w:val="center"/>
          </w:tcPr>
          <w:p w14:paraId="6315FAEF">
            <w:pPr>
              <w:pStyle w:val="33"/>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医疗废水处理设施</w:t>
            </w:r>
            <w:r>
              <w:rPr>
                <w:rFonts w:hint="eastAsia" w:cs="Times New Roman"/>
                <w:color w:val="auto"/>
                <w:sz w:val="21"/>
                <w:szCs w:val="21"/>
                <w:highlight w:val="none"/>
                <w:lang w:val="en-US" w:eastAsia="zh-CN"/>
              </w:rPr>
              <w:t>废渣</w:t>
            </w:r>
          </w:p>
        </w:tc>
        <w:tc>
          <w:tcPr>
            <w:tcW w:w="2115" w:type="dxa"/>
            <w:tcBorders>
              <w:top w:val="single" w:color="auto" w:sz="2" w:space="0"/>
              <w:left w:val="single" w:color="auto" w:sz="2" w:space="0"/>
              <w:right w:val="single" w:color="auto" w:sz="2" w:space="0"/>
            </w:tcBorders>
            <w:noWrap w:val="0"/>
            <w:vAlign w:val="center"/>
          </w:tcPr>
          <w:p w14:paraId="345A270D">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委托有资质单位定期清捞与处置，不在项目区贮存</w:t>
            </w:r>
          </w:p>
        </w:tc>
        <w:tc>
          <w:tcPr>
            <w:tcW w:w="2722" w:type="dxa"/>
            <w:vMerge w:val="continue"/>
            <w:tcBorders>
              <w:left w:val="single" w:color="auto" w:sz="2" w:space="0"/>
            </w:tcBorders>
            <w:noWrap w:val="0"/>
            <w:vAlign w:val="center"/>
          </w:tcPr>
          <w:p w14:paraId="1A06EED1">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r>
      <w:tr w14:paraId="658E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1127" w:type="dxa"/>
            <w:vMerge w:val="continue"/>
            <w:noWrap w:val="0"/>
            <w:vAlign w:val="center"/>
          </w:tcPr>
          <w:p w14:paraId="42066D75">
            <w:pPr>
              <w:pStyle w:val="33"/>
              <w:spacing w:line="240" w:lineRule="auto"/>
              <w:jc w:val="center"/>
              <w:rPr>
                <w:color w:val="auto"/>
                <w:sz w:val="21"/>
                <w:szCs w:val="21"/>
                <w:highlight w:val="none"/>
                <w:lang w:val="en-US" w:eastAsia="zh-CN"/>
              </w:rPr>
            </w:pPr>
          </w:p>
        </w:tc>
        <w:tc>
          <w:tcPr>
            <w:tcW w:w="1281" w:type="dxa"/>
            <w:vMerge w:val="restart"/>
            <w:tcBorders>
              <w:top w:val="single" w:color="auto" w:sz="2" w:space="0"/>
              <w:right w:val="single" w:color="auto" w:sz="2" w:space="0"/>
            </w:tcBorders>
            <w:noWrap w:val="0"/>
            <w:vAlign w:val="center"/>
          </w:tcPr>
          <w:p w14:paraId="6573476A">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病房/一般固废</w:t>
            </w:r>
          </w:p>
        </w:tc>
        <w:tc>
          <w:tcPr>
            <w:tcW w:w="1277" w:type="dxa"/>
            <w:tcBorders>
              <w:top w:val="single" w:color="auto" w:sz="2" w:space="0"/>
              <w:left w:val="single" w:color="auto" w:sz="2" w:space="0"/>
              <w:right w:val="single" w:color="auto" w:sz="2" w:space="0"/>
            </w:tcBorders>
            <w:noWrap w:val="0"/>
            <w:vAlign w:val="center"/>
          </w:tcPr>
          <w:p w14:paraId="5D9F19BE">
            <w:pPr>
              <w:pStyle w:val="33"/>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输液瓶（袋）</w:t>
            </w:r>
          </w:p>
        </w:tc>
        <w:tc>
          <w:tcPr>
            <w:tcW w:w="2115" w:type="dxa"/>
            <w:tcBorders>
              <w:top w:val="single" w:color="auto" w:sz="2" w:space="0"/>
              <w:left w:val="single" w:color="auto" w:sz="2" w:space="0"/>
              <w:right w:val="single" w:color="auto" w:sz="2" w:space="0"/>
            </w:tcBorders>
            <w:noWrap w:val="0"/>
            <w:vAlign w:val="center"/>
          </w:tcPr>
          <w:p w14:paraId="463F7E9D">
            <w:pPr>
              <w:pStyle w:val="33"/>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集中收集暂存于储物间，定期交由再生资源回收单位</w:t>
            </w:r>
          </w:p>
        </w:tc>
        <w:tc>
          <w:tcPr>
            <w:tcW w:w="2722" w:type="dxa"/>
            <w:vMerge w:val="restart"/>
            <w:tcBorders>
              <w:top w:val="single" w:color="auto" w:sz="2" w:space="0"/>
              <w:left w:val="single" w:color="auto" w:sz="2" w:space="0"/>
            </w:tcBorders>
            <w:noWrap w:val="0"/>
            <w:vAlign w:val="center"/>
          </w:tcPr>
          <w:p w14:paraId="5BEB8737">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均得到合理处理，不产生二次污染</w:t>
            </w:r>
          </w:p>
        </w:tc>
      </w:tr>
      <w:tr w14:paraId="28BA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1127" w:type="dxa"/>
            <w:vMerge w:val="continue"/>
            <w:noWrap w:val="0"/>
            <w:vAlign w:val="center"/>
          </w:tcPr>
          <w:p w14:paraId="6E1B9511">
            <w:pPr>
              <w:pStyle w:val="33"/>
              <w:spacing w:line="240" w:lineRule="auto"/>
              <w:jc w:val="center"/>
              <w:rPr>
                <w:color w:val="auto"/>
                <w:sz w:val="21"/>
                <w:szCs w:val="21"/>
                <w:highlight w:val="none"/>
                <w:lang w:val="en-US" w:eastAsia="zh-CN"/>
              </w:rPr>
            </w:pPr>
          </w:p>
        </w:tc>
        <w:tc>
          <w:tcPr>
            <w:tcW w:w="1281" w:type="dxa"/>
            <w:vMerge w:val="continue"/>
            <w:tcBorders>
              <w:right w:val="single" w:color="auto" w:sz="2" w:space="0"/>
            </w:tcBorders>
            <w:noWrap w:val="0"/>
            <w:vAlign w:val="center"/>
          </w:tcPr>
          <w:p w14:paraId="431C2D37">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1277" w:type="dxa"/>
            <w:tcBorders>
              <w:top w:val="single" w:color="auto" w:sz="2" w:space="0"/>
              <w:left w:val="single" w:color="auto" w:sz="2" w:space="0"/>
              <w:right w:val="single" w:color="auto" w:sz="2" w:space="0"/>
            </w:tcBorders>
            <w:noWrap w:val="0"/>
            <w:vAlign w:val="center"/>
          </w:tcPr>
          <w:p w14:paraId="2F44B1FD">
            <w:pPr>
              <w:pStyle w:val="33"/>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动物尸体</w:t>
            </w:r>
          </w:p>
        </w:tc>
        <w:tc>
          <w:tcPr>
            <w:tcW w:w="2115" w:type="dxa"/>
            <w:tcBorders>
              <w:top w:val="single" w:color="auto" w:sz="2" w:space="0"/>
              <w:left w:val="single" w:color="auto" w:sz="2" w:space="0"/>
              <w:right w:val="single" w:color="auto" w:sz="2" w:space="0"/>
            </w:tcBorders>
            <w:noWrap w:val="0"/>
            <w:vAlign w:val="center"/>
          </w:tcPr>
          <w:p w14:paraId="2ECA4E3B">
            <w:pPr>
              <w:pStyle w:val="33"/>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本项目运营过程中不负责处理动物尸体，</w:t>
            </w:r>
            <w:r>
              <w:rPr>
                <w:rFonts w:hint="eastAsia" w:cs="Times New Roman"/>
                <w:color w:val="auto"/>
                <w:sz w:val="21"/>
                <w:szCs w:val="21"/>
                <w:highlight w:val="none"/>
                <w:lang w:val="en-US" w:eastAsia="zh-CN"/>
              </w:rPr>
              <w:t>由客户自行带走依法处置</w:t>
            </w:r>
          </w:p>
        </w:tc>
        <w:tc>
          <w:tcPr>
            <w:tcW w:w="2722" w:type="dxa"/>
            <w:vMerge w:val="continue"/>
            <w:tcBorders>
              <w:left w:val="single" w:color="auto" w:sz="2" w:space="0"/>
            </w:tcBorders>
            <w:noWrap w:val="0"/>
            <w:vAlign w:val="center"/>
          </w:tcPr>
          <w:p w14:paraId="094E45A8">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r>
      <w:tr w14:paraId="716B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1127" w:type="dxa"/>
            <w:vMerge w:val="continue"/>
            <w:noWrap w:val="0"/>
            <w:vAlign w:val="center"/>
          </w:tcPr>
          <w:p w14:paraId="2BD6F9D5">
            <w:pPr>
              <w:pStyle w:val="33"/>
              <w:spacing w:line="240" w:lineRule="auto"/>
              <w:jc w:val="center"/>
              <w:rPr>
                <w:color w:val="auto"/>
                <w:sz w:val="21"/>
                <w:szCs w:val="21"/>
                <w:highlight w:val="none"/>
                <w:lang w:val="en-US" w:eastAsia="zh-CN"/>
              </w:rPr>
            </w:pPr>
          </w:p>
        </w:tc>
        <w:tc>
          <w:tcPr>
            <w:tcW w:w="1281" w:type="dxa"/>
            <w:tcBorders>
              <w:top w:val="single" w:color="auto" w:sz="2" w:space="0"/>
              <w:right w:val="single" w:color="auto" w:sz="2" w:space="0"/>
            </w:tcBorders>
            <w:noWrap w:val="0"/>
            <w:vAlign w:val="center"/>
          </w:tcPr>
          <w:p w14:paraId="1A726911">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bookmarkStart w:id="67" w:name="OLE_LINK71"/>
            <w:r>
              <w:rPr>
                <w:rFonts w:hint="eastAsia" w:cs="Times New Roman"/>
                <w:color w:val="auto"/>
                <w:sz w:val="21"/>
                <w:szCs w:val="21"/>
                <w:highlight w:val="none"/>
                <w:lang w:val="en-US" w:eastAsia="zh-CN"/>
              </w:rPr>
              <w:t>院区</w:t>
            </w:r>
            <w:r>
              <w:rPr>
                <w:rFonts w:hint="eastAsia" w:ascii="Times New Roman" w:hAnsi="Times New Roman" w:eastAsia="宋体" w:cs="Times New Roman"/>
                <w:color w:val="auto"/>
                <w:sz w:val="21"/>
                <w:szCs w:val="21"/>
                <w:highlight w:val="none"/>
                <w:lang w:val="en-US" w:eastAsia="zh-CN"/>
              </w:rPr>
              <w:t>/一般固废</w:t>
            </w:r>
            <w:bookmarkEnd w:id="67"/>
          </w:p>
        </w:tc>
        <w:tc>
          <w:tcPr>
            <w:tcW w:w="1277" w:type="dxa"/>
            <w:tcBorders>
              <w:top w:val="single" w:color="auto" w:sz="2" w:space="0"/>
              <w:left w:val="single" w:color="auto" w:sz="2" w:space="0"/>
              <w:right w:val="single" w:color="auto" w:sz="2" w:space="0"/>
            </w:tcBorders>
            <w:noWrap w:val="0"/>
            <w:vAlign w:val="center"/>
          </w:tcPr>
          <w:p w14:paraId="074DB441">
            <w:pPr>
              <w:pStyle w:val="33"/>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动物毛发及</w:t>
            </w:r>
            <w:r>
              <w:rPr>
                <w:rFonts w:hint="eastAsia" w:cs="Times New Roman"/>
                <w:color w:val="auto"/>
                <w:sz w:val="21"/>
                <w:szCs w:val="21"/>
                <w:highlight w:val="none"/>
                <w:lang w:val="en-US" w:eastAsia="zh-CN"/>
              </w:rPr>
              <w:t>健康</w:t>
            </w:r>
            <w:r>
              <w:rPr>
                <w:rFonts w:hint="default" w:ascii="宋体" w:hAnsi="宋体" w:eastAsia="宋体" w:cs="宋体"/>
                <w:color w:val="auto"/>
                <w:sz w:val="21"/>
                <w:szCs w:val="21"/>
                <w:lang w:val="en-US" w:eastAsia="zh-CN"/>
              </w:rPr>
              <w:t>宠物粪便</w:t>
            </w:r>
            <w:r>
              <w:rPr>
                <w:rFonts w:hint="eastAsia" w:ascii="宋体" w:hAnsi="宋体" w:eastAsia="宋体" w:cs="宋体"/>
                <w:color w:val="auto"/>
                <w:sz w:val="21"/>
                <w:szCs w:val="21"/>
                <w:lang w:val="en-US" w:eastAsia="zh-CN"/>
              </w:rPr>
              <w:t>及猫砂</w:t>
            </w:r>
          </w:p>
        </w:tc>
        <w:tc>
          <w:tcPr>
            <w:tcW w:w="2115" w:type="dxa"/>
            <w:vMerge w:val="restart"/>
            <w:tcBorders>
              <w:top w:val="single" w:color="auto" w:sz="2" w:space="0"/>
              <w:left w:val="single" w:color="auto" w:sz="2" w:space="0"/>
              <w:right w:val="single" w:color="auto" w:sz="2" w:space="0"/>
            </w:tcBorders>
            <w:noWrap w:val="0"/>
            <w:vAlign w:val="center"/>
          </w:tcPr>
          <w:p w14:paraId="679CA15A">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分类集中收集后统一由环卫部门定时清运至垃圾填埋场集中处置</w:t>
            </w:r>
          </w:p>
        </w:tc>
        <w:tc>
          <w:tcPr>
            <w:tcW w:w="2722" w:type="dxa"/>
            <w:vMerge w:val="restart"/>
            <w:tcBorders>
              <w:top w:val="single" w:color="auto" w:sz="2" w:space="0"/>
              <w:left w:val="single" w:color="auto" w:sz="2" w:space="0"/>
            </w:tcBorders>
            <w:noWrap w:val="0"/>
            <w:vAlign w:val="center"/>
          </w:tcPr>
          <w:p w14:paraId="37887C35">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一般固体废物贮存满足防渗漏、防雨淋、防扬尘等环境保护要求。</w:t>
            </w:r>
          </w:p>
        </w:tc>
      </w:tr>
      <w:tr w14:paraId="74DD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1127" w:type="dxa"/>
            <w:vMerge w:val="continue"/>
            <w:noWrap w:val="0"/>
            <w:vAlign w:val="center"/>
          </w:tcPr>
          <w:p w14:paraId="50D0F964">
            <w:pPr>
              <w:pStyle w:val="33"/>
              <w:spacing w:line="240" w:lineRule="auto"/>
              <w:jc w:val="center"/>
              <w:rPr>
                <w:color w:val="auto"/>
                <w:sz w:val="21"/>
                <w:szCs w:val="21"/>
                <w:highlight w:val="none"/>
                <w:lang w:val="en-US" w:eastAsia="zh-CN"/>
              </w:rPr>
            </w:pPr>
          </w:p>
        </w:tc>
        <w:tc>
          <w:tcPr>
            <w:tcW w:w="1281" w:type="dxa"/>
            <w:tcBorders>
              <w:top w:val="single" w:color="auto" w:sz="2" w:space="0"/>
              <w:right w:val="single" w:color="auto" w:sz="2" w:space="0"/>
            </w:tcBorders>
            <w:noWrap w:val="0"/>
            <w:vAlign w:val="center"/>
          </w:tcPr>
          <w:p w14:paraId="41252FA4">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员工生活区/一般固废</w:t>
            </w:r>
          </w:p>
        </w:tc>
        <w:tc>
          <w:tcPr>
            <w:tcW w:w="1277" w:type="dxa"/>
            <w:tcBorders>
              <w:top w:val="single" w:color="auto" w:sz="2" w:space="0"/>
              <w:left w:val="single" w:color="auto" w:sz="2" w:space="0"/>
              <w:right w:val="single" w:color="auto" w:sz="2" w:space="0"/>
            </w:tcBorders>
            <w:noWrap w:val="0"/>
            <w:vAlign w:val="center"/>
          </w:tcPr>
          <w:p w14:paraId="247000CB">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生活垃圾</w:t>
            </w:r>
          </w:p>
        </w:tc>
        <w:tc>
          <w:tcPr>
            <w:tcW w:w="2115" w:type="dxa"/>
            <w:vMerge w:val="continue"/>
            <w:tcBorders>
              <w:left w:val="single" w:color="auto" w:sz="2" w:space="0"/>
              <w:right w:val="single" w:color="auto" w:sz="2" w:space="0"/>
            </w:tcBorders>
            <w:noWrap w:val="0"/>
            <w:vAlign w:val="center"/>
          </w:tcPr>
          <w:p w14:paraId="26E984BE">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2722" w:type="dxa"/>
            <w:vMerge w:val="continue"/>
            <w:tcBorders>
              <w:left w:val="single" w:color="auto" w:sz="2" w:space="0"/>
            </w:tcBorders>
            <w:noWrap w:val="0"/>
            <w:vAlign w:val="center"/>
          </w:tcPr>
          <w:p w14:paraId="7DF455CB">
            <w:pPr>
              <w:pStyle w:val="33"/>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r>
      <w:tr w14:paraId="0CF9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atLeast"/>
          <w:jc w:val="center"/>
        </w:trPr>
        <w:tc>
          <w:tcPr>
            <w:tcW w:w="1127" w:type="dxa"/>
            <w:noWrap w:val="0"/>
            <w:vAlign w:val="center"/>
          </w:tcPr>
          <w:p w14:paraId="0EAAE29E">
            <w:pPr>
              <w:pStyle w:val="33"/>
              <w:snapToGrid w:val="0"/>
              <w:spacing w:line="240" w:lineRule="auto"/>
              <w:jc w:val="center"/>
              <w:rPr>
                <w:color w:val="auto"/>
                <w:sz w:val="21"/>
                <w:szCs w:val="21"/>
                <w:lang w:val="en-US" w:eastAsia="zh-CN"/>
              </w:rPr>
            </w:pPr>
            <w:r>
              <w:rPr>
                <w:color w:val="auto"/>
                <w:sz w:val="21"/>
                <w:szCs w:val="21"/>
                <w:lang w:val="en-US"/>
              </w:rPr>
              <w:t>土壤及地下水污染防治措施</w:t>
            </w:r>
          </w:p>
        </w:tc>
        <w:tc>
          <w:tcPr>
            <w:tcW w:w="7395" w:type="dxa"/>
            <w:gridSpan w:val="4"/>
            <w:noWrap w:val="0"/>
            <w:vAlign w:val="center"/>
          </w:tcPr>
          <w:p w14:paraId="42D05D03">
            <w:pPr>
              <w:pStyle w:val="29"/>
              <w:bidi w:val="0"/>
              <w:rPr>
                <w:rFonts w:hint="eastAsia" w:ascii="Times New Roman" w:hAnsi="Times New Roman" w:eastAsia="宋体" w:cs="Times New Roman"/>
                <w:color w:val="auto"/>
                <w:sz w:val="21"/>
                <w:szCs w:val="21"/>
                <w:highlight w:val="none"/>
                <w:lang w:eastAsia="zh-CN"/>
              </w:rPr>
            </w:pPr>
            <w:r>
              <w:rPr>
                <w:color w:val="auto"/>
                <w:sz w:val="21"/>
                <w:szCs w:val="21"/>
              </w:rPr>
              <w:t>本项目位于城市建成区，项目区及周边</w:t>
            </w:r>
            <w:r>
              <w:rPr>
                <w:rFonts w:hint="eastAsia"/>
                <w:color w:val="auto"/>
                <w:sz w:val="21"/>
                <w:szCs w:val="21"/>
                <w:lang w:val="en-US" w:eastAsia="zh-CN"/>
              </w:rPr>
              <w:t>大</w:t>
            </w:r>
            <w:r>
              <w:rPr>
                <w:color w:val="auto"/>
                <w:sz w:val="21"/>
                <w:szCs w:val="21"/>
              </w:rPr>
              <w:t>多是住宅和商业区，不涉及基本农田，且本项目为租赁现有商铺，地面均已做硬化处理；项目建成后</w:t>
            </w:r>
            <w:r>
              <w:rPr>
                <w:rFonts w:hint="eastAsia"/>
                <w:color w:val="auto"/>
                <w:sz w:val="21"/>
                <w:szCs w:val="21"/>
                <w:lang w:eastAsia="zh-CN"/>
              </w:rPr>
              <w:t>危险废物贮存间</w:t>
            </w:r>
            <w:r>
              <w:rPr>
                <w:color w:val="auto"/>
                <w:sz w:val="21"/>
                <w:szCs w:val="21"/>
              </w:rPr>
              <w:t>内地面采取防渗和防腐措施，医疗废物包装于专用袋或盒内，置于专用塑料桶中；污水处理设施位于地上，地面硬化且铺设地</w:t>
            </w:r>
            <w:r>
              <w:rPr>
                <w:rFonts w:hint="eastAsia"/>
                <w:color w:val="auto"/>
                <w:sz w:val="21"/>
                <w:szCs w:val="21"/>
                <w:lang w:val="en-US" w:eastAsia="zh-CN"/>
              </w:rPr>
              <w:t>砖</w:t>
            </w:r>
            <w:r>
              <w:rPr>
                <w:color w:val="auto"/>
                <w:sz w:val="21"/>
                <w:szCs w:val="21"/>
              </w:rPr>
              <w:t>，故本项目不存在地下水、土壤环境污染途径，不会对土壤及地下水造成污染</w:t>
            </w:r>
            <w:r>
              <w:rPr>
                <w:rFonts w:hint="eastAsia"/>
                <w:color w:val="auto"/>
                <w:sz w:val="21"/>
                <w:szCs w:val="21"/>
                <w:lang w:eastAsia="zh-CN"/>
              </w:rPr>
              <w:t>。</w:t>
            </w:r>
          </w:p>
        </w:tc>
      </w:tr>
      <w:tr w14:paraId="3403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1127" w:type="dxa"/>
            <w:noWrap w:val="0"/>
            <w:vAlign w:val="center"/>
          </w:tcPr>
          <w:p w14:paraId="1EE50BBD">
            <w:pPr>
              <w:widowControl w:val="0"/>
              <w:autoSpaceDE w:val="0"/>
              <w:autoSpaceDN w:val="0"/>
              <w:adjustRightInd w:val="0"/>
              <w:snapToGrid w:val="0"/>
              <w:spacing w:line="240" w:lineRule="auto"/>
              <w:ind w:firstLine="0" w:firstLineChars="0"/>
              <w:jc w:val="center"/>
              <w:rPr>
                <w:color w:val="auto"/>
                <w:sz w:val="21"/>
                <w:szCs w:val="21"/>
                <w:lang w:eastAsia="zh-CN"/>
              </w:rPr>
            </w:pPr>
            <w:r>
              <w:rPr>
                <w:color w:val="auto"/>
                <w:sz w:val="21"/>
                <w:szCs w:val="21"/>
                <w:highlight w:val="none"/>
              </w:rPr>
              <w:t>生态保护措施</w:t>
            </w:r>
          </w:p>
        </w:tc>
        <w:tc>
          <w:tcPr>
            <w:tcW w:w="7395" w:type="dxa"/>
            <w:gridSpan w:val="4"/>
            <w:noWrap w:val="0"/>
            <w:vAlign w:val="center"/>
          </w:tcPr>
          <w:p w14:paraId="7741B833">
            <w:pPr>
              <w:widowControl w:val="0"/>
              <w:autoSpaceDE w:val="0"/>
              <w:autoSpaceDN w:val="0"/>
              <w:adjustRightInd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本项目营业场所为租赁已建好的商业用房，基本不会改变周围生态环境现状</w:t>
            </w:r>
            <w:r>
              <w:rPr>
                <w:rFonts w:hint="eastAsia" w:ascii="Times New Roman" w:hAnsi="Times New Roman" w:eastAsia="宋体" w:cs="Times New Roman"/>
                <w:color w:val="auto"/>
                <w:sz w:val="21"/>
                <w:szCs w:val="21"/>
                <w:highlight w:val="none"/>
                <w:lang w:eastAsia="zh-CN"/>
              </w:rPr>
              <w:t>。</w:t>
            </w:r>
          </w:p>
        </w:tc>
      </w:tr>
      <w:tr w14:paraId="669B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1127" w:type="dxa"/>
            <w:noWrap w:val="0"/>
            <w:vAlign w:val="center"/>
          </w:tcPr>
          <w:p w14:paraId="7896860D">
            <w:pPr>
              <w:pStyle w:val="33"/>
              <w:snapToGrid w:val="0"/>
              <w:spacing w:line="240" w:lineRule="auto"/>
              <w:jc w:val="center"/>
              <w:rPr>
                <w:color w:val="auto"/>
                <w:sz w:val="21"/>
                <w:szCs w:val="21"/>
                <w:lang w:val="en-US" w:eastAsia="zh-CN"/>
              </w:rPr>
            </w:pPr>
            <w:r>
              <w:rPr>
                <w:color w:val="auto"/>
                <w:sz w:val="21"/>
                <w:szCs w:val="21"/>
                <w:lang w:val="en-US"/>
              </w:rPr>
              <w:t>环境风险防范措施</w:t>
            </w:r>
          </w:p>
        </w:tc>
        <w:tc>
          <w:tcPr>
            <w:tcW w:w="7395" w:type="dxa"/>
            <w:gridSpan w:val="4"/>
            <w:noWrap w:val="0"/>
            <w:vAlign w:val="center"/>
          </w:tcPr>
          <w:p w14:paraId="0ACB93D1">
            <w:pPr>
              <w:pStyle w:val="29"/>
              <w:bidi w:val="0"/>
              <w:rPr>
                <w:color w:val="auto"/>
                <w:sz w:val="21"/>
                <w:szCs w:val="21"/>
              </w:rPr>
            </w:pPr>
            <w:r>
              <w:rPr>
                <w:rFonts w:hint="eastAsia"/>
                <w:color w:val="auto"/>
                <w:sz w:val="21"/>
                <w:szCs w:val="21"/>
                <w:lang w:eastAsia="zh-CN"/>
              </w:rPr>
              <w:t>1.</w:t>
            </w:r>
            <w:r>
              <w:rPr>
                <w:color w:val="auto"/>
                <w:sz w:val="21"/>
                <w:szCs w:val="21"/>
              </w:rPr>
              <w:t>医疗废弃物均作为危险废物委托具有相应类别的危险废物处理单位处置。</w:t>
            </w:r>
          </w:p>
          <w:p w14:paraId="32293544">
            <w:pPr>
              <w:pStyle w:val="29"/>
              <w:bidi w:val="0"/>
              <w:rPr>
                <w:color w:val="auto"/>
                <w:sz w:val="21"/>
                <w:szCs w:val="21"/>
              </w:rPr>
            </w:pPr>
            <w:r>
              <w:rPr>
                <w:rFonts w:hint="eastAsia"/>
                <w:color w:val="auto"/>
                <w:sz w:val="21"/>
                <w:szCs w:val="21"/>
                <w:lang w:eastAsia="zh-CN"/>
              </w:rPr>
              <w:t>2.</w:t>
            </w:r>
            <w:r>
              <w:rPr>
                <w:color w:val="auto"/>
                <w:sz w:val="21"/>
                <w:szCs w:val="21"/>
              </w:rPr>
              <w:t>严格管理危险化学品，设置警示标牌，规范管理，落实防火、防爆设计要求，配备足够的消防器材；</w:t>
            </w:r>
          </w:p>
          <w:p w14:paraId="03E2A3B1">
            <w:pPr>
              <w:pStyle w:val="29"/>
              <w:bidi w:val="0"/>
              <w:rPr>
                <w:color w:val="auto"/>
                <w:sz w:val="21"/>
                <w:szCs w:val="21"/>
              </w:rPr>
            </w:pPr>
            <w:r>
              <w:rPr>
                <w:rFonts w:hint="eastAsia"/>
                <w:color w:val="auto"/>
                <w:sz w:val="21"/>
                <w:szCs w:val="21"/>
                <w:lang w:eastAsia="zh-CN"/>
              </w:rPr>
              <w:t>3.</w:t>
            </w:r>
            <w:r>
              <w:rPr>
                <w:color w:val="auto"/>
                <w:sz w:val="21"/>
                <w:szCs w:val="21"/>
              </w:rPr>
              <w:t>在医废</w:t>
            </w:r>
            <w:r>
              <w:rPr>
                <w:rFonts w:hint="eastAsia"/>
                <w:color w:val="auto"/>
                <w:sz w:val="21"/>
                <w:szCs w:val="21"/>
                <w:lang w:eastAsia="zh-CN"/>
              </w:rPr>
              <w:t>贮存间</w:t>
            </w:r>
            <w:r>
              <w:rPr>
                <w:color w:val="auto"/>
                <w:sz w:val="21"/>
                <w:szCs w:val="21"/>
              </w:rPr>
              <w:t>内设置可用于收集泄漏物的材料和容器，避免因试剂泄漏引起火灾、爆炸等环境风险事故发生；</w:t>
            </w:r>
          </w:p>
          <w:p w14:paraId="5914C78A">
            <w:pPr>
              <w:pStyle w:val="29"/>
              <w:bidi w:val="0"/>
              <w:rPr>
                <w:color w:val="auto"/>
                <w:sz w:val="21"/>
                <w:szCs w:val="21"/>
              </w:rPr>
            </w:pPr>
            <w:r>
              <w:rPr>
                <w:rFonts w:hint="eastAsia"/>
                <w:color w:val="auto"/>
                <w:sz w:val="21"/>
                <w:szCs w:val="21"/>
                <w:lang w:eastAsia="zh-CN"/>
              </w:rPr>
              <w:t>4.</w:t>
            </w:r>
            <w:r>
              <w:rPr>
                <w:color w:val="auto"/>
                <w:sz w:val="21"/>
                <w:szCs w:val="21"/>
              </w:rPr>
              <w:t>加强</w:t>
            </w:r>
            <w:r>
              <w:rPr>
                <w:rFonts w:hint="eastAsia"/>
                <w:color w:val="auto"/>
                <w:sz w:val="21"/>
                <w:szCs w:val="21"/>
                <w:lang w:val="en-US" w:eastAsia="zh-CN"/>
              </w:rPr>
              <w:t>一体化污水处理设施</w:t>
            </w:r>
            <w:r>
              <w:rPr>
                <w:color w:val="auto"/>
                <w:sz w:val="21"/>
                <w:szCs w:val="21"/>
              </w:rPr>
              <w:t>药品管理，</w:t>
            </w:r>
            <w:r>
              <w:rPr>
                <w:rFonts w:hint="eastAsia"/>
                <w:color w:val="auto"/>
                <w:sz w:val="21"/>
                <w:szCs w:val="21"/>
                <w:lang w:val="en-US" w:eastAsia="zh-CN"/>
              </w:rPr>
              <w:t>一体化污水处理设施</w:t>
            </w:r>
            <w:r>
              <w:rPr>
                <w:color w:val="auto"/>
                <w:sz w:val="21"/>
                <w:szCs w:val="21"/>
              </w:rPr>
              <w:t>定期检修，设置事故应急池，防止事故废水排放；</w:t>
            </w:r>
          </w:p>
          <w:p w14:paraId="63BD1E1F">
            <w:pPr>
              <w:pStyle w:val="29"/>
              <w:bidi w:val="0"/>
              <w:rPr>
                <w:color w:val="auto"/>
                <w:sz w:val="21"/>
                <w:szCs w:val="21"/>
              </w:rPr>
            </w:pPr>
            <w:r>
              <w:rPr>
                <w:rFonts w:hint="eastAsia"/>
                <w:color w:val="auto"/>
                <w:sz w:val="21"/>
                <w:szCs w:val="21"/>
                <w:lang w:eastAsia="zh-CN"/>
              </w:rPr>
              <w:t>5.</w:t>
            </w:r>
            <w:r>
              <w:rPr>
                <w:color w:val="auto"/>
                <w:sz w:val="21"/>
                <w:szCs w:val="21"/>
              </w:rPr>
              <w:t>严格执行环评及相关法律法规要求，定期开展设备维护，保证其有效运行和去除效率；制定环境风险应急预案；</w:t>
            </w:r>
          </w:p>
          <w:p w14:paraId="66E149AD">
            <w:pPr>
              <w:pStyle w:val="29"/>
              <w:bidi w:val="0"/>
              <w:rPr>
                <w:color w:val="auto"/>
                <w:sz w:val="21"/>
                <w:szCs w:val="21"/>
                <w:lang w:eastAsia="zh-CN"/>
              </w:rPr>
            </w:pPr>
            <w:r>
              <w:rPr>
                <w:rFonts w:hint="eastAsia"/>
                <w:color w:val="auto"/>
                <w:sz w:val="21"/>
                <w:szCs w:val="21"/>
                <w:lang w:val="en-US" w:eastAsia="zh-CN"/>
              </w:rPr>
              <w:t>6.</w:t>
            </w:r>
            <w:r>
              <w:rPr>
                <w:color w:val="auto"/>
                <w:sz w:val="21"/>
                <w:szCs w:val="21"/>
              </w:rPr>
              <w:t>预防可能产生的生物安全污染事故，发生后及时采取应急措施，对现场进行消毒和人员隔离</w:t>
            </w:r>
            <w:r>
              <w:rPr>
                <w:rFonts w:hint="eastAsia"/>
                <w:color w:val="auto"/>
                <w:sz w:val="21"/>
                <w:szCs w:val="21"/>
                <w:lang w:val="en-US" w:eastAsia="zh-CN"/>
              </w:rPr>
              <w:t>观察等。</w:t>
            </w:r>
          </w:p>
        </w:tc>
      </w:tr>
      <w:tr w14:paraId="33F2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9" w:hRule="atLeast"/>
          <w:jc w:val="center"/>
        </w:trPr>
        <w:tc>
          <w:tcPr>
            <w:tcW w:w="1127" w:type="dxa"/>
            <w:noWrap w:val="0"/>
            <w:vAlign w:val="center"/>
          </w:tcPr>
          <w:p w14:paraId="169DD2F2">
            <w:pPr>
              <w:pStyle w:val="33"/>
              <w:spacing w:line="240" w:lineRule="auto"/>
              <w:jc w:val="center"/>
              <w:rPr>
                <w:color w:val="auto"/>
                <w:sz w:val="21"/>
                <w:szCs w:val="21"/>
                <w:lang w:val="en-US" w:eastAsia="zh-CN"/>
              </w:rPr>
            </w:pPr>
            <w:r>
              <w:rPr>
                <w:color w:val="auto"/>
                <w:sz w:val="21"/>
                <w:szCs w:val="21"/>
                <w:lang w:val="en-US"/>
              </w:rPr>
              <w:t>其他环境管理要求</w:t>
            </w:r>
          </w:p>
        </w:tc>
        <w:tc>
          <w:tcPr>
            <w:tcW w:w="7395" w:type="dxa"/>
            <w:gridSpan w:val="4"/>
            <w:noWrap w:val="0"/>
            <w:vAlign w:val="center"/>
          </w:tcPr>
          <w:p w14:paraId="7F188667">
            <w:pPr>
              <w:pStyle w:val="3"/>
              <w:bidi w:val="0"/>
              <w:rPr>
                <w:color w:val="auto"/>
                <w:sz w:val="21"/>
                <w:szCs w:val="21"/>
                <w:lang w:eastAsia="zh-CN"/>
              </w:rPr>
            </w:pPr>
            <w:bookmarkStart w:id="68" w:name="OLE_LINK54"/>
            <w:r>
              <w:rPr>
                <w:rFonts w:hint="eastAsia"/>
                <w:color w:val="auto"/>
                <w:sz w:val="21"/>
                <w:szCs w:val="21"/>
                <w:lang w:val="en-US" w:eastAsia="zh-CN"/>
              </w:rPr>
              <w:t>5.1</w:t>
            </w:r>
            <w:r>
              <w:rPr>
                <w:color w:val="auto"/>
                <w:sz w:val="21"/>
                <w:szCs w:val="21"/>
                <w:lang w:eastAsia="zh-CN"/>
              </w:rPr>
              <w:t>、排污口规范化管理</w:t>
            </w:r>
          </w:p>
          <w:bookmarkEnd w:id="68"/>
          <w:p w14:paraId="2822CB34">
            <w:pPr>
              <w:pStyle w:val="29"/>
              <w:bidi w:val="0"/>
              <w:rPr>
                <w:color w:val="auto"/>
                <w:sz w:val="21"/>
                <w:szCs w:val="21"/>
              </w:rPr>
            </w:pPr>
            <w:r>
              <w:rPr>
                <w:color w:val="auto"/>
                <w:sz w:val="21"/>
                <w:szCs w:val="21"/>
              </w:rPr>
              <w:t>企</w:t>
            </w:r>
            <w:r>
              <w:rPr>
                <w:rFonts w:ascii="Times New Roman" w:hAnsi="Times New Roman" w:eastAsia="宋体" w:cs="Times New Roman"/>
                <w:color w:val="auto"/>
                <w:sz w:val="21"/>
                <w:szCs w:val="21"/>
              </w:rPr>
              <w:t>业污染物排放口的标志，应按国家</w:t>
            </w:r>
            <w:r>
              <w:rPr>
                <w:rFonts w:hint="eastAsia" w:ascii="Times New Roman" w:hAnsi="Times New Roman" w:eastAsia="宋体" w:cs="Times New Roman"/>
                <w:color w:val="auto"/>
                <w:sz w:val="21"/>
                <w:szCs w:val="21"/>
                <w:lang w:val="en-US" w:eastAsia="zh-CN"/>
              </w:rPr>
              <w:t>《排污单位污染物排放口二维码标识技术规范》（HJ1297—2023）《危险废物识别标志设置技术规范》（HJ1276—2022）环境保护图形标志——排放口（源）（GB15562.1-1995）和《环境保护图形标志—固体废物贮存（处置）场》（GB15562.2-1995）修改单</w:t>
            </w:r>
            <w:r>
              <w:rPr>
                <w:rFonts w:ascii="Times New Roman" w:hAnsi="Times New Roman" w:eastAsia="宋体" w:cs="Times New Roman"/>
                <w:color w:val="auto"/>
                <w:sz w:val="21"/>
                <w:szCs w:val="21"/>
              </w:rPr>
              <w:t>的规定，设置</w:t>
            </w:r>
            <w:r>
              <w:rPr>
                <w:rFonts w:hint="eastAsia" w:ascii="Times New Roman" w:hAnsi="Times New Roman" w:eastAsia="宋体" w:cs="Times New Roman"/>
                <w:color w:val="auto"/>
                <w:sz w:val="21"/>
                <w:szCs w:val="21"/>
                <w:lang w:val="en-US" w:eastAsia="zh-CN"/>
              </w:rPr>
              <w:t>生态环境</w:t>
            </w:r>
            <w:r>
              <w:rPr>
                <w:rFonts w:ascii="Times New Roman" w:hAnsi="Times New Roman" w:eastAsia="宋体" w:cs="Times New Roman"/>
                <w:color w:val="auto"/>
                <w:sz w:val="21"/>
                <w:szCs w:val="21"/>
              </w:rPr>
              <w:t>部统一制作的环境保护图形标志牌</w:t>
            </w:r>
            <w:r>
              <w:rPr>
                <w:color w:val="auto"/>
                <w:sz w:val="21"/>
                <w:szCs w:val="21"/>
              </w:rPr>
              <w:t>。</w:t>
            </w:r>
          </w:p>
          <w:p w14:paraId="4976A031">
            <w:pPr>
              <w:pStyle w:val="29"/>
              <w:bidi w:val="0"/>
              <w:rPr>
                <w:color w:val="auto"/>
                <w:sz w:val="21"/>
                <w:szCs w:val="21"/>
              </w:rPr>
            </w:pPr>
            <w:r>
              <w:rPr>
                <w:color w:val="auto"/>
                <w:sz w:val="21"/>
                <w:szCs w:val="21"/>
              </w:rPr>
              <w:t>环境保护图形符号见表5-1。</w:t>
            </w:r>
          </w:p>
          <w:p w14:paraId="5195E17D">
            <w:pPr>
              <w:pStyle w:val="22"/>
              <w:bidi w:val="0"/>
              <w:rPr>
                <w:color w:val="auto"/>
                <w:sz w:val="21"/>
                <w:szCs w:val="21"/>
                <w:lang w:eastAsia="zh-CN"/>
              </w:rPr>
            </w:pPr>
            <w:r>
              <w:rPr>
                <w:color w:val="auto"/>
                <w:sz w:val="21"/>
                <w:szCs w:val="21"/>
                <w:lang w:eastAsia="zh-CN"/>
              </w:rPr>
              <w:t>表5-1建设项目环境保护图形符号表</w:t>
            </w:r>
          </w:p>
          <w:tbl>
            <w:tblPr>
              <w:tblStyle w:val="14"/>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37"/>
              <w:gridCol w:w="2099"/>
              <w:gridCol w:w="1685"/>
              <w:gridCol w:w="2454"/>
            </w:tblGrid>
            <w:tr w14:paraId="2A9B7D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12" w:space="0"/>
                    <w:left w:val="nil"/>
                    <w:bottom w:val="single" w:color="auto" w:sz="12" w:space="0"/>
                    <w:right w:val="single" w:color="auto" w:sz="6" w:space="0"/>
                  </w:tcBorders>
                  <w:noWrap w:val="0"/>
                  <w:vAlign w:val="center"/>
                </w:tcPr>
                <w:p w14:paraId="58CAD35A">
                  <w:pPr>
                    <w:pStyle w:val="35"/>
                    <w:rPr>
                      <w:rFonts w:ascii="Times New Roman" w:hAnsi="Times New Roman"/>
                      <w:b/>
                      <w:color w:val="auto"/>
                      <w:sz w:val="21"/>
                      <w:szCs w:val="21"/>
                      <w:lang w:val="en-US" w:eastAsia="zh-CN"/>
                    </w:rPr>
                  </w:pPr>
                  <w:r>
                    <w:rPr>
                      <w:rFonts w:ascii="Times New Roman" w:hAnsi="Times New Roman"/>
                      <w:b/>
                      <w:color w:val="auto"/>
                      <w:sz w:val="21"/>
                      <w:szCs w:val="21"/>
                      <w:lang w:val="en-US" w:eastAsia="zh-CN"/>
                    </w:rPr>
                    <w:t>序号</w:t>
                  </w:r>
                </w:p>
              </w:tc>
              <w:tc>
                <w:tcPr>
                  <w:tcW w:w="1462" w:type="pct"/>
                  <w:tcBorders>
                    <w:top w:val="single" w:color="auto" w:sz="12" w:space="0"/>
                    <w:left w:val="single" w:color="auto" w:sz="6" w:space="0"/>
                    <w:bottom w:val="single" w:color="auto" w:sz="12" w:space="0"/>
                    <w:right w:val="single" w:color="auto" w:sz="6" w:space="0"/>
                  </w:tcBorders>
                  <w:noWrap w:val="0"/>
                  <w:vAlign w:val="center"/>
                </w:tcPr>
                <w:p w14:paraId="3D424368">
                  <w:pPr>
                    <w:pStyle w:val="35"/>
                    <w:rPr>
                      <w:rFonts w:ascii="Times New Roman" w:hAnsi="Times New Roman"/>
                      <w:b/>
                      <w:color w:val="auto"/>
                      <w:sz w:val="21"/>
                      <w:szCs w:val="21"/>
                      <w:lang w:val="en-US" w:eastAsia="zh-CN"/>
                    </w:rPr>
                  </w:pPr>
                  <w:r>
                    <w:rPr>
                      <w:rFonts w:ascii="Times New Roman" w:hAnsi="Times New Roman"/>
                      <w:b/>
                      <w:color w:val="auto"/>
                      <w:sz w:val="21"/>
                      <w:szCs w:val="21"/>
                      <w:lang w:val="en-US" w:eastAsia="zh-CN"/>
                    </w:rPr>
                    <w:t>提示图形符号</w:t>
                  </w:r>
                </w:p>
              </w:tc>
              <w:tc>
                <w:tcPr>
                  <w:tcW w:w="1174" w:type="pct"/>
                  <w:tcBorders>
                    <w:top w:val="single" w:color="auto" w:sz="12" w:space="0"/>
                    <w:left w:val="single" w:color="auto" w:sz="6" w:space="0"/>
                    <w:bottom w:val="single" w:color="auto" w:sz="12" w:space="0"/>
                    <w:right w:val="single" w:color="auto" w:sz="6" w:space="0"/>
                  </w:tcBorders>
                  <w:noWrap w:val="0"/>
                  <w:vAlign w:val="center"/>
                </w:tcPr>
                <w:p w14:paraId="5592AAEE">
                  <w:pPr>
                    <w:pStyle w:val="35"/>
                    <w:rPr>
                      <w:rFonts w:ascii="Times New Roman" w:hAnsi="Times New Roman"/>
                      <w:b/>
                      <w:color w:val="auto"/>
                      <w:sz w:val="21"/>
                      <w:szCs w:val="21"/>
                      <w:lang w:val="en-US" w:eastAsia="zh-CN"/>
                    </w:rPr>
                  </w:pPr>
                  <w:r>
                    <w:rPr>
                      <w:rFonts w:ascii="Times New Roman" w:hAnsi="Times New Roman"/>
                      <w:b/>
                      <w:color w:val="auto"/>
                      <w:sz w:val="21"/>
                      <w:szCs w:val="21"/>
                      <w:lang w:val="en-US" w:eastAsia="zh-CN"/>
                    </w:rPr>
                    <w:t>名称</w:t>
                  </w:r>
                </w:p>
              </w:tc>
              <w:tc>
                <w:tcPr>
                  <w:tcW w:w="1709" w:type="pct"/>
                  <w:tcBorders>
                    <w:top w:val="single" w:color="auto" w:sz="12" w:space="0"/>
                    <w:left w:val="single" w:color="auto" w:sz="6" w:space="0"/>
                    <w:bottom w:val="single" w:color="auto" w:sz="12" w:space="0"/>
                    <w:right w:val="nil"/>
                  </w:tcBorders>
                  <w:noWrap w:val="0"/>
                  <w:vAlign w:val="center"/>
                </w:tcPr>
                <w:p w14:paraId="3BEEADD2">
                  <w:pPr>
                    <w:pStyle w:val="35"/>
                    <w:rPr>
                      <w:rFonts w:ascii="Times New Roman" w:hAnsi="Times New Roman"/>
                      <w:b/>
                      <w:color w:val="auto"/>
                      <w:sz w:val="21"/>
                      <w:szCs w:val="21"/>
                      <w:lang w:val="en-US" w:eastAsia="zh-CN"/>
                    </w:rPr>
                  </w:pPr>
                  <w:r>
                    <w:rPr>
                      <w:rFonts w:ascii="Times New Roman" w:hAnsi="Times New Roman"/>
                      <w:b/>
                      <w:color w:val="auto"/>
                      <w:sz w:val="21"/>
                      <w:szCs w:val="21"/>
                      <w:lang w:val="en-US" w:eastAsia="zh-CN"/>
                    </w:rPr>
                    <w:t>功能</w:t>
                  </w:r>
                </w:p>
              </w:tc>
            </w:tr>
            <w:tr w14:paraId="426EC8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25B2BBAB">
                  <w:pPr>
                    <w:pStyle w:val="35"/>
                    <w:rPr>
                      <w:rFonts w:ascii="Times New Roman" w:hAnsi="Times New Roman"/>
                      <w:color w:val="auto"/>
                      <w:sz w:val="21"/>
                      <w:szCs w:val="21"/>
                      <w:lang w:val="en-US" w:eastAsia="zh-CN"/>
                    </w:rPr>
                  </w:pPr>
                  <w:r>
                    <w:rPr>
                      <w:rFonts w:hint="eastAsia" w:ascii="Times New Roman" w:hAnsi="Times New Roman"/>
                      <w:color w:val="auto"/>
                      <w:sz w:val="21"/>
                      <w:szCs w:val="21"/>
                      <w:lang w:val="en-US" w:eastAsia="zh-CN"/>
                    </w:rPr>
                    <w:t>1</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2E3D654C">
                  <w:pPr>
                    <w:pStyle w:val="35"/>
                    <w:rPr>
                      <w:rFonts w:ascii="Times New Roman" w:hAnsi="Times New Roman"/>
                      <w:color w:val="auto"/>
                      <w:sz w:val="21"/>
                      <w:szCs w:val="21"/>
                      <w:lang w:val="en-US" w:eastAsia="zh-CN"/>
                    </w:rPr>
                  </w:pPr>
                  <w:r>
                    <w:rPr>
                      <w:rFonts w:ascii="Times New Roman" w:hAnsi="Times New Roman"/>
                      <w:color w:val="auto"/>
                      <w:sz w:val="21"/>
                      <w:szCs w:val="21"/>
                      <w:lang w:val="en-US" w:eastAsia="zh-CN"/>
                    </w:rPr>
                    <w:drawing>
                      <wp:inline distT="0" distB="0" distL="114300" distR="114300">
                        <wp:extent cx="621030" cy="629920"/>
                        <wp:effectExtent l="0" t="0" r="1270" b="5080"/>
                        <wp:docPr id="16" name="图片 3" descr="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descr="14001"/>
                                <pic:cNvPicPr>
                                  <a:picLocks noChangeAspect="1"/>
                                </pic:cNvPicPr>
                              </pic:nvPicPr>
                              <pic:blipFill>
                                <a:blip r:embed="rId31"/>
                                <a:stretch>
                                  <a:fillRect/>
                                </a:stretch>
                              </pic:blipFill>
                              <pic:spPr>
                                <a:xfrm>
                                  <a:off x="0" y="0"/>
                                  <a:ext cx="621030" cy="629920"/>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77926B6D">
                  <w:pPr>
                    <w:pStyle w:val="35"/>
                    <w:rPr>
                      <w:rFonts w:ascii="Times New Roman" w:hAnsi="Times New Roman"/>
                      <w:color w:val="auto"/>
                      <w:sz w:val="21"/>
                      <w:szCs w:val="21"/>
                      <w:lang w:val="en-US" w:eastAsia="zh-CN"/>
                    </w:rPr>
                  </w:pPr>
                  <w:r>
                    <w:rPr>
                      <w:rFonts w:ascii="Times New Roman" w:hAnsi="Times New Roman"/>
                      <w:color w:val="auto"/>
                      <w:sz w:val="21"/>
                      <w:szCs w:val="21"/>
                      <w:highlight w:val="none"/>
                      <w:lang w:val="en-US" w:eastAsia="zh-CN"/>
                    </w:rPr>
                    <w:t>一般固体废物</w:t>
                  </w:r>
                </w:p>
              </w:tc>
              <w:tc>
                <w:tcPr>
                  <w:tcW w:w="1709" w:type="pct"/>
                  <w:tcBorders>
                    <w:top w:val="single" w:color="auto" w:sz="6" w:space="0"/>
                    <w:left w:val="single" w:color="auto" w:sz="6" w:space="0"/>
                    <w:bottom w:val="single" w:color="auto" w:sz="6" w:space="0"/>
                    <w:right w:val="nil"/>
                  </w:tcBorders>
                  <w:noWrap w:val="0"/>
                  <w:vAlign w:val="center"/>
                </w:tcPr>
                <w:p w14:paraId="70B6B84A">
                  <w:pPr>
                    <w:pStyle w:val="35"/>
                    <w:rPr>
                      <w:rFonts w:ascii="Times New Roman" w:hAnsi="Times New Roman"/>
                      <w:color w:val="auto"/>
                      <w:sz w:val="21"/>
                      <w:szCs w:val="21"/>
                      <w:lang w:val="en-US" w:eastAsia="zh-CN"/>
                    </w:rPr>
                  </w:pPr>
                  <w:r>
                    <w:rPr>
                      <w:rFonts w:ascii="Times New Roman" w:hAnsi="Times New Roman"/>
                      <w:color w:val="auto"/>
                      <w:sz w:val="21"/>
                      <w:szCs w:val="21"/>
                      <w:lang w:val="en-US" w:eastAsia="zh-CN"/>
                    </w:rPr>
                    <w:t>表示一般固体废物贮存、处置场</w:t>
                  </w:r>
                </w:p>
              </w:tc>
            </w:tr>
            <w:tr w14:paraId="4B05D9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7AB477F7">
                  <w:pPr>
                    <w:pStyle w:val="35"/>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2</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6F44B771">
                  <w:pPr>
                    <w:pStyle w:val="35"/>
                    <w:rPr>
                      <w:rFonts w:ascii="Times New Roman" w:hAnsi="Times New Roman"/>
                      <w:color w:val="auto"/>
                      <w:sz w:val="21"/>
                      <w:szCs w:val="21"/>
                      <w:lang w:val="en-US" w:eastAsia="zh-CN"/>
                    </w:rPr>
                  </w:pPr>
                  <w:r>
                    <w:rPr>
                      <w:rFonts w:hint="default" w:ascii="Times New Roman" w:hAnsi="Times New Roman" w:eastAsia="宋体" w:cs="Times New Roman"/>
                      <w:color w:val="auto"/>
                      <w:sz w:val="21"/>
                      <w:szCs w:val="21"/>
                      <w:lang w:val="en-US" w:eastAsia="zh-CN"/>
                    </w:rPr>
                    <w:drawing>
                      <wp:inline distT="0" distB="0" distL="114300" distR="114300">
                        <wp:extent cx="774700" cy="677545"/>
                        <wp:effectExtent l="0" t="0" r="0" b="8255"/>
                        <wp:docPr id="15" name="图片 4" descr="ae94750712d8a7d5f75ec4c5be9f7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ae94750712d8a7d5f75ec4c5be9f7e18"/>
                                <pic:cNvPicPr>
                                  <a:picLocks noChangeAspect="1"/>
                                </pic:cNvPicPr>
                              </pic:nvPicPr>
                              <pic:blipFill>
                                <a:blip r:embed="rId32"/>
                                <a:stretch>
                                  <a:fillRect/>
                                </a:stretch>
                              </pic:blipFill>
                              <pic:spPr>
                                <a:xfrm>
                                  <a:off x="0" y="0"/>
                                  <a:ext cx="774700" cy="67754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4EE3A90D">
                  <w:pPr>
                    <w:pStyle w:val="35"/>
                    <w:rPr>
                      <w:rFonts w:hint="default" w:ascii="Times New Roman" w:hAnsi="Times New Roman"/>
                      <w:color w:val="auto"/>
                      <w:sz w:val="21"/>
                      <w:szCs w:val="21"/>
                      <w:highlight w:val="red"/>
                      <w:lang w:val="en-US" w:eastAsia="zh-CN"/>
                    </w:rPr>
                  </w:pPr>
                  <w:r>
                    <w:rPr>
                      <w:rFonts w:hint="eastAsia" w:ascii="Times New Roman" w:hAnsi="Times New Roman"/>
                      <w:color w:val="auto"/>
                      <w:sz w:val="21"/>
                      <w:szCs w:val="21"/>
                      <w:highlight w:val="none"/>
                      <w:lang w:val="en-US" w:eastAsia="zh-CN"/>
                    </w:rPr>
                    <w:t>危险废物</w:t>
                  </w:r>
                </w:p>
              </w:tc>
              <w:tc>
                <w:tcPr>
                  <w:tcW w:w="1709" w:type="pct"/>
                  <w:tcBorders>
                    <w:top w:val="single" w:color="auto" w:sz="6" w:space="0"/>
                    <w:left w:val="single" w:color="auto" w:sz="6" w:space="0"/>
                    <w:bottom w:val="single" w:color="auto" w:sz="6" w:space="0"/>
                    <w:right w:val="nil"/>
                  </w:tcBorders>
                  <w:noWrap w:val="0"/>
                  <w:vAlign w:val="center"/>
                </w:tcPr>
                <w:p w14:paraId="1A3B48FF">
                  <w:pPr>
                    <w:pStyle w:val="35"/>
                    <w:rPr>
                      <w:rFonts w:hint="eastAsia" w:ascii="Times New Roman" w:hAnsi="Times New Roman" w:eastAsia="宋体"/>
                      <w:color w:val="auto"/>
                      <w:sz w:val="21"/>
                      <w:szCs w:val="21"/>
                      <w:lang w:val="en-US" w:eastAsia="zh-CN"/>
                    </w:rPr>
                  </w:pPr>
                  <w:r>
                    <w:rPr>
                      <w:rFonts w:hint="eastAsia" w:eastAsia="宋体" w:cs="宋体"/>
                      <w:color w:val="auto"/>
                      <w:sz w:val="21"/>
                      <w:szCs w:val="21"/>
                      <w:lang w:val="en-US" w:eastAsia="zh-CN"/>
                    </w:rPr>
                    <w:t>表示危险废</w:t>
                  </w:r>
                  <w:r>
                    <w:rPr>
                      <w:rFonts w:ascii="宋体" w:hAnsi="宋体" w:eastAsia="宋体" w:cs="宋体"/>
                      <w:color w:val="auto"/>
                      <w:sz w:val="21"/>
                      <w:szCs w:val="21"/>
                    </w:rPr>
                    <w:t>物贮存、利用、处置</w:t>
                  </w:r>
                  <w:r>
                    <w:rPr>
                      <w:rFonts w:hint="eastAsia" w:eastAsia="宋体" w:cs="宋体"/>
                      <w:color w:val="auto"/>
                      <w:sz w:val="21"/>
                      <w:szCs w:val="21"/>
                      <w:lang w:val="en-US" w:eastAsia="zh-CN"/>
                    </w:rPr>
                    <w:t>设施</w:t>
                  </w:r>
                </w:p>
              </w:tc>
            </w:tr>
            <w:tr w14:paraId="33395F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039A8C42">
                  <w:pPr>
                    <w:pStyle w:val="35"/>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3</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00942D59">
                  <w:pPr>
                    <w:pStyle w:val="35"/>
                    <w:rPr>
                      <w:rFonts w:ascii="Times New Roman" w:hAnsi="Times New Roman"/>
                      <w:color w:val="auto"/>
                      <w:sz w:val="21"/>
                      <w:szCs w:val="21"/>
                      <w:lang w:val="en-US" w:eastAsia="zh-CN"/>
                    </w:rPr>
                  </w:pPr>
                  <w:r>
                    <w:rPr>
                      <w:rFonts w:ascii="Times New Roman" w:hAnsi="Times New Roman"/>
                      <w:color w:val="auto"/>
                      <w:sz w:val="21"/>
                      <w:szCs w:val="21"/>
                      <w:lang w:val="en-US" w:eastAsia="zh-CN"/>
                    </w:rPr>
                    <w:drawing>
                      <wp:inline distT="0" distB="0" distL="114300" distR="114300">
                        <wp:extent cx="621030" cy="603885"/>
                        <wp:effectExtent l="0" t="0" r="1270" b="571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33"/>
                                <a:stretch>
                                  <a:fillRect/>
                                </a:stretch>
                              </pic:blipFill>
                              <pic:spPr>
                                <a:xfrm>
                                  <a:off x="0" y="0"/>
                                  <a:ext cx="621030" cy="60388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710B2DBC">
                  <w:pPr>
                    <w:pStyle w:val="35"/>
                    <w:rPr>
                      <w:rFonts w:ascii="Times New Roman" w:hAnsi="Times New Roman"/>
                      <w:color w:val="auto"/>
                      <w:sz w:val="21"/>
                      <w:szCs w:val="21"/>
                      <w:lang w:val="en-US" w:eastAsia="zh-CN"/>
                    </w:rPr>
                  </w:pPr>
                  <w:r>
                    <w:rPr>
                      <w:rFonts w:ascii="Times New Roman" w:hAnsi="Times New Roman"/>
                      <w:color w:val="auto"/>
                      <w:sz w:val="21"/>
                      <w:szCs w:val="21"/>
                      <w:lang w:val="en-US" w:eastAsia="zh-CN"/>
                    </w:rPr>
                    <w:t>噪声排放源</w:t>
                  </w:r>
                </w:p>
              </w:tc>
              <w:tc>
                <w:tcPr>
                  <w:tcW w:w="1709" w:type="pct"/>
                  <w:tcBorders>
                    <w:top w:val="single" w:color="auto" w:sz="6" w:space="0"/>
                    <w:left w:val="single" w:color="auto" w:sz="6" w:space="0"/>
                    <w:bottom w:val="single" w:color="auto" w:sz="6" w:space="0"/>
                    <w:right w:val="nil"/>
                  </w:tcBorders>
                  <w:noWrap w:val="0"/>
                  <w:vAlign w:val="center"/>
                </w:tcPr>
                <w:p w14:paraId="2E524704">
                  <w:pPr>
                    <w:pStyle w:val="35"/>
                    <w:rPr>
                      <w:rFonts w:ascii="Times New Roman" w:hAnsi="Times New Roman"/>
                      <w:color w:val="auto"/>
                      <w:sz w:val="21"/>
                      <w:szCs w:val="21"/>
                      <w:lang w:val="en-US" w:eastAsia="zh-CN"/>
                    </w:rPr>
                  </w:pPr>
                  <w:r>
                    <w:rPr>
                      <w:rFonts w:ascii="Times New Roman" w:hAnsi="Times New Roman"/>
                      <w:color w:val="auto"/>
                      <w:sz w:val="21"/>
                      <w:szCs w:val="21"/>
                      <w:lang w:val="en-US" w:eastAsia="zh-CN"/>
                    </w:rPr>
                    <w:t>表示噪声向外环境排放</w:t>
                  </w:r>
                </w:p>
              </w:tc>
            </w:tr>
            <w:tr w14:paraId="0E09A4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12" w:space="0"/>
                    <w:right w:val="single" w:color="auto" w:sz="6" w:space="0"/>
                  </w:tcBorders>
                  <w:noWrap w:val="0"/>
                  <w:vAlign w:val="center"/>
                </w:tcPr>
                <w:p w14:paraId="34860FC8">
                  <w:pPr>
                    <w:pStyle w:val="35"/>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4</w:t>
                  </w:r>
                </w:p>
              </w:tc>
              <w:tc>
                <w:tcPr>
                  <w:tcW w:w="1462" w:type="pct"/>
                  <w:tcBorders>
                    <w:top w:val="single" w:color="auto" w:sz="6" w:space="0"/>
                    <w:left w:val="single" w:color="auto" w:sz="6" w:space="0"/>
                    <w:bottom w:val="single" w:color="auto" w:sz="12" w:space="0"/>
                    <w:right w:val="single" w:color="auto" w:sz="6" w:space="0"/>
                  </w:tcBorders>
                  <w:noWrap w:val="0"/>
                  <w:vAlign w:val="center"/>
                </w:tcPr>
                <w:p w14:paraId="16AFF4AB">
                  <w:pPr>
                    <w:pStyle w:val="35"/>
                    <w:rPr>
                      <w:rFonts w:ascii="Times New Roman" w:hAnsi="Times New Roman"/>
                      <w:color w:val="auto"/>
                      <w:sz w:val="21"/>
                      <w:szCs w:val="21"/>
                      <w:lang w:val="en-US" w:eastAsia="zh-CN"/>
                    </w:rPr>
                  </w:pPr>
                  <w:r>
                    <w:rPr>
                      <w:rFonts w:ascii="Times New Roman" w:hAnsi="Times New Roman"/>
                      <w:color w:val="auto"/>
                      <w:sz w:val="21"/>
                      <w:szCs w:val="21"/>
                      <w:lang w:val="en-US" w:eastAsia="zh-CN"/>
                    </w:rPr>
                    <w:drawing>
                      <wp:inline distT="0" distB="0" distL="114300" distR="114300">
                        <wp:extent cx="750570" cy="802005"/>
                        <wp:effectExtent l="0" t="0" r="11430" b="10795"/>
                        <wp:docPr id="17" name="图片 6" descr="废水排放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废水排放口"/>
                                <pic:cNvPicPr>
                                  <a:picLocks noChangeAspect="1"/>
                                </pic:cNvPicPr>
                              </pic:nvPicPr>
                              <pic:blipFill>
                                <a:blip r:embed="rId34"/>
                                <a:stretch>
                                  <a:fillRect/>
                                </a:stretch>
                              </pic:blipFill>
                              <pic:spPr>
                                <a:xfrm>
                                  <a:off x="0" y="0"/>
                                  <a:ext cx="750570" cy="80200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12" w:space="0"/>
                    <w:right w:val="single" w:color="auto" w:sz="6" w:space="0"/>
                  </w:tcBorders>
                  <w:noWrap w:val="0"/>
                  <w:vAlign w:val="center"/>
                </w:tcPr>
                <w:p w14:paraId="606D9D0B">
                  <w:pPr>
                    <w:pStyle w:val="35"/>
                    <w:rPr>
                      <w:rFonts w:ascii="Times New Roman" w:hAnsi="Times New Roman"/>
                      <w:color w:val="auto"/>
                      <w:sz w:val="21"/>
                      <w:szCs w:val="21"/>
                      <w:lang w:val="en-US" w:eastAsia="zh-CN"/>
                    </w:rPr>
                  </w:pPr>
                  <w:r>
                    <w:rPr>
                      <w:rFonts w:ascii="Times New Roman" w:hAnsi="Times New Roman"/>
                      <w:color w:val="auto"/>
                      <w:sz w:val="21"/>
                      <w:szCs w:val="21"/>
                      <w:lang w:val="en-US" w:eastAsia="zh-CN"/>
                    </w:rPr>
                    <w:t>废水排放口</w:t>
                  </w:r>
                </w:p>
              </w:tc>
              <w:tc>
                <w:tcPr>
                  <w:tcW w:w="1709" w:type="pct"/>
                  <w:tcBorders>
                    <w:top w:val="single" w:color="auto" w:sz="6" w:space="0"/>
                    <w:left w:val="single" w:color="auto" w:sz="6" w:space="0"/>
                    <w:bottom w:val="single" w:color="auto" w:sz="12" w:space="0"/>
                    <w:right w:val="nil"/>
                  </w:tcBorders>
                  <w:noWrap w:val="0"/>
                  <w:vAlign w:val="center"/>
                </w:tcPr>
                <w:p w14:paraId="1A8E1770">
                  <w:pPr>
                    <w:pStyle w:val="35"/>
                    <w:rPr>
                      <w:rFonts w:ascii="Times New Roman" w:hAnsi="Times New Roman"/>
                      <w:color w:val="auto"/>
                      <w:sz w:val="21"/>
                      <w:szCs w:val="21"/>
                      <w:lang w:val="en-US" w:eastAsia="zh-CN"/>
                    </w:rPr>
                  </w:pPr>
                  <w:r>
                    <w:rPr>
                      <w:rFonts w:ascii="Times New Roman" w:hAnsi="Times New Roman"/>
                      <w:color w:val="auto"/>
                      <w:sz w:val="21"/>
                      <w:szCs w:val="21"/>
                      <w:lang w:val="en-US" w:eastAsia="zh-CN"/>
                    </w:rPr>
                    <w:t>表示废水向水环境排放</w:t>
                  </w:r>
                </w:p>
              </w:tc>
            </w:tr>
          </w:tbl>
          <w:p w14:paraId="5365FECC">
            <w:pPr>
              <w:pStyle w:val="3"/>
              <w:bidi w:val="0"/>
              <w:rPr>
                <w:rFonts w:hint="default"/>
                <w:color w:val="auto"/>
                <w:sz w:val="21"/>
                <w:szCs w:val="21"/>
                <w:lang w:val="en-US" w:eastAsia="zh-CN"/>
              </w:rPr>
            </w:pPr>
            <w:bookmarkStart w:id="69" w:name="OLE_LINK75"/>
            <w:r>
              <w:rPr>
                <w:rFonts w:hint="eastAsia"/>
                <w:color w:val="auto"/>
                <w:sz w:val="21"/>
                <w:szCs w:val="21"/>
                <w:lang w:val="en-US" w:eastAsia="zh-CN"/>
              </w:rPr>
              <w:t>5.2</w:t>
            </w:r>
            <w:r>
              <w:rPr>
                <w:color w:val="auto"/>
                <w:sz w:val="21"/>
                <w:szCs w:val="21"/>
                <w:lang w:eastAsia="zh-CN"/>
              </w:rPr>
              <w:t>、排污</w:t>
            </w:r>
            <w:r>
              <w:rPr>
                <w:rFonts w:hint="eastAsia"/>
                <w:color w:val="auto"/>
                <w:sz w:val="21"/>
                <w:szCs w:val="21"/>
                <w:lang w:val="en-US" w:eastAsia="zh-CN"/>
              </w:rPr>
              <w:t>许可衔接</w:t>
            </w:r>
          </w:p>
          <w:bookmarkEnd w:id="69"/>
          <w:p w14:paraId="19376226">
            <w:pPr>
              <w:pStyle w:val="29"/>
              <w:bidi w:val="0"/>
              <w:rPr>
                <w:color w:val="auto"/>
                <w:sz w:val="21"/>
                <w:szCs w:val="21"/>
              </w:rPr>
            </w:pPr>
            <w:r>
              <w:rPr>
                <w:color w:val="auto"/>
                <w:sz w:val="21"/>
                <w:szCs w:val="21"/>
              </w:rPr>
              <w:t>本项目行业类别为“</w:t>
            </w:r>
            <w:r>
              <w:rPr>
                <w:rFonts w:hint="eastAsia"/>
                <w:color w:val="auto"/>
                <w:sz w:val="21"/>
                <w:szCs w:val="21"/>
                <w:lang w:val="en-US" w:eastAsia="zh-CN"/>
              </w:rPr>
              <w:t>O</w:t>
            </w:r>
            <w:r>
              <w:rPr>
                <w:color w:val="auto"/>
                <w:sz w:val="21"/>
                <w:szCs w:val="21"/>
              </w:rPr>
              <w:t>8222宠物医院服务”，根据《固定污染源排污许可分类管理名录》（2019年版），本项目无需办理排污许可手续。</w:t>
            </w:r>
          </w:p>
          <w:p w14:paraId="00E3965F">
            <w:pPr>
              <w:pStyle w:val="3"/>
              <w:bidi w:val="0"/>
              <w:rPr>
                <w:rFonts w:hint="default"/>
                <w:color w:val="auto"/>
                <w:sz w:val="21"/>
                <w:szCs w:val="21"/>
                <w:lang w:val="en-US" w:eastAsia="zh-CN"/>
              </w:rPr>
            </w:pPr>
            <w:r>
              <w:rPr>
                <w:rFonts w:hint="eastAsia"/>
                <w:color w:val="auto"/>
                <w:sz w:val="21"/>
                <w:szCs w:val="21"/>
                <w:lang w:val="en-US" w:eastAsia="zh-CN"/>
              </w:rPr>
              <w:t>5.3</w:t>
            </w:r>
            <w:r>
              <w:rPr>
                <w:color w:val="auto"/>
                <w:sz w:val="21"/>
                <w:szCs w:val="21"/>
                <w:lang w:eastAsia="zh-CN"/>
              </w:rPr>
              <w:t>、</w:t>
            </w:r>
            <w:r>
              <w:rPr>
                <w:rFonts w:hint="eastAsia"/>
                <w:color w:val="auto"/>
                <w:sz w:val="21"/>
                <w:szCs w:val="21"/>
                <w:lang w:val="en-US" w:eastAsia="zh-CN"/>
              </w:rPr>
              <w:t>自行监测</w:t>
            </w:r>
          </w:p>
          <w:p w14:paraId="77B798A1">
            <w:pPr>
              <w:pStyle w:val="29"/>
              <w:bidi w:val="0"/>
              <w:rPr>
                <w:rFonts w:hint="eastAsia"/>
                <w:color w:val="auto"/>
                <w:sz w:val="21"/>
                <w:szCs w:val="21"/>
                <w:lang w:eastAsia="zh-CN"/>
              </w:rPr>
            </w:pPr>
            <w:r>
              <w:rPr>
                <w:color w:val="auto"/>
                <w:sz w:val="21"/>
                <w:szCs w:val="21"/>
              </w:rPr>
              <w:t>根据《排污单位自行监测技术指南总则》（HJ819-2017），建设单位应按照环境监测计划对项目废气、废水、厂界噪声定期开展自行监测，根据法律法规要求进行环境信息公开。</w:t>
            </w:r>
          </w:p>
          <w:p w14:paraId="15BF43D3">
            <w:pPr>
              <w:pStyle w:val="18"/>
              <w:ind w:firstLine="0" w:firstLineChars="0"/>
              <w:rPr>
                <w:rFonts w:hint="eastAsia"/>
                <w:color w:val="auto"/>
                <w:sz w:val="21"/>
                <w:szCs w:val="21"/>
                <w:lang w:val="en-US" w:eastAsia="zh-CN"/>
              </w:rPr>
            </w:pPr>
          </w:p>
        </w:tc>
      </w:tr>
    </w:tbl>
    <w:p w14:paraId="7687BAD5">
      <w:pPr>
        <w:spacing w:line="44" w:lineRule="auto"/>
        <w:rPr>
          <w:rFonts w:hint="default" w:ascii="Times New Roman" w:hAnsi="Times New Roman" w:cs="Times New Roman"/>
          <w:color w:val="auto"/>
          <w:sz w:val="2"/>
        </w:rPr>
      </w:pPr>
    </w:p>
    <w:p w14:paraId="510366F5">
      <w:pPr>
        <w:spacing w:line="248" w:lineRule="auto"/>
        <w:rPr>
          <w:rFonts w:hint="default" w:ascii="Times New Roman" w:hAnsi="Times New Roman" w:cs="Times New Roman"/>
          <w:color w:val="auto"/>
          <w:sz w:val="21"/>
        </w:rPr>
      </w:pPr>
    </w:p>
    <w:p w14:paraId="7A5527A5">
      <w:pPr>
        <w:spacing w:line="248" w:lineRule="auto"/>
        <w:rPr>
          <w:rFonts w:hint="default" w:ascii="Times New Roman" w:hAnsi="Times New Roman" w:cs="Times New Roman"/>
          <w:color w:val="auto"/>
          <w:sz w:val="21"/>
        </w:rPr>
        <w:sectPr>
          <w:footerReference r:id="rId10" w:type="default"/>
          <w:pgSz w:w="11906" w:h="16839"/>
          <w:pgMar w:top="1431" w:right="1511" w:bottom="957" w:left="1510" w:header="0" w:footer="692" w:gutter="0"/>
          <w:pgBorders>
            <w:top w:val="none" w:sz="0" w:space="0"/>
            <w:left w:val="none" w:sz="0" w:space="0"/>
            <w:bottom w:val="none" w:sz="0" w:space="0"/>
            <w:right w:val="none" w:sz="0" w:space="0"/>
          </w:pgBorders>
          <w:pgNumType w:fmt="decimal"/>
          <w:cols w:space="720" w:num="1"/>
        </w:sectPr>
      </w:pPr>
    </w:p>
    <w:p w14:paraId="539BA3EC">
      <w:pPr>
        <w:spacing w:line="248" w:lineRule="auto"/>
        <w:rPr>
          <w:rFonts w:hint="default" w:ascii="Times New Roman" w:hAnsi="Times New Roman" w:cs="Times New Roman"/>
          <w:color w:val="auto"/>
          <w:sz w:val="21"/>
        </w:rPr>
      </w:pPr>
    </w:p>
    <w:p w14:paraId="6BC318F1">
      <w:pPr>
        <w:pStyle w:val="2"/>
        <w:bidi w:val="0"/>
        <w:rPr>
          <w:rFonts w:hint="default"/>
          <w:color w:val="auto"/>
        </w:rPr>
      </w:pPr>
      <w:r>
        <w:rPr>
          <w:rFonts w:hint="default"/>
          <w:color w:val="auto"/>
        </w:rPr>
        <w:t>六、结论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9"/>
      </w:tblGrid>
      <w:tr w14:paraId="6398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9" w:type="dxa"/>
            <w:noWrap w:val="0"/>
            <w:vAlign w:val="top"/>
          </w:tcPr>
          <w:p w14:paraId="1C6F3F0C">
            <w:pPr>
              <w:pStyle w:val="29"/>
              <w:bidi w:val="0"/>
              <w:rPr>
                <w:rFonts w:hint="eastAsia"/>
                <w:color w:val="auto"/>
                <w:lang w:eastAsia="zh-CN"/>
              </w:rPr>
            </w:pPr>
            <w:r>
              <w:rPr>
                <w:color w:val="auto"/>
                <w:lang w:eastAsia="zh-CN"/>
              </w:rPr>
              <w:t>项目建设符合国家产业政策、</w:t>
            </w:r>
            <w:bookmarkStart w:id="72" w:name="_GoBack"/>
            <w:bookmarkEnd w:id="72"/>
            <w:r>
              <w:rPr>
                <w:color w:val="auto"/>
                <w:lang w:eastAsia="zh-CN"/>
              </w:rPr>
              <w:t>生态环境分区管控的相关要求；项目污染源治理措施可靠有效，符合相关标</w:t>
            </w:r>
            <w:r>
              <w:rPr>
                <w:rFonts w:hint="eastAsia"/>
                <w:color w:val="auto"/>
                <w:lang w:eastAsia="zh-CN"/>
              </w:rPr>
              <w:t>准和</w:t>
            </w:r>
            <w:r>
              <w:rPr>
                <w:color w:val="auto"/>
                <w:lang w:eastAsia="zh-CN"/>
              </w:rPr>
              <w:t>规范要求，污染物均能够达标排放；固体废物能得到合理处置，外排污染物对</w:t>
            </w:r>
            <w:r>
              <w:rPr>
                <w:rFonts w:hint="eastAsia"/>
                <w:color w:val="auto"/>
                <w:lang w:val="en-US" w:eastAsia="zh-CN"/>
              </w:rPr>
              <w:t>周围</w:t>
            </w:r>
            <w:r>
              <w:rPr>
                <w:color w:val="auto"/>
                <w:lang w:eastAsia="zh-CN"/>
              </w:rPr>
              <w:t>环境</w:t>
            </w:r>
            <w:r>
              <w:rPr>
                <w:rFonts w:hint="eastAsia"/>
                <w:color w:val="auto"/>
                <w:lang w:val="en-US" w:eastAsia="zh-CN"/>
              </w:rPr>
              <w:t>影响较小</w:t>
            </w:r>
            <w:r>
              <w:rPr>
                <w:color w:val="auto"/>
                <w:lang w:eastAsia="zh-CN"/>
              </w:rPr>
              <w:t>。</w:t>
            </w:r>
          </w:p>
          <w:p w14:paraId="5B8C62D8">
            <w:pPr>
              <w:pStyle w:val="29"/>
              <w:bidi w:val="0"/>
              <w:rPr>
                <w:color w:val="auto"/>
                <w:lang w:eastAsia="zh-CN"/>
              </w:rPr>
            </w:pPr>
            <w:r>
              <w:rPr>
                <w:color w:val="auto"/>
                <w:lang w:eastAsia="zh-CN"/>
              </w:rPr>
              <w:t>综上所述，在全面加强监督管理，执行环保</w:t>
            </w:r>
            <w:r>
              <w:rPr>
                <w:rFonts w:hint="eastAsia"/>
                <w:color w:val="auto"/>
                <w:lang w:eastAsia="zh-CN"/>
              </w:rPr>
              <w:t>“</w:t>
            </w:r>
            <w:r>
              <w:rPr>
                <w:color w:val="auto"/>
                <w:lang w:eastAsia="zh-CN"/>
              </w:rPr>
              <w:t>三同时</w:t>
            </w:r>
            <w:r>
              <w:rPr>
                <w:rFonts w:hint="eastAsia"/>
                <w:color w:val="auto"/>
                <w:lang w:eastAsia="zh-CN"/>
              </w:rPr>
              <w:t>”</w:t>
            </w:r>
            <w:r>
              <w:rPr>
                <w:color w:val="auto"/>
                <w:lang w:eastAsia="zh-CN"/>
              </w:rPr>
              <w:t>制度和认真落实各项环保措施的条件下，从环境保护角度分析，项目的建设是可行的。</w:t>
            </w:r>
          </w:p>
          <w:p w14:paraId="31905E5D">
            <w:pPr>
              <w:pStyle w:val="29"/>
              <w:bidi w:val="0"/>
              <w:rPr>
                <w:color w:val="auto"/>
                <w:lang w:eastAsia="zh-CN"/>
              </w:rPr>
            </w:pPr>
          </w:p>
          <w:p w14:paraId="4AC5A16A">
            <w:pPr>
              <w:pStyle w:val="29"/>
              <w:bidi w:val="0"/>
              <w:rPr>
                <w:color w:val="auto"/>
                <w:lang w:eastAsia="zh-CN"/>
              </w:rPr>
            </w:pPr>
          </w:p>
          <w:p w14:paraId="731C0D3B">
            <w:pPr>
              <w:pStyle w:val="37"/>
              <w:widowControl w:val="0"/>
              <w:ind w:firstLine="482"/>
              <w:jc w:val="both"/>
              <w:rPr>
                <w:color w:val="auto"/>
                <w:lang w:eastAsia="zh-CN"/>
              </w:rPr>
            </w:pPr>
          </w:p>
          <w:p w14:paraId="7ABD0611">
            <w:pPr>
              <w:pStyle w:val="37"/>
              <w:widowControl w:val="0"/>
              <w:ind w:firstLine="482"/>
              <w:jc w:val="both"/>
              <w:rPr>
                <w:color w:val="auto"/>
                <w:lang w:eastAsia="zh-CN"/>
              </w:rPr>
            </w:pPr>
          </w:p>
          <w:p w14:paraId="139633DD">
            <w:pPr>
              <w:pStyle w:val="37"/>
              <w:widowControl w:val="0"/>
              <w:ind w:firstLine="482"/>
              <w:jc w:val="both"/>
              <w:rPr>
                <w:color w:val="auto"/>
                <w:lang w:eastAsia="zh-CN"/>
              </w:rPr>
            </w:pPr>
          </w:p>
          <w:p w14:paraId="194B71B5">
            <w:pPr>
              <w:pStyle w:val="37"/>
              <w:widowControl w:val="0"/>
              <w:ind w:firstLine="482"/>
              <w:jc w:val="both"/>
              <w:rPr>
                <w:color w:val="auto"/>
                <w:lang w:eastAsia="zh-CN"/>
              </w:rPr>
            </w:pPr>
          </w:p>
          <w:p w14:paraId="30AC5BE3">
            <w:pPr>
              <w:pStyle w:val="37"/>
              <w:widowControl w:val="0"/>
              <w:ind w:firstLine="482"/>
              <w:jc w:val="both"/>
              <w:rPr>
                <w:color w:val="auto"/>
                <w:lang w:eastAsia="zh-CN"/>
              </w:rPr>
            </w:pPr>
          </w:p>
          <w:p w14:paraId="79312561">
            <w:pPr>
              <w:pStyle w:val="37"/>
              <w:widowControl w:val="0"/>
              <w:ind w:firstLine="482"/>
              <w:jc w:val="both"/>
              <w:rPr>
                <w:color w:val="auto"/>
                <w:lang w:eastAsia="zh-CN"/>
              </w:rPr>
            </w:pPr>
          </w:p>
          <w:p w14:paraId="79B52A73">
            <w:pPr>
              <w:pStyle w:val="37"/>
              <w:widowControl w:val="0"/>
              <w:ind w:firstLine="482"/>
              <w:jc w:val="both"/>
              <w:rPr>
                <w:color w:val="auto"/>
                <w:lang w:eastAsia="zh-CN"/>
              </w:rPr>
            </w:pPr>
          </w:p>
          <w:p w14:paraId="5607A929">
            <w:pPr>
              <w:pStyle w:val="37"/>
              <w:widowControl w:val="0"/>
              <w:ind w:firstLine="482"/>
              <w:jc w:val="both"/>
              <w:rPr>
                <w:color w:val="auto"/>
                <w:lang w:eastAsia="zh-CN"/>
              </w:rPr>
            </w:pPr>
          </w:p>
          <w:p w14:paraId="5D2699F3">
            <w:pPr>
              <w:pStyle w:val="37"/>
              <w:widowControl w:val="0"/>
              <w:ind w:firstLine="482"/>
              <w:jc w:val="both"/>
              <w:rPr>
                <w:color w:val="auto"/>
                <w:lang w:eastAsia="zh-CN"/>
              </w:rPr>
            </w:pPr>
          </w:p>
          <w:p w14:paraId="0F2A92B0">
            <w:pPr>
              <w:pStyle w:val="37"/>
              <w:widowControl w:val="0"/>
              <w:ind w:firstLine="482"/>
              <w:jc w:val="both"/>
              <w:rPr>
                <w:color w:val="auto"/>
                <w:lang w:eastAsia="zh-CN"/>
              </w:rPr>
            </w:pPr>
          </w:p>
          <w:p w14:paraId="03F65DEC">
            <w:pPr>
              <w:pStyle w:val="37"/>
              <w:widowControl w:val="0"/>
              <w:ind w:firstLine="482"/>
              <w:jc w:val="both"/>
              <w:rPr>
                <w:color w:val="auto"/>
                <w:lang w:eastAsia="zh-CN"/>
              </w:rPr>
            </w:pPr>
          </w:p>
          <w:p w14:paraId="489B5BB6">
            <w:pPr>
              <w:pStyle w:val="37"/>
              <w:widowControl w:val="0"/>
              <w:ind w:firstLine="482"/>
              <w:jc w:val="both"/>
              <w:rPr>
                <w:color w:val="auto"/>
                <w:lang w:eastAsia="zh-CN"/>
              </w:rPr>
            </w:pPr>
          </w:p>
          <w:p w14:paraId="681429A5">
            <w:pPr>
              <w:pStyle w:val="37"/>
              <w:widowControl w:val="0"/>
              <w:ind w:firstLine="482"/>
              <w:jc w:val="both"/>
              <w:rPr>
                <w:color w:val="auto"/>
                <w:lang w:eastAsia="zh-CN"/>
              </w:rPr>
            </w:pPr>
          </w:p>
          <w:p w14:paraId="746FFC81">
            <w:pPr>
              <w:pStyle w:val="37"/>
              <w:widowControl w:val="0"/>
              <w:ind w:firstLine="482"/>
              <w:jc w:val="both"/>
              <w:rPr>
                <w:rFonts w:hint="eastAsia"/>
                <w:color w:val="auto"/>
                <w:lang w:eastAsia="zh-CN"/>
              </w:rPr>
            </w:pPr>
          </w:p>
          <w:p w14:paraId="73F794CC">
            <w:pPr>
              <w:pStyle w:val="37"/>
              <w:widowControl w:val="0"/>
              <w:ind w:firstLine="482"/>
              <w:jc w:val="both"/>
              <w:rPr>
                <w:rFonts w:hint="eastAsia"/>
                <w:color w:val="auto"/>
                <w:lang w:eastAsia="zh-CN"/>
              </w:rPr>
            </w:pPr>
          </w:p>
          <w:p w14:paraId="6F49A10B">
            <w:pPr>
              <w:pStyle w:val="37"/>
              <w:widowControl w:val="0"/>
              <w:ind w:firstLine="0" w:firstLineChars="0"/>
              <w:jc w:val="both"/>
              <w:rPr>
                <w:color w:val="auto"/>
                <w:lang w:eastAsia="zh-CN"/>
              </w:rPr>
            </w:pPr>
          </w:p>
        </w:tc>
      </w:tr>
    </w:tbl>
    <w:p w14:paraId="1F82199F">
      <w:pPr>
        <w:rPr>
          <w:rFonts w:hint="default" w:ascii="Times New Roman" w:hAnsi="Times New Roman" w:cs="Times New Roman"/>
          <w:color w:val="auto"/>
        </w:rPr>
        <w:sectPr>
          <w:pgSz w:w="11906" w:h="16839"/>
          <w:pgMar w:top="1431" w:right="1511" w:bottom="957" w:left="1510" w:header="0" w:footer="692" w:gutter="0"/>
          <w:pgBorders>
            <w:top w:val="none" w:sz="0" w:space="0"/>
            <w:left w:val="none" w:sz="0" w:space="0"/>
            <w:bottom w:val="none" w:sz="0" w:space="0"/>
            <w:right w:val="none" w:sz="0" w:space="0"/>
          </w:pgBorders>
          <w:pgNumType w:fmt="decimal"/>
          <w:cols w:space="720" w:num="1"/>
        </w:sectPr>
      </w:pPr>
    </w:p>
    <w:p w14:paraId="3D824A38">
      <w:pPr>
        <w:spacing w:before="100" w:line="228" w:lineRule="auto"/>
        <w:ind w:left="67"/>
        <w:outlineLvl w:val="2"/>
        <w:rPr>
          <w:rFonts w:hint="default" w:ascii="Times New Roman" w:hAnsi="Times New Roman" w:eastAsia="黑体" w:cs="Times New Roman"/>
          <w:color w:val="auto"/>
          <w:sz w:val="31"/>
          <w:szCs w:val="31"/>
        </w:rPr>
      </w:pPr>
      <w:r>
        <w:rPr>
          <w:rFonts w:hint="default" w:ascii="Times New Roman" w:hAnsi="Times New Roman" w:eastAsia="黑体" w:cs="Times New Roman"/>
          <w:color w:val="auto"/>
          <w:spacing w:val="-6"/>
          <w:sz w:val="31"/>
          <w:szCs w:val="31"/>
        </w:rPr>
        <w:t>附表</w:t>
      </w:r>
    </w:p>
    <w:p w14:paraId="272FD4C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outlineLvl w:val="2"/>
        <w:rPr>
          <w:rFonts w:hint="default" w:ascii="Times New Roman" w:hAnsi="Times New Roman" w:eastAsia="微软雅黑" w:cs="Times New Roman"/>
          <w:color w:val="auto"/>
          <w:sz w:val="37"/>
          <w:szCs w:val="37"/>
        </w:rPr>
      </w:pPr>
      <w:r>
        <w:rPr>
          <w:rFonts w:hint="eastAsia" w:ascii="宋体" w:hAnsi="宋体" w:eastAsia="宋体" w:cs="宋体"/>
          <w:b/>
          <w:bCs/>
          <w:color w:val="auto"/>
          <w:spacing w:val="9"/>
          <w:sz w:val="44"/>
          <w:szCs w:val="44"/>
        </w:rPr>
        <w:t>建设项目污染物排放量汇总</w:t>
      </w:r>
      <w:r>
        <w:rPr>
          <w:rFonts w:hint="eastAsia" w:ascii="宋体" w:hAnsi="宋体" w:eastAsia="宋体" w:cs="宋体"/>
          <w:b/>
          <w:bCs/>
          <w:color w:val="auto"/>
          <w:spacing w:val="8"/>
          <w:sz w:val="44"/>
          <w:szCs w:val="44"/>
        </w:rPr>
        <w:t>表</w:t>
      </w:r>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2"/>
        <w:gridCol w:w="1849"/>
        <w:gridCol w:w="1823"/>
        <w:gridCol w:w="1417"/>
        <w:gridCol w:w="1492"/>
        <w:gridCol w:w="1609"/>
        <w:gridCol w:w="1743"/>
        <w:gridCol w:w="1605"/>
        <w:gridCol w:w="1503"/>
      </w:tblGrid>
      <w:tr w14:paraId="6B7B9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1" w:hRule="exact"/>
          <w:jc w:val="center"/>
        </w:trPr>
        <w:tc>
          <w:tcPr>
            <w:tcW w:w="752" w:type="dxa"/>
            <w:noWrap w:val="0"/>
            <w:tcMar>
              <w:top w:w="0" w:type="dxa"/>
              <w:left w:w="0" w:type="dxa"/>
              <w:bottom w:w="0" w:type="dxa"/>
              <w:right w:w="0" w:type="dxa"/>
            </w:tcMar>
            <w:vAlign w:val="center"/>
          </w:tcPr>
          <w:p w14:paraId="739C2836">
            <w:pPr>
              <w:pStyle w:val="33"/>
              <w:snapToGrid w:val="0"/>
              <w:spacing w:line="240" w:lineRule="auto"/>
              <w:jc w:val="center"/>
              <w:rPr>
                <w:color w:val="auto"/>
                <w:lang w:val="en-US"/>
              </w:rPr>
            </w:pPr>
            <w:r>
              <w:rPr>
                <w:rFonts w:hAnsi="宋体"/>
                <w:color w:val="auto"/>
                <w:lang w:val="en-US"/>
              </w:rPr>
              <w:t>项目</w:t>
            </w:r>
          </w:p>
          <w:p w14:paraId="62A1AD6C">
            <w:pPr>
              <w:pStyle w:val="33"/>
              <w:snapToGrid w:val="0"/>
              <w:spacing w:line="240" w:lineRule="auto"/>
              <w:jc w:val="center"/>
              <w:rPr>
                <w:color w:val="auto"/>
                <w:lang w:val="en-US"/>
              </w:rPr>
            </w:pPr>
            <w:r>
              <w:rPr>
                <w:rFonts w:hAnsi="宋体"/>
                <w:color w:val="auto"/>
                <w:lang w:val="en-US"/>
              </w:rPr>
              <w:t>分类</w:t>
            </w:r>
          </w:p>
        </w:tc>
        <w:tc>
          <w:tcPr>
            <w:tcW w:w="1849" w:type="dxa"/>
            <w:noWrap w:val="0"/>
            <w:tcMar>
              <w:top w:w="0" w:type="dxa"/>
              <w:left w:w="0" w:type="dxa"/>
              <w:bottom w:w="0" w:type="dxa"/>
              <w:right w:w="0" w:type="dxa"/>
            </w:tcMar>
            <w:vAlign w:val="center"/>
          </w:tcPr>
          <w:p w14:paraId="6DCB38E5">
            <w:pPr>
              <w:pStyle w:val="33"/>
              <w:snapToGrid w:val="0"/>
              <w:spacing w:line="240" w:lineRule="auto"/>
              <w:jc w:val="center"/>
              <w:rPr>
                <w:color w:val="auto"/>
                <w:lang w:val="en-US"/>
              </w:rPr>
            </w:pPr>
            <w:r>
              <w:rPr>
                <w:rFonts w:hAnsi="宋体"/>
                <w:color w:val="auto"/>
                <w:lang w:val="en-US"/>
              </w:rPr>
              <w:t>污染物名称</w:t>
            </w:r>
          </w:p>
        </w:tc>
        <w:tc>
          <w:tcPr>
            <w:tcW w:w="1823" w:type="dxa"/>
            <w:noWrap w:val="0"/>
            <w:tcMar>
              <w:top w:w="0" w:type="dxa"/>
              <w:left w:w="0" w:type="dxa"/>
              <w:bottom w:w="0" w:type="dxa"/>
              <w:right w:w="0" w:type="dxa"/>
            </w:tcMar>
            <w:vAlign w:val="center"/>
          </w:tcPr>
          <w:p w14:paraId="02E3F9EE">
            <w:pPr>
              <w:pStyle w:val="33"/>
              <w:snapToGrid w:val="0"/>
              <w:spacing w:line="240" w:lineRule="auto"/>
              <w:jc w:val="center"/>
              <w:rPr>
                <w:color w:val="auto"/>
                <w:lang w:val="en-US" w:eastAsia="zh-CN"/>
              </w:rPr>
            </w:pPr>
            <w:r>
              <w:rPr>
                <w:rFonts w:hAnsi="宋体"/>
                <w:color w:val="auto"/>
                <w:lang w:val="en-US" w:eastAsia="zh-CN"/>
              </w:rPr>
              <w:t>现有工程排放量（固体废物产生量）①</w:t>
            </w:r>
          </w:p>
        </w:tc>
        <w:tc>
          <w:tcPr>
            <w:tcW w:w="1417" w:type="dxa"/>
            <w:noWrap w:val="0"/>
            <w:tcMar>
              <w:top w:w="0" w:type="dxa"/>
              <w:left w:w="0" w:type="dxa"/>
              <w:bottom w:w="0" w:type="dxa"/>
              <w:right w:w="0" w:type="dxa"/>
            </w:tcMar>
            <w:vAlign w:val="center"/>
          </w:tcPr>
          <w:p w14:paraId="01C58809">
            <w:pPr>
              <w:pStyle w:val="33"/>
              <w:snapToGrid w:val="0"/>
              <w:spacing w:line="240" w:lineRule="auto"/>
              <w:jc w:val="center"/>
              <w:rPr>
                <w:color w:val="auto"/>
                <w:lang w:val="en-US" w:eastAsia="zh-CN"/>
              </w:rPr>
            </w:pPr>
            <w:r>
              <w:rPr>
                <w:rFonts w:hAnsi="宋体"/>
                <w:color w:val="auto"/>
                <w:lang w:val="en-US" w:eastAsia="zh-CN"/>
              </w:rPr>
              <w:t>现有工程许可排放量</w:t>
            </w:r>
          </w:p>
          <w:p w14:paraId="3C6569FA">
            <w:pPr>
              <w:pStyle w:val="33"/>
              <w:snapToGrid w:val="0"/>
              <w:spacing w:line="240" w:lineRule="auto"/>
              <w:jc w:val="center"/>
              <w:rPr>
                <w:color w:val="auto"/>
                <w:lang w:val="en-US" w:eastAsia="zh-CN"/>
              </w:rPr>
            </w:pPr>
            <w:r>
              <w:rPr>
                <w:rFonts w:hAnsi="宋体"/>
                <w:color w:val="auto"/>
                <w:lang w:val="en-US" w:eastAsia="zh-CN"/>
              </w:rPr>
              <w:t>②</w:t>
            </w:r>
          </w:p>
        </w:tc>
        <w:tc>
          <w:tcPr>
            <w:tcW w:w="1492" w:type="dxa"/>
            <w:noWrap w:val="0"/>
            <w:tcMar>
              <w:top w:w="0" w:type="dxa"/>
              <w:left w:w="0" w:type="dxa"/>
              <w:bottom w:w="0" w:type="dxa"/>
              <w:right w:w="0" w:type="dxa"/>
            </w:tcMar>
            <w:vAlign w:val="center"/>
          </w:tcPr>
          <w:p w14:paraId="7F3AEB16">
            <w:pPr>
              <w:pStyle w:val="33"/>
              <w:snapToGrid w:val="0"/>
              <w:spacing w:line="240" w:lineRule="auto"/>
              <w:jc w:val="center"/>
              <w:rPr>
                <w:color w:val="auto"/>
                <w:lang w:val="en-US" w:eastAsia="zh-CN"/>
              </w:rPr>
            </w:pPr>
            <w:r>
              <w:rPr>
                <w:rFonts w:hAnsi="宋体"/>
                <w:color w:val="auto"/>
                <w:lang w:val="en-US" w:eastAsia="zh-CN"/>
              </w:rPr>
              <w:t>在建工程排放量（固体废物产生量）③</w:t>
            </w:r>
          </w:p>
        </w:tc>
        <w:tc>
          <w:tcPr>
            <w:tcW w:w="1609" w:type="dxa"/>
            <w:noWrap w:val="0"/>
            <w:tcMar>
              <w:top w:w="0" w:type="dxa"/>
              <w:left w:w="0" w:type="dxa"/>
              <w:bottom w:w="0" w:type="dxa"/>
              <w:right w:w="0" w:type="dxa"/>
            </w:tcMar>
            <w:vAlign w:val="center"/>
          </w:tcPr>
          <w:p w14:paraId="319142A2">
            <w:pPr>
              <w:pStyle w:val="33"/>
              <w:snapToGrid w:val="0"/>
              <w:spacing w:line="240" w:lineRule="auto"/>
              <w:jc w:val="both"/>
              <w:rPr>
                <w:color w:val="auto"/>
                <w:lang w:val="en-US" w:eastAsia="zh-CN"/>
              </w:rPr>
            </w:pPr>
            <w:r>
              <w:rPr>
                <w:rFonts w:hAnsi="宋体"/>
                <w:color w:val="auto"/>
                <w:lang w:val="en-US" w:eastAsia="zh-CN"/>
              </w:rPr>
              <w:t>本项目排放量（固体废物产生量）④</w:t>
            </w:r>
          </w:p>
        </w:tc>
        <w:tc>
          <w:tcPr>
            <w:tcW w:w="1743" w:type="dxa"/>
            <w:noWrap w:val="0"/>
            <w:tcMar>
              <w:top w:w="0" w:type="dxa"/>
              <w:left w:w="0" w:type="dxa"/>
              <w:bottom w:w="0" w:type="dxa"/>
              <w:right w:w="0" w:type="dxa"/>
            </w:tcMar>
            <w:vAlign w:val="center"/>
          </w:tcPr>
          <w:p w14:paraId="5D8CD485">
            <w:pPr>
              <w:pStyle w:val="33"/>
              <w:snapToGrid w:val="0"/>
              <w:spacing w:line="240" w:lineRule="auto"/>
              <w:jc w:val="center"/>
              <w:rPr>
                <w:color w:val="auto"/>
                <w:lang w:val="en-US" w:eastAsia="zh-CN"/>
              </w:rPr>
            </w:pPr>
            <w:r>
              <w:rPr>
                <w:rFonts w:hAnsi="宋体"/>
                <w:color w:val="auto"/>
                <w:lang w:val="en-US" w:eastAsia="zh-CN"/>
              </w:rPr>
              <w:t>以新带老削减量（新建项目不填）⑤</w:t>
            </w:r>
          </w:p>
        </w:tc>
        <w:tc>
          <w:tcPr>
            <w:tcW w:w="1605" w:type="dxa"/>
            <w:noWrap w:val="0"/>
            <w:tcMar>
              <w:top w:w="0" w:type="dxa"/>
              <w:left w:w="0" w:type="dxa"/>
              <w:bottom w:w="0" w:type="dxa"/>
              <w:right w:w="0" w:type="dxa"/>
            </w:tcMar>
            <w:vAlign w:val="center"/>
          </w:tcPr>
          <w:p w14:paraId="15207916">
            <w:pPr>
              <w:pStyle w:val="33"/>
              <w:snapToGrid w:val="0"/>
              <w:spacing w:line="240" w:lineRule="auto"/>
              <w:jc w:val="center"/>
              <w:rPr>
                <w:color w:val="auto"/>
                <w:lang w:val="en-US" w:eastAsia="zh-CN"/>
              </w:rPr>
            </w:pPr>
            <w:r>
              <w:rPr>
                <w:rFonts w:hAnsi="宋体"/>
                <w:color w:val="auto"/>
                <w:lang w:val="en-US" w:eastAsia="zh-CN"/>
              </w:rPr>
              <w:t>本项目建成后</w:t>
            </w:r>
          </w:p>
          <w:p w14:paraId="1D556546">
            <w:pPr>
              <w:pStyle w:val="33"/>
              <w:snapToGrid w:val="0"/>
              <w:spacing w:line="240" w:lineRule="auto"/>
              <w:jc w:val="center"/>
              <w:rPr>
                <w:color w:val="auto"/>
                <w:lang w:val="en-US" w:eastAsia="zh-CN"/>
              </w:rPr>
            </w:pPr>
            <w:r>
              <w:rPr>
                <w:rFonts w:hAnsi="宋体"/>
                <w:color w:val="auto"/>
                <w:lang w:val="en-US" w:eastAsia="zh-CN"/>
              </w:rPr>
              <w:t>全厂排放量（固体废物产生量）⑥</w:t>
            </w:r>
          </w:p>
        </w:tc>
        <w:tc>
          <w:tcPr>
            <w:tcW w:w="1503" w:type="dxa"/>
            <w:noWrap w:val="0"/>
            <w:tcMar>
              <w:top w:w="0" w:type="dxa"/>
              <w:left w:w="0" w:type="dxa"/>
              <w:bottom w:w="0" w:type="dxa"/>
              <w:right w:w="0" w:type="dxa"/>
            </w:tcMar>
            <w:vAlign w:val="center"/>
          </w:tcPr>
          <w:p w14:paraId="2D82EA0C">
            <w:pPr>
              <w:pStyle w:val="33"/>
              <w:snapToGrid w:val="0"/>
              <w:spacing w:line="240" w:lineRule="auto"/>
              <w:jc w:val="center"/>
              <w:rPr>
                <w:color w:val="auto"/>
                <w:lang w:val="en-US"/>
              </w:rPr>
            </w:pPr>
            <w:r>
              <w:rPr>
                <w:rFonts w:hAnsi="宋体"/>
                <w:color w:val="auto"/>
                <w:lang w:val="en-US"/>
              </w:rPr>
              <w:t>变化量</w:t>
            </w:r>
          </w:p>
          <w:p w14:paraId="08EB5742">
            <w:pPr>
              <w:pStyle w:val="33"/>
              <w:snapToGrid w:val="0"/>
              <w:spacing w:line="240" w:lineRule="auto"/>
              <w:jc w:val="center"/>
              <w:rPr>
                <w:color w:val="auto"/>
                <w:lang w:val="en-US"/>
              </w:rPr>
            </w:pPr>
            <w:r>
              <w:rPr>
                <w:rFonts w:hAnsi="宋体"/>
                <w:color w:val="auto"/>
                <w:lang w:val="en-US"/>
              </w:rPr>
              <w:t>⑦</w:t>
            </w:r>
          </w:p>
        </w:tc>
      </w:tr>
      <w:tr w14:paraId="63F9A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exact"/>
          <w:jc w:val="center"/>
        </w:trPr>
        <w:tc>
          <w:tcPr>
            <w:tcW w:w="752" w:type="dxa"/>
            <w:tcBorders>
              <w:top w:val="single" w:color="auto" w:sz="2" w:space="0"/>
            </w:tcBorders>
            <w:noWrap w:val="0"/>
            <w:tcMar>
              <w:top w:w="0" w:type="dxa"/>
              <w:left w:w="0" w:type="dxa"/>
              <w:bottom w:w="0" w:type="dxa"/>
              <w:right w:w="0" w:type="dxa"/>
            </w:tcMar>
            <w:vAlign w:val="center"/>
          </w:tcPr>
          <w:p w14:paraId="749907CE">
            <w:pPr>
              <w:pStyle w:val="33"/>
              <w:snapToGrid w:val="0"/>
              <w:jc w:val="center"/>
              <w:rPr>
                <w:color w:val="auto"/>
                <w:lang w:val="en-US"/>
              </w:rPr>
            </w:pPr>
            <w:r>
              <w:rPr>
                <w:rFonts w:hAnsi="宋体"/>
                <w:color w:val="auto"/>
                <w:lang w:val="en-US"/>
              </w:rPr>
              <w:t>废气</w:t>
            </w:r>
          </w:p>
        </w:tc>
        <w:tc>
          <w:tcPr>
            <w:tcW w:w="1849" w:type="dxa"/>
            <w:tcBorders>
              <w:top w:val="single" w:color="auto" w:sz="4" w:space="0"/>
            </w:tcBorders>
            <w:noWrap w:val="0"/>
            <w:tcMar>
              <w:top w:w="0" w:type="dxa"/>
              <w:left w:w="0" w:type="dxa"/>
              <w:bottom w:w="0" w:type="dxa"/>
              <w:right w:w="0" w:type="dxa"/>
            </w:tcMar>
            <w:vAlign w:val="center"/>
          </w:tcPr>
          <w:p w14:paraId="24787D78">
            <w:pPr>
              <w:pStyle w:val="33"/>
              <w:snapToGrid w:val="0"/>
              <w:spacing w:line="240" w:lineRule="auto"/>
              <w:jc w:val="center"/>
              <w:rPr>
                <w:rFonts w:hint="default"/>
                <w:color w:val="auto"/>
                <w:highlight w:val="red"/>
                <w:lang w:val="en-US" w:eastAsia="zh-CN"/>
              </w:rPr>
            </w:pPr>
            <w:r>
              <w:rPr>
                <w:rFonts w:hint="eastAsia"/>
                <w:color w:val="auto"/>
                <w:highlight w:val="none"/>
                <w:lang w:val="en-US" w:eastAsia="zh-CN"/>
              </w:rPr>
              <w:t>臭气浓度</w:t>
            </w:r>
          </w:p>
        </w:tc>
        <w:tc>
          <w:tcPr>
            <w:tcW w:w="1823" w:type="dxa"/>
            <w:noWrap w:val="0"/>
            <w:tcMar>
              <w:top w:w="0" w:type="dxa"/>
              <w:left w:w="0" w:type="dxa"/>
              <w:bottom w:w="0" w:type="dxa"/>
              <w:right w:w="0" w:type="dxa"/>
            </w:tcMar>
            <w:vAlign w:val="center"/>
          </w:tcPr>
          <w:p w14:paraId="71FFBA7A">
            <w:pPr>
              <w:pStyle w:val="33"/>
              <w:snapToGrid w:val="0"/>
              <w:spacing w:line="240" w:lineRule="auto"/>
              <w:jc w:val="center"/>
              <w:rPr>
                <w:rFonts w:hint="default"/>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7A96B1CD">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535BC467">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AC1574F">
            <w:pPr>
              <w:pStyle w:val="33"/>
              <w:snapToGrid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少量</w:t>
            </w:r>
          </w:p>
        </w:tc>
        <w:tc>
          <w:tcPr>
            <w:tcW w:w="1743" w:type="dxa"/>
            <w:noWrap w:val="0"/>
            <w:tcMar>
              <w:top w:w="0" w:type="dxa"/>
              <w:left w:w="0" w:type="dxa"/>
              <w:bottom w:w="0" w:type="dxa"/>
              <w:right w:w="0" w:type="dxa"/>
            </w:tcMar>
            <w:vAlign w:val="center"/>
          </w:tcPr>
          <w:p w14:paraId="391682D5">
            <w:pPr>
              <w:snapToGrid w:val="0"/>
              <w:spacing w:line="240" w:lineRule="auto"/>
              <w:ind w:firstLine="480" w:firstLineChars="200"/>
              <w:jc w:val="center"/>
              <w:rPr>
                <w:rFonts w:hint="eastAsia" w:ascii="Times New Roman" w:hAnsi="Times New Roman" w:eastAsia="宋体" w:cs="Times New Roman"/>
                <w:color w:val="auto"/>
                <w:lang w:val="en-US"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3CD6EEFB">
            <w:pPr>
              <w:pStyle w:val="33"/>
              <w:snapToGrid w:val="0"/>
              <w:spacing w:line="240" w:lineRule="auto"/>
              <w:jc w:val="center"/>
              <w:rPr>
                <w:rFonts w:hint="default"/>
                <w:color w:val="auto"/>
                <w:lang w:val="en-US" w:eastAsia="zh-CN"/>
              </w:rPr>
            </w:pPr>
            <w:r>
              <w:rPr>
                <w:rFonts w:hint="eastAsia"/>
                <w:color w:val="auto"/>
                <w:lang w:val="en-US" w:eastAsia="zh-CN"/>
              </w:rPr>
              <w:t>少量</w:t>
            </w:r>
          </w:p>
        </w:tc>
        <w:tc>
          <w:tcPr>
            <w:tcW w:w="1503" w:type="dxa"/>
            <w:tcBorders>
              <w:bottom w:val="single" w:color="auto" w:sz="8" w:space="0"/>
            </w:tcBorders>
            <w:noWrap w:val="0"/>
            <w:tcMar>
              <w:top w:w="0" w:type="dxa"/>
              <w:left w:w="0" w:type="dxa"/>
              <w:bottom w:w="0" w:type="dxa"/>
              <w:right w:w="0" w:type="dxa"/>
            </w:tcMar>
            <w:vAlign w:val="center"/>
          </w:tcPr>
          <w:p w14:paraId="36B54F26">
            <w:pPr>
              <w:pStyle w:val="33"/>
              <w:snapToGrid w:val="0"/>
              <w:spacing w:line="240" w:lineRule="auto"/>
              <w:jc w:val="center"/>
              <w:rPr>
                <w:rFonts w:hint="default"/>
                <w:color w:val="auto"/>
                <w:lang w:val="en-US" w:eastAsia="zh-CN"/>
              </w:rPr>
            </w:pPr>
            <w:r>
              <w:rPr>
                <w:rFonts w:hint="eastAsia"/>
                <w:color w:val="auto"/>
                <w:lang w:val="en-US" w:eastAsia="zh-CN"/>
              </w:rPr>
              <w:t>少量</w:t>
            </w:r>
          </w:p>
        </w:tc>
      </w:tr>
      <w:tr w14:paraId="2B686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exact"/>
          <w:jc w:val="center"/>
        </w:trPr>
        <w:tc>
          <w:tcPr>
            <w:tcW w:w="752" w:type="dxa"/>
            <w:vMerge w:val="restart"/>
            <w:noWrap w:val="0"/>
            <w:tcMar>
              <w:top w:w="0" w:type="dxa"/>
              <w:left w:w="0" w:type="dxa"/>
              <w:bottom w:w="0" w:type="dxa"/>
              <w:right w:w="0" w:type="dxa"/>
            </w:tcMar>
            <w:vAlign w:val="center"/>
          </w:tcPr>
          <w:p w14:paraId="35DC6732">
            <w:pPr>
              <w:pStyle w:val="33"/>
              <w:snapToGrid w:val="0"/>
              <w:spacing w:line="240" w:lineRule="auto"/>
              <w:jc w:val="center"/>
              <w:rPr>
                <w:color w:val="auto"/>
                <w:lang w:val="en-US"/>
              </w:rPr>
            </w:pPr>
            <w:r>
              <w:rPr>
                <w:rFonts w:hAnsi="宋体"/>
                <w:color w:val="auto"/>
                <w:lang w:val="en-US"/>
              </w:rPr>
              <w:t>废水</w:t>
            </w:r>
          </w:p>
        </w:tc>
        <w:tc>
          <w:tcPr>
            <w:tcW w:w="1849" w:type="dxa"/>
            <w:tcBorders>
              <w:top w:val="single" w:color="auto" w:sz="8" w:space="0"/>
              <w:bottom w:val="single" w:color="auto" w:sz="4" w:space="0"/>
            </w:tcBorders>
            <w:noWrap w:val="0"/>
            <w:tcMar>
              <w:top w:w="0" w:type="dxa"/>
              <w:left w:w="0" w:type="dxa"/>
              <w:bottom w:w="0" w:type="dxa"/>
              <w:right w:w="0" w:type="dxa"/>
            </w:tcMar>
            <w:vAlign w:val="center"/>
          </w:tcPr>
          <w:p w14:paraId="5DDB5968">
            <w:pPr>
              <w:pStyle w:val="33"/>
              <w:snapToGrid w:val="0"/>
              <w:spacing w:line="240" w:lineRule="auto"/>
              <w:jc w:val="center"/>
              <w:rPr>
                <w:color w:val="auto"/>
                <w:highlight w:val="none"/>
                <w:lang w:val="en-US"/>
              </w:rPr>
            </w:pPr>
            <w:r>
              <w:rPr>
                <w:color w:val="auto"/>
                <w:highlight w:val="none"/>
                <w:lang w:val="en-US"/>
              </w:rPr>
              <w:t>COD</w:t>
            </w:r>
          </w:p>
        </w:tc>
        <w:tc>
          <w:tcPr>
            <w:tcW w:w="1823" w:type="dxa"/>
            <w:noWrap w:val="0"/>
            <w:tcMar>
              <w:top w:w="0" w:type="dxa"/>
              <w:left w:w="0" w:type="dxa"/>
              <w:bottom w:w="0" w:type="dxa"/>
              <w:right w:w="0" w:type="dxa"/>
            </w:tcMar>
            <w:vAlign w:val="center"/>
          </w:tcPr>
          <w:p w14:paraId="7407A5F8">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72D242C7">
            <w:pPr>
              <w:snapToGrid w:val="0"/>
              <w:spacing w:line="240" w:lineRule="auto"/>
              <w:ind w:firstLine="480" w:firstLineChars="200"/>
              <w:jc w:val="center"/>
              <w:rPr>
                <w:color w:val="auto"/>
                <w:sz w:val="21"/>
                <w:szCs w:val="21"/>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56F00793">
            <w:pPr>
              <w:snapToGrid w:val="0"/>
              <w:spacing w:line="240" w:lineRule="auto"/>
              <w:ind w:firstLine="480" w:firstLineChars="200"/>
              <w:jc w:val="center"/>
              <w:rPr>
                <w:color w:val="auto"/>
                <w:sz w:val="21"/>
                <w:szCs w:val="21"/>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67F58D45">
            <w:pPr>
              <w:pStyle w:val="33"/>
              <w:snapToGrid w:val="0"/>
              <w:spacing w:line="240" w:lineRule="auto"/>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08278</w:t>
            </w:r>
            <w:r>
              <w:rPr>
                <w:rFonts w:hint="eastAsia" w:ascii="Times New Roman" w:hAnsi="Times New Roman" w:eastAsia="宋体" w:cs="Times New Roman"/>
                <w:snapToGrid w:val="0"/>
                <w:color w:val="auto"/>
                <w:kern w:val="0"/>
                <w:sz w:val="21"/>
                <w:szCs w:val="21"/>
                <w:lang w:val="en-US" w:eastAsia="zh-CN" w:bidi="ar-SA"/>
              </w:rPr>
              <w:t>t/a</w:t>
            </w:r>
          </w:p>
        </w:tc>
        <w:tc>
          <w:tcPr>
            <w:tcW w:w="1743" w:type="dxa"/>
            <w:noWrap w:val="0"/>
            <w:tcMar>
              <w:top w:w="0" w:type="dxa"/>
              <w:left w:w="0" w:type="dxa"/>
              <w:bottom w:w="0" w:type="dxa"/>
              <w:right w:w="0" w:type="dxa"/>
            </w:tcMar>
            <w:vAlign w:val="center"/>
          </w:tcPr>
          <w:p w14:paraId="2B830548">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4F99C27C">
            <w:pPr>
              <w:pStyle w:val="33"/>
              <w:snapToGrid w:val="0"/>
              <w:spacing w:line="240" w:lineRule="auto"/>
              <w:ind w:firstLine="0" w:firstLineChars="0"/>
              <w:jc w:val="center"/>
              <w:rPr>
                <w:color w:val="auto"/>
                <w:lang w:val="en-US" w:eastAsia="zh-CN"/>
              </w:rPr>
            </w:pPr>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08278</w:t>
            </w:r>
            <w:r>
              <w:rPr>
                <w:rFonts w:hint="eastAsia" w:ascii="Times New Roman" w:hAnsi="Times New Roman" w:eastAsia="宋体" w:cs="Times New Roman"/>
                <w:snapToGrid w:val="0"/>
                <w:color w:val="auto"/>
                <w:kern w:val="0"/>
                <w:sz w:val="21"/>
                <w:szCs w:val="21"/>
                <w:lang w:val="en-US" w:eastAsia="zh-CN" w:bidi="ar-SA"/>
              </w:rPr>
              <w:t>t/a</w:t>
            </w:r>
          </w:p>
        </w:tc>
        <w:tc>
          <w:tcPr>
            <w:tcW w:w="1503" w:type="dxa"/>
            <w:noWrap w:val="0"/>
            <w:tcMar>
              <w:top w:w="0" w:type="dxa"/>
              <w:left w:w="0" w:type="dxa"/>
              <w:bottom w:w="0" w:type="dxa"/>
              <w:right w:w="0" w:type="dxa"/>
            </w:tcMar>
            <w:vAlign w:val="center"/>
          </w:tcPr>
          <w:p w14:paraId="223C3C7F">
            <w:pPr>
              <w:pStyle w:val="33"/>
              <w:snapToGrid w:val="0"/>
              <w:spacing w:line="240" w:lineRule="auto"/>
              <w:ind w:firstLine="0" w:firstLineChars="0"/>
              <w:jc w:val="center"/>
              <w:rPr>
                <w:color w:val="auto"/>
                <w:lang w:val="en-US" w:eastAsia="zh-CN"/>
              </w:rPr>
            </w:pPr>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08278</w:t>
            </w:r>
            <w:r>
              <w:rPr>
                <w:rFonts w:hint="eastAsia" w:ascii="Times New Roman" w:hAnsi="Times New Roman" w:eastAsia="宋体" w:cs="Times New Roman"/>
                <w:snapToGrid w:val="0"/>
                <w:color w:val="auto"/>
                <w:kern w:val="0"/>
                <w:sz w:val="21"/>
                <w:szCs w:val="21"/>
                <w:lang w:val="en-US" w:eastAsia="zh-CN" w:bidi="ar-SA"/>
              </w:rPr>
              <w:t>t/a</w:t>
            </w:r>
          </w:p>
        </w:tc>
      </w:tr>
      <w:tr w14:paraId="23B02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7" w:hRule="exact"/>
          <w:jc w:val="center"/>
        </w:trPr>
        <w:tc>
          <w:tcPr>
            <w:tcW w:w="752" w:type="dxa"/>
            <w:vMerge w:val="continue"/>
            <w:noWrap w:val="0"/>
            <w:tcMar>
              <w:top w:w="0" w:type="dxa"/>
              <w:left w:w="0" w:type="dxa"/>
              <w:bottom w:w="0" w:type="dxa"/>
              <w:right w:w="0" w:type="dxa"/>
            </w:tcMar>
            <w:vAlign w:val="center"/>
          </w:tcPr>
          <w:p w14:paraId="385AA301">
            <w:pPr>
              <w:pStyle w:val="33"/>
              <w:snapToGrid w:val="0"/>
              <w:spacing w:line="240" w:lineRule="auto"/>
              <w:jc w:val="center"/>
              <w:rPr>
                <w:color w:val="auto"/>
                <w:lang w:val="en-US"/>
              </w:rPr>
            </w:pPr>
          </w:p>
        </w:tc>
        <w:tc>
          <w:tcPr>
            <w:tcW w:w="1849" w:type="dxa"/>
            <w:tcBorders>
              <w:top w:val="single" w:color="auto" w:sz="4" w:space="0"/>
              <w:bottom w:val="single" w:color="auto" w:sz="4" w:space="0"/>
            </w:tcBorders>
            <w:noWrap w:val="0"/>
            <w:tcMar>
              <w:top w:w="0" w:type="dxa"/>
              <w:left w:w="0" w:type="dxa"/>
              <w:bottom w:w="0" w:type="dxa"/>
              <w:right w:w="0" w:type="dxa"/>
            </w:tcMar>
            <w:vAlign w:val="center"/>
          </w:tcPr>
          <w:p w14:paraId="0C0BABD2">
            <w:pPr>
              <w:pStyle w:val="33"/>
              <w:snapToGrid w:val="0"/>
              <w:spacing w:line="240" w:lineRule="auto"/>
              <w:jc w:val="center"/>
              <w:rPr>
                <w:color w:val="auto"/>
                <w:highlight w:val="none"/>
                <w:lang w:val="en-US"/>
              </w:rPr>
            </w:pPr>
            <w:r>
              <w:rPr>
                <w:color w:val="auto"/>
                <w:highlight w:val="none"/>
                <w:lang w:val="en-US"/>
              </w:rPr>
              <w:t>NH</w:t>
            </w:r>
            <w:r>
              <w:rPr>
                <w:color w:val="auto"/>
                <w:highlight w:val="none"/>
                <w:vertAlign w:val="subscript"/>
                <w:lang w:val="en-US"/>
              </w:rPr>
              <w:t>3</w:t>
            </w:r>
            <w:r>
              <w:rPr>
                <w:color w:val="auto"/>
                <w:highlight w:val="none"/>
                <w:lang w:val="en-US"/>
              </w:rPr>
              <w:t>-N</w:t>
            </w:r>
          </w:p>
        </w:tc>
        <w:tc>
          <w:tcPr>
            <w:tcW w:w="1823" w:type="dxa"/>
            <w:noWrap w:val="0"/>
            <w:tcMar>
              <w:top w:w="0" w:type="dxa"/>
              <w:left w:w="0" w:type="dxa"/>
              <w:bottom w:w="0" w:type="dxa"/>
              <w:right w:w="0" w:type="dxa"/>
            </w:tcMar>
            <w:vAlign w:val="center"/>
          </w:tcPr>
          <w:p w14:paraId="5E49FF89">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45BE6049">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288ACC28">
            <w:pPr>
              <w:snapToGrid w:val="0"/>
              <w:spacing w:line="240" w:lineRule="auto"/>
              <w:ind w:firstLine="480" w:firstLineChars="200"/>
              <w:jc w:val="center"/>
              <w:rPr>
                <w:color w:val="auto"/>
                <w:sz w:val="21"/>
                <w:szCs w:val="21"/>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5ACD1E9">
            <w:pPr>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bookmarkStart w:id="70" w:name="OLE_LINK80"/>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00651</w:t>
            </w:r>
            <w:r>
              <w:rPr>
                <w:rFonts w:hint="eastAsia" w:ascii="Times New Roman" w:hAnsi="Times New Roman" w:eastAsia="宋体" w:cs="Times New Roman"/>
                <w:snapToGrid w:val="0"/>
                <w:color w:val="auto"/>
                <w:kern w:val="0"/>
                <w:sz w:val="21"/>
                <w:szCs w:val="21"/>
                <w:lang w:val="en-US" w:eastAsia="zh-CN" w:bidi="ar-SA"/>
              </w:rPr>
              <w:t>t/a</w:t>
            </w:r>
            <w:bookmarkEnd w:id="70"/>
          </w:p>
        </w:tc>
        <w:tc>
          <w:tcPr>
            <w:tcW w:w="1743" w:type="dxa"/>
            <w:noWrap w:val="0"/>
            <w:tcMar>
              <w:top w:w="0" w:type="dxa"/>
              <w:left w:w="0" w:type="dxa"/>
              <w:bottom w:w="0" w:type="dxa"/>
              <w:right w:w="0" w:type="dxa"/>
            </w:tcMar>
            <w:vAlign w:val="center"/>
          </w:tcPr>
          <w:p w14:paraId="74D8E416">
            <w:pPr>
              <w:snapToGrid w:val="0"/>
              <w:spacing w:line="240" w:lineRule="auto"/>
              <w:ind w:firstLine="480" w:firstLineChars="200"/>
              <w:jc w:val="center"/>
              <w:rPr>
                <w:color w:val="auto"/>
                <w:sz w:val="21"/>
                <w:szCs w:val="21"/>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19BC0FD3">
            <w:pPr>
              <w:snapToGrid w:val="0"/>
              <w:spacing w:line="240" w:lineRule="auto"/>
              <w:ind w:firstLine="0" w:firstLineChars="0"/>
              <w:jc w:val="center"/>
              <w:rPr>
                <w:color w:val="auto"/>
                <w:sz w:val="21"/>
                <w:szCs w:val="21"/>
              </w:rPr>
            </w:pPr>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00651</w:t>
            </w:r>
            <w:r>
              <w:rPr>
                <w:rFonts w:hint="eastAsia" w:ascii="Times New Roman" w:hAnsi="Times New Roman" w:eastAsia="宋体" w:cs="Times New Roman"/>
                <w:snapToGrid w:val="0"/>
                <w:color w:val="auto"/>
                <w:kern w:val="0"/>
                <w:sz w:val="21"/>
                <w:szCs w:val="21"/>
                <w:lang w:val="en-US" w:eastAsia="zh-CN" w:bidi="ar-SA"/>
              </w:rPr>
              <w:t>t/a</w:t>
            </w:r>
          </w:p>
        </w:tc>
        <w:tc>
          <w:tcPr>
            <w:tcW w:w="1503" w:type="dxa"/>
            <w:noWrap w:val="0"/>
            <w:tcMar>
              <w:top w:w="0" w:type="dxa"/>
              <w:left w:w="0" w:type="dxa"/>
              <w:bottom w:w="0" w:type="dxa"/>
              <w:right w:w="0" w:type="dxa"/>
            </w:tcMar>
            <w:vAlign w:val="center"/>
          </w:tcPr>
          <w:p w14:paraId="1D3446BE">
            <w:pPr>
              <w:snapToGrid w:val="0"/>
              <w:spacing w:line="240" w:lineRule="auto"/>
              <w:ind w:firstLine="0" w:firstLineChars="0"/>
              <w:jc w:val="center"/>
              <w:rPr>
                <w:color w:val="auto"/>
                <w:sz w:val="21"/>
                <w:szCs w:val="21"/>
              </w:rPr>
            </w:pPr>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00651</w:t>
            </w:r>
            <w:r>
              <w:rPr>
                <w:rFonts w:hint="eastAsia" w:ascii="Times New Roman" w:hAnsi="Times New Roman" w:eastAsia="宋体" w:cs="Times New Roman"/>
                <w:snapToGrid w:val="0"/>
                <w:color w:val="auto"/>
                <w:kern w:val="0"/>
                <w:sz w:val="21"/>
                <w:szCs w:val="21"/>
                <w:lang w:val="en-US" w:eastAsia="zh-CN" w:bidi="ar-SA"/>
              </w:rPr>
              <w:t>t/a</w:t>
            </w:r>
          </w:p>
        </w:tc>
      </w:tr>
      <w:tr w14:paraId="40D4F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0" w:hRule="atLeast"/>
          <w:jc w:val="center"/>
        </w:trPr>
        <w:tc>
          <w:tcPr>
            <w:tcW w:w="752" w:type="dxa"/>
            <w:vMerge w:val="restart"/>
            <w:tcBorders>
              <w:right w:val="single" w:color="auto" w:sz="4" w:space="0"/>
            </w:tcBorders>
            <w:noWrap w:val="0"/>
            <w:tcMar>
              <w:top w:w="0" w:type="dxa"/>
              <w:left w:w="0" w:type="dxa"/>
              <w:bottom w:w="0" w:type="dxa"/>
              <w:right w:w="0" w:type="dxa"/>
            </w:tcMar>
            <w:vAlign w:val="center"/>
          </w:tcPr>
          <w:p w14:paraId="4E8354B0">
            <w:pPr>
              <w:pStyle w:val="33"/>
              <w:snapToGrid w:val="0"/>
              <w:spacing w:line="240" w:lineRule="auto"/>
              <w:jc w:val="center"/>
              <w:rPr>
                <w:rFonts w:hAnsi="宋体"/>
                <w:color w:val="auto"/>
                <w:lang w:val="en-US" w:eastAsia="zh-CN"/>
              </w:rPr>
            </w:pPr>
            <w:bookmarkStart w:id="71" w:name="OLE_LINK77" w:colFirst="5" w:colLast="5"/>
            <w:r>
              <w:rPr>
                <w:rFonts w:hAnsi="宋体"/>
                <w:color w:val="auto"/>
                <w:lang w:val="en-US" w:eastAsia="zh-CN"/>
              </w:rPr>
              <w:t>一般</w:t>
            </w:r>
          </w:p>
          <w:p w14:paraId="74BC59F2">
            <w:pPr>
              <w:pStyle w:val="33"/>
              <w:snapToGrid w:val="0"/>
              <w:spacing w:line="240" w:lineRule="auto"/>
              <w:jc w:val="center"/>
              <w:rPr>
                <w:color w:val="auto"/>
                <w:lang w:val="en-US" w:eastAsia="zh-CN"/>
              </w:rPr>
            </w:pPr>
            <w:r>
              <w:rPr>
                <w:rFonts w:hAnsi="宋体"/>
                <w:color w:val="auto"/>
                <w:lang w:val="en-US" w:eastAsia="zh-CN"/>
              </w:rPr>
              <w:t>固废</w:t>
            </w: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325F9CC4">
            <w:pPr>
              <w:pStyle w:val="38"/>
              <w:snapToGrid w:val="0"/>
              <w:rPr>
                <w:color w:val="auto"/>
                <w:highlight w:val="red"/>
                <w:lang w:val="en-US" w:eastAsia="zh-CN"/>
              </w:rPr>
            </w:pPr>
            <w:r>
              <w:rPr>
                <w:rStyle w:val="39"/>
                <w:rFonts w:hint="default" w:ascii="Times New Roman" w:hAnsi="Times New Roman" w:eastAsia="宋体" w:cs="Times New Roman"/>
                <w:color w:val="auto"/>
                <w:sz w:val="21"/>
                <w:szCs w:val="21"/>
                <w:lang w:val="en-US" w:eastAsia="zh-CN"/>
              </w:rPr>
              <w:t>拆包过程产生的废包装物、输液过程产生的输液瓶（袋）</w:t>
            </w:r>
          </w:p>
        </w:tc>
        <w:tc>
          <w:tcPr>
            <w:tcW w:w="1823" w:type="dxa"/>
            <w:noWrap w:val="0"/>
            <w:tcMar>
              <w:top w:w="0" w:type="dxa"/>
              <w:left w:w="0" w:type="dxa"/>
              <w:bottom w:w="0" w:type="dxa"/>
              <w:right w:w="0" w:type="dxa"/>
            </w:tcMar>
            <w:vAlign w:val="center"/>
          </w:tcPr>
          <w:p w14:paraId="113FEFBE">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11C61D20">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1BB97023">
            <w:pPr>
              <w:snapToGrid w:val="0"/>
              <w:spacing w:line="240" w:lineRule="auto"/>
              <w:ind w:firstLine="480" w:firstLineChars="200"/>
              <w:jc w:val="center"/>
              <w:rPr>
                <w:color w:val="auto"/>
                <w:sz w:val="21"/>
                <w:szCs w:val="21"/>
                <w:lang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1BFBD75">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2t/a</w:t>
            </w:r>
          </w:p>
        </w:tc>
        <w:tc>
          <w:tcPr>
            <w:tcW w:w="1743" w:type="dxa"/>
            <w:noWrap w:val="0"/>
            <w:tcMar>
              <w:top w:w="0" w:type="dxa"/>
              <w:left w:w="0" w:type="dxa"/>
              <w:bottom w:w="0" w:type="dxa"/>
              <w:right w:w="0" w:type="dxa"/>
            </w:tcMar>
            <w:vAlign w:val="center"/>
          </w:tcPr>
          <w:p w14:paraId="3AFBDDD0">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556FA56F">
            <w:pPr>
              <w:pStyle w:val="38"/>
              <w:snapToGrid w:val="0"/>
              <w:ind w:firstLine="0" w:firstLineChars="0"/>
              <w:rPr>
                <w:rFonts w:hint="default"/>
                <w:color w:val="auto"/>
                <w:sz w:val="21"/>
                <w:szCs w:val="21"/>
                <w:lang w:val="en-US" w:eastAsia="zh-CN"/>
              </w:rPr>
            </w:pP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2t/a</w:t>
            </w:r>
          </w:p>
        </w:tc>
        <w:tc>
          <w:tcPr>
            <w:tcW w:w="1503" w:type="dxa"/>
            <w:noWrap w:val="0"/>
            <w:tcMar>
              <w:top w:w="0" w:type="dxa"/>
              <w:left w:w="0" w:type="dxa"/>
              <w:bottom w:w="0" w:type="dxa"/>
              <w:right w:w="0" w:type="dxa"/>
            </w:tcMar>
            <w:vAlign w:val="center"/>
          </w:tcPr>
          <w:p w14:paraId="0B1B693C">
            <w:pPr>
              <w:pStyle w:val="38"/>
              <w:snapToGrid w:val="0"/>
              <w:ind w:firstLine="0" w:firstLineChars="0"/>
              <w:rPr>
                <w:rFonts w:hint="default"/>
                <w:color w:val="auto"/>
                <w:lang w:val="en-US" w:eastAsia="zh-CN"/>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2t/a</w:t>
            </w:r>
          </w:p>
        </w:tc>
      </w:tr>
      <w:tr w14:paraId="1CDE7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4FDCA4B8">
            <w:pPr>
              <w:pStyle w:val="33"/>
              <w:snapToGrid w:val="0"/>
              <w:spacing w:line="240" w:lineRule="auto"/>
              <w:jc w:val="center"/>
              <w:rPr>
                <w:rFonts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15D3C99D">
            <w:pPr>
              <w:pStyle w:val="38"/>
              <w:snapToGrid w:val="0"/>
              <w:ind w:firstLine="0" w:firstLineChars="0"/>
              <w:rPr>
                <w:rFonts w:hint="default"/>
                <w:color w:val="auto"/>
                <w:sz w:val="21"/>
                <w:szCs w:val="21"/>
                <w:highlight w:val="red"/>
                <w:lang w:val="en-US" w:eastAsia="zh-CN"/>
              </w:rPr>
            </w:pPr>
            <w:r>
              <w:rPr>
                <w:rStyle w:val="39"/>
                <w:rFonts w:hint="default" w:ascii="Times New Roman" w:hAnsi="Times New Roman" w:eastAsia="宋体" w:cs="Times New Roman"/>
                <w:color w:val="auto"/>
                <w:sz w:val="21"/>
                <w:szCs w:val="21"/>
                <w:lang w:val="en-US" w:eastAsia="zh-CN"/>
              </w:rPr>
              <w:t>宠物毛发</w:t>
            </w:r>
          </w:p>
        </w:tc>
        <w:tc>
          <w:tcPr>
            <w:tcW w:w="1823" w:type="dxa"/>
            <w:noWrap w:val="0"/>
            <w:tcMar>
              <w:top w:w="0" w:type="dxa"/>
              <w:left w:w="0" w:type="dxa"/>
              <w:bottom w:w="0" w:type="dxa"/>
              <w:right w:w="0" w:type="dxa"/>
            </w:tcMar>
            <w:vAlign w:val="center"/>
          </w:tcPr>
          <w:p w14:paraId="4D93EAED">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295C62D9">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582E9EDC">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3C76347">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3t/a</w:t>
            </w:r>
          </w:p>
        </w:tc>
        <w:tc>
          <w:tcPr>
            <w:tcW w:w="1743" w:type="dxa"/>
            <w:noWrap w:val="0"/>
            <w:tcMar>
              <w:top w:w="0" w:type="dxa"/>
              <w:left w:w="0" w:type="dxa"/>
              <w:bottom w:w="0" w:type="dxa"/>
              <w:right w:w="0" w:type="dxa"/>
            </w:tcMar>
            <w:vAlign w:val="center"/>
          </w:tcPr>
          <w:p w14:paraId="2D6F4077">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53B6886F">
            <w:pPr>
              <w:pStyle w:val="38"/>
              <w:snapToGrid w:val="0"/>
              <w:ind w:firstLine="0" w:firstLineChars="0"/>
              <w:rPr>
                <w:rFonts w:hint="default"/>
                <w:color w:val="auto"/>
                <w:sz w:val="21"/>
                <w:szCs w:val="21"/>
                <w:lang w:val="en-US" w:eastAsia="zh-CN"/>
              </w:rPr>
            </w:pP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3t/a</w:t>
            </w:r>
          </w:p>
        </w:tc>
        <w:tc>
          <w:tcPr>
            <w:tcW w:w="1503" w:type="dxa"/>
            <w:noWrap w:val="0"/>
            <w:tcMar>
              <w:top w:w="0" w:type="dxa"/>
              <w:left w:w="0" w:type="dxa"/>
              <w:bottom w:w="0" w:type="dxa"/>
              <w:right w:w="0" w:type="dxa"/>
            </w:tcMar>
            <w:vAlign w:val="center"/>
          </w:tcPr>
          <w:p w14:paraId="1A305F88">
            <w:pPr>
              <w:pStyle w:val="38"/>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3t/a</w:t>
            </w:r>
          </w:p>
        </w:tc>
      </w:tr>
      <w:tr w14:paraId="39E52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235BE4AC">
            <w:pPr>
              <w:pStyle w:val="33"/>
              <w:snapToGrid w:val="0"/>
              <w:spacing w:line="240" w:lineRule="auto"/>
              <w:jc w:val="center"/>
              <w:rPr>
                <w:rFonts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721F87A3">
            <w:pPr>
              <w:pStyle w:val="38"/>
              <w:snapToGrid w:val="0"/>
              <w:ind w:firstLine="0" w:firstLineChars="0"/>
              <w:rPr>
                <w:rFonts w:hint="eastAsia"/>
                <w:color w:val="auto"/>
                <w:sz w:val="21"/>
                <w:szCs w:val="21"/>
                <w:highlight w:val="red"/>
                <w:lang w:val="en-US" w:eastAsia="zh-CN"/>
              </w:rPr>
            </w:pPr>
            <w:r>
              <w:rPr>
                <w:rStyle w:val="39"/>
                <w:rFonts w:hint="eastAsia" w:ascii="Times New Roman" w:hAnsi="Times New Roman" w:eastAsia="宋体" w:cs="Times New Roman"/>
                <w:color w:val="auto"/>
                <w:sz w:val="21"/>
                <w:szCs w:val="21"/>
                <w:lang w:val="en-US" w:eastAsia="zh-CN"/>
              </w:rPr>
              <w:t>健康</w:t>
            </w:r>
            <w:r>
              <w:rPr>
                <w:rStyle w:val="39"/>
                <w:rFonts w:hint="default" w:ascii="Times New Roman" w:hAnsi="Times New Roman" w:eastAsia="宋体" w:cs="Times New Roman"/>
                <w:color w:val="auto"/>
                <w:sz w:val="21"/>
                <w:szCs w:val="21"/>
                <w:lang w:val="en-US" w:eastAsia="zh-CN"/>
              </w:rPr>
              <w:t>宠物粪便</w:t>
            </w:r>
            <w:r>
              <w:rPr>
                <w:rStyle w:val="39"/>
                <w:rFonts w:hint="eastAsia" w:ascii="Times New Roman" w:hAnsi="Times New Roman" w:eastAsia="宋体" w:cs="Times New Roman"/>
                <w:color w:val="auto"/>
                <w:sz w:val="21"/>
                <w:szCs w:val="21"/>
                <w:lang w:val="en-US" w:eastAsia="zh-CN"/>
              </w:rPr>
              <w:t>及猫砂</w:t>
            </w:r>
          </w:p>
        </w:tc>
        <w:tc>
          <w:tcPr>
            <w:tcW w:w="1823" w:type="dxa"/>
            <w:noWrap w:val="0"/>
            <w:tcMar>
              <w:top w:w="0" w:type="dxa"/>
              <w:left w:w="0" w:type="dxa"/>
              <w:bottom w:w="0" w:type="dxa"/>
              <w:right w:w="0" w:type="dxa"/>
            </w:tcMar>
            <w:vAlign w:val="center"/>
          </w:tcPr>
          <w:p w14:paraId="1167F2AF">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5238E9A8">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3FBFE60B">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2C87B522">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3t/a</w:t>
            </w:r>
          </w:p>
        </w:tc>
        <w:tc>
          <w:tcPr>
            <w:tcW w:w="1743" w:type="dxa"/>
            <w:noWrap w:val="0"/>
            <w:tcMar>
              <w:top w:w="0" w:type="dxa"/>
              <w:left w:w="0" w:type="dxa"/>
              <w:bottom w:w="0" w:type="dxa"/>
              <w:right w:w="0" w:type="dxa"/>
            </w:tcMar>
            <w:vAlign w:val="center"/>
          </w:tcPr>
          <w:p w14:paraId="0873E7C2">
            <w:pPr>
              <w:snapToGrid w:val="0"/>
              <w:spacing w:line="240" w:lineRule="auto"/>
              <w:ind w:firstLine="480" w:firstLineChars="200"/>
              <w:jc w:val="center"/>
              <w:rPr>
                <w:rFonts w:hint="eastAsia"/>
                <w:color w:val="auto"/>
                <w:lang w:val="en-US" w:eastAsia="zh-CN"/>
              </w:rPr>
            </w:pPr>
          </w:p>
        </w:tc>
        <w:tc>
          <w:tcPr>
            <w:tcW w:w="1605" w:type="dxa"/>
            <w:noWrap w:val="0"/>
            <w:tcMar>
              <w:top w:w="0" w:type="dxa"/>
              <w:left w:w="0" w:type="dxa"/>
              <w:bottom w:w="0" w:type="dxa"/>
              <w:right w:w="0" w:type="dxa"/>
            </w:tcMar>
            <w:vAlign w:val="center"/>
          </w:tcPr>
          <w:p w14:paraId="64AF5772">
            <w:pPr>
              <w:pStyle w:val="38"/>
              <w:snapToGrid w:val="0"/>
              <w:ind w:firstLine="0" w:firstLineChars="0"/>
              <w:rPr>
                <w:rFonts w:hint="default"/>
                <w:color w:val="auto"/>
                <w:sz w:val="21"/>
                <w:szCs w:val="21"/>
                <w:lang w:val="en-US" w:eastAsia="zh-CN"/>
              </w:rPr>
            </w:pP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3t/a</w:t>
            </w:r>
          </w:p>
        </w:tc>
        <w:tc>
          <w:tcPr>
            <w:tcW w:w="1503" w:type="dxa"/>
            <w:noWrap w:val="0"/>
            <w:tcMar>
              <w:top w:w="0" w:type="dxa"/>
              <w:left w:w="0" w:type="dxa"/>
              <w:bottom w:w="0" w:type="dxa"/>
              <w:right w:w="0" w:type="dxa"/>
            </w:tcMar>
            <w:vAlign w:val="center"/>
          </w:tcPr>
          <w:p w14:paraId="48442966">
            <w:pPr>
              <w:pStyle w:val="38"/>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3t/a</w:t>
            </w:r>
          </w:p>
        </w:tc>
      </w:tr>
      <w:tr w14:paraId="3F88C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67724FF0">
            <w:pPr>
              <w:pStyle w:val="33"/>
              <w:snapToGrid w:val="0"/>
              <w:spacing w:line="240" w:lineRule="auto"/>
              <w:jc w:val="center"/>
              <w:rPr>
                <w:rFonts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05646E2E">
            <w:pPr>
              <w:pStyle w:val="38"/>
              <w:snapToGrid w:val="0"/>
              <w:ind w:firstLine="0" w:firstLineChars="0"/>
              <w:rPr>
                <w:rFonts w:hint="eastAsia"/>
                <w:color w:val="auto"/>
                <w:sz w:val="21"/>
                <w:szCs w:val="21"/>
                <w:highlight w:val="red"/>
                <w:lang w:val="en-US" w:eastAsia="zh-CN"/>
              </w:rPr>
            </w:pPr>
            <w:r>
              <w:rPr>
                <w:rStyle w:val="39"/>
                <w:rFonts w:hint="default" w:ascii="Times New Roman" w:hAnsi="Times New Roman" w:eastAsia="宋体" w:cs="Times New Roman"/>
                <w:color w:val="auto"/>
                <w:sz w:val="21"/>
                <w:szCs w:val="21"/>
                <w:lang w:val="en-US" w:eastAsia="zh-CN"/>
              </w:rPr>
              <w:t>生活垃圾</w:t>
            </w:r>
          </w:p>
        </w:tc>
        <w:tc>
          <w:tcPr>
            <w:tcW w:w="1823" w:type="dxa"/>
            <w:noWrap w:val="0"/>
            <w:tcMar>
              <w:top w:w="0" w:type="dxa"/>
              <w:left w:w="0" w:type="dxa"/>
              <w:bottom w:w="0" w:type="dxa"/>
              <w:right w:w="0" w:type="dxa"/>
            </w:tcMar>
            <w:vAlign w:val="center"/>
          </w:tcPr>
          <w:p w14:paraId="7EA8DA40">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5ED97AA7">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6E3610F8">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7785DF6E">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0.730t/a</w:t>
            </w:r>
          </w:p>
        </w:tc>
        <w:tc>
          <w:tcPr>
            <w:tcW w:w="1743" w:type="dxa"/>
            <w:noWrap w:val="0"/>
            <w:tcMar>
              <w:top w:w="0" w:type="dxa"/>
              <w:left w:w="0" w:type="dxa"/>
              <w:bottom w:w="0" w:type="dxa"/>
              <w:right w:w="0" w:type="dxa"/>
            </w:tcMar>
            <w:vAlign w:val="center"/>
          </w:tcPr>
          <w:p w14:paraId="1AD56AD2">
            <w:pPr>
              <w:snapToGrid w:val="0"/>
              <w:spacing w:line="240" w:lineRule="auto"/>
              <w:ind w:firstLine="480" w:firstLineChars="200"/>
              <w:jc w:val="center"/>
              <w:rPr>
                <w:rFonts w:hint="eastAsia"/>
                <w:color w:val="auto"/>
                <w:lang w:val="en-US" w:eastAsia="zh-CN"/>
              </w:rPr>
            </w:pPr>
          </w:p>
        </w:tc>
        <w:tc>
          <w:tcPr>
            <w:tcW w:w="1605" w:type="dxa"/>
            <w:noWrap w:val="0"/>
            <w:tcMar>
              <w:top w:w="0" w:type="dxa"/>
              <w:left w:w="0" w:type="dxa"/>
              <w:bottom w:w="0" w:type="dxa"/>
              <w:right w:w="0" w:type="dxa"/>
            </w:tcMar>
            <w:vAlign w:val="center"/>
          </w:tcPr>
          <w:p w14:paraId="10384A59">
            <w:pPr>
              <w:pStyle w:val="38"/>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0.730t/a</w:t>
            </w:r>
          </w:p>
        </w:tc>
        <w:tc>
          <w:tcPr>
            <w:tcW w:w="1503" w:type="dxa"/>
            <w:noWrap w:val="0"/>
            <w:tcMar>
              <w:top w:w="0" w:type="dxa"/>
              <w:left w:w="0" w:type="dxa"/>
              <w:bottom w:w="0" w:type="dxa"/>
              <w:right w:w="0" w:type="dxa"/>
            </w:tcMar>
            <w:vAlign w:val="center"/>
          </w:tcPr>
          <w:p w14:paraId="6154717B">
            <w:pPr>
              <w:pStyle w:val="38"/>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+0.730t/a</w:t>
            </w:r>
          </w:p>
        </w:tc>
      </w:tr>
      <w:tr w14:paraId="12B03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bottom w:val="single" w:color="auto" w:sz="4" w:space="0"/>
              <w:right w:val="single" w:color="auto" w:sz="4" w:space="0"/>
            </w:tcBorders>
            <w:noWrap w:val="0"/>
            <w:tcMar>
              <w:top w:w="0" w:type="dxa"/>
              <w:left w:w="0" w:type="dxa"/>
              <w:bottom w:w="0" w:type="dxa"/>
              <w:right w:w="0" w:type="dxa"/>
            </w:tcMar>
            <w:vAlign w:val="center"/>
          </w:tcPr>
          <w:p w14:paraId="05442D78">
            <w:pPr>
              <w:pStyle w:val="33"/>
              <w:snapToGrid w:val="0"/>
              <w:spacing w:line="240" w:lineRule="auto"/>
              <w:jc w:val="center"/>
              <w:rPr>
                <w:rFonts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01EAA5F3">
            <w:pPr>
              <w:pStyle w:val="38"/>
              <w:snapToGrid w:val="0"/>
              <w:ind w:firstLine="0" w:firstLineChars="0"/>
              <w:rPr>
                <w:rStyle w:val="39"/>
                <w:rFonts w:hint="default" w:ascii="Times New Roman" w:hAnsi="Times New Roman" w:eastAsia="宋体" w:cs="Times New Roman"/>
                <w:color w:val="auto"/>
                <w:sz w:val="21"/>
                <w:szCs w:val="21"/>
                <w:lang w:val="en-US" w:eastAsia="zh-CN"/>
              </w:rPr>
            </w:pPr>
            <w:r>
              <w:rPr>
                <w:rStyle w:val="39"/>
                <w:rFonts w:hint="default" w:ascii="Times New Roman" w:hAnsi="Times New Roman" w:eastAsia="宋体" w:cs="Times New Roman"/>
                <w:color w:val="auto"/>
                <w:sz w:val="21"/>
                <w:szCs w:val="21"/>
                <w:lang w:val="en-US" w:eastAsia="zh-CN"/>
              </w:rPr>
              <w:t>动物尸体</w:t>
            </w:r>
          </w:p>
        </w:tc>
        <w:tc>
          <w:tcPr>
            <w:tcW w:w="1823" w:type="dxa"/>
            <w:noWrap w:val="0"/>
            <w:tcMar>
              <w:top w:w="0" w:type="dxa"/>
              <w:left w:w="0" w:type="dxa"/>
              <w:bottom w:w="0" w:type="dxa"/>
              <w:right w:w="0" w:type="dxa"/>
            </w:tcMar>
            <w:vAlign w:val="center"/>
          </w:tcPr>
          <w:p w14:paraId="0B339EAD">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0955C9AD">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67E8B37B">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609" w:type="dxa"/>
            <w:shd w:val="clear" w:color="auto" w:fill="auto"/>
            <w:noWrap w:val="0"/>
            <w:tcMar>
              <w:top w:w="0" w:type="dxa"/>
              <w:left w:w="0" w:type="dxa"/>
              <w:bottom w:w="0" w:type="dxa"/>
              <w:right w:w="0" w:type="dxa"/>
            </w:tcMar>
            <w:vAlign w:val="center"/>
          </w:tcPr>
          <w:p w14:paraId="4985A7FE">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c>
          <w:tcPr>
            <w:tcW w:w="1743" w:type="dxa"/>
            <w:shd w:val="clear" w:color="auto" w:fill="auto"/>
            <w:noWrap w:val="0"/>
            <w:tcMar>
              <w:top w:w="0" w:type="dxa"/>
              <w:left w:w="0" w:type="dxa"/>
              <w:bottom w:w="0" w:type="dxa"/>
              <w:right w:w="0" w:type="dxa"/>
            </w:tcMar>
            <w:vAlign w:val="center"/>
          </w:tcPr>
          <w:p w14:paraId="628784A1">
            <w:pPr>
              <w:snapToGrid w:val="0"/>
              <w:spacing w:line="240" w:lineRule="auto"/>
              <w:ind w:firstLine="480" w:firstLineChars="200"/>
              <w:jc w:val="center"/>
              <w:rPr>
                <w:rFonts w:hint="eastAsia" w:ascii="Times New Roman" w:hAnsi="Times New Roman" w:eastAsia="宋体" w:cs="Arial"/>
                <w:snapToGrid w:val="0"/>
                <w:color w:val="auto"/>
                <w:kern w:val="0"/>
                <w:sz w:val="24"/>
                <w:szCs w:val="21"/>
                <w:lang w:val="en-US" w:eastAsia="zh-CN"/>
              </w:rPr>
            </w:pPr>
            <w:r>
              <w:rPr>
                <w:rFonts w:hint="eastAsia"/>
                <w:color w:val="auto"/>
                <w:lang w:val="en-US" w:eastAsia="zh-CN"/>
              </w:rPr>
              <w:t>/</w:t>
            </w:r>
          </w:p>
        </w:tc>
        <w:tc>
          <w:tcPr>
            <w:tcW w:w="1605" w:type="dxa"/>
            <w:shd w:val="clear" w:color="auto" w:fill="auto"/>
            <w:noWrap w:val="0"/>
            <w:tcMar>
              <w:top w:w="0" w:type="dxa"/>
              <w:left w:w="0" w:type="dxa"/>
              <w:bottom w:w="0" w:type="dxa"/>
              <w:right w:w="0" w:type="dxa"/>
            </w:tcMar>
            <w:vAlign w:val="center"/>
          </w:tcPr>
          <w:p w14:paraId="32708604">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c>
          <w:tcPr>
            <w:tcW w:w="1503" w:type="dxa"/>
            <w:shd w:val="clear" w:color="auto" w:fill="auto"/>
            <w:noWrap w:val="0"/>
            <w:tcMar>
              <w:top w:w="0" w:type="dxa"/>
              <w:left w:w="0" w:type="dxa"/>
              <w:bottom w:w="0" w:type="dxa"/>
              <w:right w:w="0" w:type="dxa"/>
            </w:tcMar>
            <w:vAlign w:val="center"/>
          </w:tcPr>
          <w:p w14:paraId="4042D104">
            <w:pPr>
              <w:pStyle w:val="38"/>
              <w:snapToGrid w:val="0"/>
              <w:ind w:firstLine="0" w:firstLineChars="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r>
      <w:tr w14:paraId="0399D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restart"/>
            <w:tcBorders>
              <w:top w:val="single" w:color="auto" w:sz="4" w:space="0"/>
              <w:right w:val="single" w:color="auto" w:sz="4" w:space="0"/>
            </w:tcBorders>
            <w:noWrap w:val="0"/>
            <w:tcMar>
              <w:top w:w="0" w:type="dxa"/>
              <w:left w:w="0" w:type="dxa"/>
              <w:bottom w:w="0" w:type="dxa"/>
              <w:right w:w="0" w:type="dxa"/>
            </w:tcMar>
            <w:vAlign w:val="center"/>
          </w:tcPr>
          <w:p w14:paraId="60CABAFB">
            <w:pPr>
              <w:pStyle w:val="33"/>
              <w:snapToGrid w:val="0"/>
              <w:spacing w:line="240" w:lineRule="auto"/>
              <w:jc w:val="center"/>
              <w:rPr>
                <w:rFonts w:hAnsi="宋体"/>
                <w:color w:val="auto"/>
                <w:lang w:val="en-US" w:eastAsia="zh-CN"/>
              </w:rPr>
            </w:pPr>
            <w:r>
              <w:rPr>
                <w:rFonts w:hint="eastAsia" w:hAnsi="宋体"/>
                <w:color w:val="auto"/>
                <w:lang w:val="en-US" w:eastAsia="zh-CN"/>
              </w:rPr>
              <w:t>危险废物</w:t>
            </w:r>
          </w:p>
        </w:tc>
        <w:tc>
          <w:tcPr>
            <w:tcW w:w="1849" w:type="dxa"/>
            <w:tcBorders>
              <w:left w:val="single" w:color="auto" w:sz="4" w:space="0"/>
            </w:tcBorders>
            <w:noWrap w:val="0"/>
            <w:tcMar>
              <w:top w:w="0" w:type="dxa"/>
              <w:left w:w="0" w:type="dxa"/>
              <w:bottom w:w="0" w:type="dxa"/>
              <w:right w:w="0" w:type="dxa"/>
            </w:tcMar>
            <w:vAlign w:val="center"/>
          </w:tcPr>
          <w:p w14:paraId="243C6F2C">
            <w:pPr>
              <w:pStyle w:val="38"/>
              <w:snapToGrid w:val="0"/>
              <w:ind w:firstLine="0" w:firstLineChars="0"/>
              <w:rPr>
                <w:rFonts w:hint="eastAsia" w:ascii="宋体" w:eastAsia="宋体"/>
                <w:color w:val="auto"/>
                <w:sz w:val="21"/>
                <w:szCs w:val="21"/>
                <w:highlight w:val="red"/>
              </w:rPr>
            </w:pPr>
            <w:r>
              <w:rPr>
                <w:rStyle w:val="39"/>
                <w:rFonts w:hint="default" w:ascii="Times New Roman" w:hAnsi="Times New Roman" w:eastAsia="宋体" w:cs="Times New Roman"/>
                <w:color w:val="auto"/>
                <w:sz w:val="21"/>
                <w:szCs w:val="21"/>
                <w:lang w:val="en-US" w:eastAsia="zh-CN"/>
              </w:rPr>
              <w:t>医疗</w:t>
            </w:r>
            <w:r>
              <w:rPr>
                <w:rStyle w:val="39"/>
                <w:rFonts w:hint="eastAsia" w:ascii="Times New Roman" w:hAnsi="Times New Roman" w:eastAsia="宋体" w:cs="Times New Roman"/>
                <w:color w:val="auto"/>
                <w:sz w:val="21"/>
                <w:szCs w:val="21"/>
                <w:lang w:val="en-US" w:eastAsia="zh-CN"/>
              </w:rPr>
              <w:t>废物</w:t>
            </w:r>
          </w:p>
        </w:tc>
        <w:tc>
          <w:tcPr>
            <w:tcW w:w="1823" w:type="dxa"/>
            <w:noWrap w:val="0"/>
            <w:tcMar>
              <w:top w:w="0" w:type="dxa"/>
              <w:left w:w="0" w:type="dxa"/>
              <w:bottom w:w="0" w:type="dxa"/>
              <w:right w:w="0" w:type="dxa"/>
            </w:tcMar>
            <w:vAlign w:val="center"/>
          </w:tcPr>
          <w:p w14:paraId="3C2D194B">
            <w:pPr>
              <w:snapToGrid w:val="0"/>
              <w:spacing w:line="240" w:lineRule="auto"/>
              <w:ind w:firstLine="480" w:firstLineChars="200"/>
              <w:jc w:val="center"/>
              <w:rPr>
                <w:rFonts w:hint="eastAsia"/>
                <w:color w:val="auto"/>
                <w:lang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3E65F2B0">
            <w:pPr>
              <w:snapToGrid w:val="0"/>
              <w:spacing w:line="240" w:lineRule="auto"/>
              <w:ind w:firstLine="480" w:firstLineChars="200"/>
              <w:jc w:val="center"/>
              <w:rPr>
                <w:rFonts w:hint="eastAsia"/>
                <w:color w:val="auto"/>
                <w:lang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26453521">
            <w:pPr>
              <w:snapToGrid w:val="0"/>
              <w:spacing w:line="240" w:lineRule="auto"/>
              <w:ind w:firstLine="480" w:firstLineChars="200"/>
              <w:jc w:val="center"/>
              <w:rPr>
                <w:rFonts w:ascii="宋体" w:eastAsia="宋体"/>
                <w:color w:val="auto"/>
                <w:sz w:val="21"/>
                <w:szCs w:val="21"/>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92F3F5E">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141t/a</w:t>
            </w:r>
          </w:p>
        </w:tc>
        <w:tc>
          <w:tcPr>
            <w:tcW w:w="1743" w:type="dxa"/>
            <w:noWrap w:val="0"/>
            <w:tcMar>
              <w:top w:w="0" w:type="dxa"/>
              <w:left w:w="0" w:type="dxa"/>
              <w:bottom w:w="0" w:type="dxa"/>
              <w:right w:w="0" w:type="dxa"/>
            </w:tcMar>
            <w:vAlign w:val="center"/>
          </w:tcPr>
          <w:p w14:paraId="5A5936AF">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2034D49C">
            <w:pPr>
              <w:pStyle w:val="38"/>
              <w:snapToGrid w:val="0"/>
              <w:ind w:firstLine="0" w:firstLineChars="0"/>
              <w:rPr>
                <w:rFonts w:hint="default"/>
                <w:color w:val="auto"/>
                <w:lang w:val="en-US" w:eastAsia="zh-CN"/>
              </w:rPr>
            </w:pP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141t/a</w:t>
            </w:r>
          </w:p>
        </w:tc>
        <w:tc>
          <w:tcPr>
            <w:tcW w:w="1503" w:type="dxa"/>
            <w:noWrap w:val="0"/>
            <w:tcMar>
              <w:top w:w="0" w:type="dxa"/>
              <w:left w:w="0" w:type="dxa"/>
              <w:bottom w:w="0" w:type="dxa"/>
              <w:right w:w="0" w:type="dxa"/>
            </w:tcMar>
            <w:vAlign w:val="center"/>
          </w:tcPr>
          <w:p w14:paraId="0C6433BB">
            <w:pPr>
              <w:pStyle w:val="38"/>
              <w:snapToGrid w:val="0"/>
              <w:ind w:firstLine="0" w:firstLineChars="0"/>
              <w:rPr>
                <w:rFonts w:hint="default"/>
                <w:color w:val="auto"/>
                <w:lang w:val="en-US"/>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141t/a</w:t>
            </w:r>
          </w:p>
        </w:tc>
      </w:tr>
      <w:tr w14:paraId="5CFB8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continue"/>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73C80628">
            <w:pPr>
              <w:pStyle w:val="33"/>
              <w:snapToGrid w:val="0"/>
              <w:spacing w:line="240" w:lineRule="auto"/>
              <w:jc w:val="center"/>
              <w:rPr>
                <w:rFonts w:hint="eastAsia" w:hAnsi="宋体"/>
                <w:color w:val="auto"/>
                <w:lang w:val="en-US" w:eastAsia="zh-CN"/>
              </w:rPr>
            </w:pPr>
          </w:p>
        </w:tc>
        <w:tc>
          <w:tcPr>
            <w:tcW w:w="1849" w:type="dxa"/>
            <w:tcBorders>
              <w:left w:val="single" w:color="auto" w:sz="4" w:space="0"/>
            </w:tcBorders>
            <w:noWrap w:val="0"/>
            <w:tcMar>
              <w:top w:w="0" w:type="dxa"/>
              <w:left w:w="0" w:type="dxa"/>
              <w:bottom w:w="0" w:type="dxa"/>
              <w:right w:w="0" w:type="dxa"/>
            </w:tcMar>
            <w:vAlign w:val="center"/>
          </w:tcPr>
          <w:p w14:paraId="2AD43831">
            <w:pPr>
              <w:pStyle w:val="38"/>
              <w:snapToGrid w:val="0"/>
              <w:ind w:firstLine="0" w:firstLineChars="0"/>
              <w:rPr>
                <w:rFonts w:hint="eastAsia" w:ascii="宋体" w:eastAsia="宋体"/>
                <w:color w:val="auto"/>
                <w:sz w:val="21"/>
                <w:szCs w:val="21"/>
                <w:highlight w:val="red"/>
              </w:rPr>
            </w:pPr>
            <w:r>
              <w:rPr>
                <w:rStyle w:val="39"/>
                <w:rFonts w:hint="default" w:ascii="Times New Roman" w:hAnsi="Times New Roman" w:eastAsia="宋体" w:cs="Times New Roman"/>
                <w:color w:val="auto"/>
                <w:sz w:val="21"/>
                <w:szCs w:val="21"/>
                <w:lang w:val="en-US" w:eastAsia="zh-CN"/>
              </w:rPr>
              <w:t>废紫外线灯管</w:t>
            </w:r>
          </w:p>
        </w:tc>
        <w:tc>
          <w:tcPr>
            <w:tcW w:w="1823" w:type="dxa"/>
            <w:noWrap w:val="0"/>
            <w:tcMar>
              <w:top w:w="0" w:type="dxa"/>
              <w:left w:w="0" w:type="dxa"/>
              <w:bottom w:w="0" w:type="dxa"/>
              <w:right w:w="0" w:type="dxa"/>
            </w:tcMar>
            <w:vAlign w:val="center"/>
          </w:tcPr>
          <w:p w14:paraId="21D1B059">
            <w:pPr>
              <w:snapToGrid w:val="0"/>
              <w:spacing w:line="240" w:lineRule="auto"/>
              <w:ind w:firstLine="480" w:firstLineChars="200"/>
              <w:jc w:val="center"/>
              <w:rPr>
                <w:rFonts w:hint="eastAsia" w:ascii="宋体"/>
                <w:color w:val="auto"/>
                <w:sz w:val="21"/>
                <w:szCs w:val="21"/>
                <w:lang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67533BF6">
            <w:pPr>
              <w:snapToGrid w:val="0"/>
              <w:spacing w:line="240" w:lineRule="auto"/>
              <w:ind w:firstLine="480" w:firstLineChars="200"/>
              <w:jc w:val="center"/>
              <w:rPr>
                <w:rFonts w:hint="eastAsia" w:ascii="宋体"/>
                <w:color w:val="auto"/>
                <w:sz w:val="21"/>
                <w:szCs w:val="21"/>
                <w:lang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02185C60">
            <w:pPr>
              <w:snapToGrid w:val="0"/>
              <w:spacing w:line="240" w:lineRule="auto"/>
              <w:ind w:firstLine="480" w:firstLineChars="200"/>
              <w:jc w:val="center"/>
              <w:rPr>
                <w:color w:val="auto"/>
                <w:sz w:val="21"/>
                <w:szCs w:val="21"/>
                <w:lang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6DB6FDFC">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0.00</w:t>
            </w:r>
            <w:r>
              <w:rPr>
                <w:rFonts w:hint="eastAsia" w:ascii="Times New Roman" w:hAnsi="Times New Roman" w:eastAsia="宋体" w:cs="Times New Roman"/>
                <w:snapToGrid w:val="0"/>
                <w:color w:val="auto"/>
                <w:kern w:val="0"/>
                <w:sz w:val="21"/>
                <w:szCs w:val="21"/>
                <w:lang w:val="en-US" w:eastAsia="zh-CN" w:bidi="ar-SA"/>
              </w:rPr>
              <w:t>2t/a</w:t>
            </w:r>
          </w:p>
        </w:tc>
        <w:tc>
          <w:tcPr>
            <w:tcW w:w="1743" w:type="dxa"/>
            <w:noWrap w:val="0"/>
            <w:tcMar>
              <w:top w:w="0" w:type="dxa"/>
              <w:left w:w="0" w:type="dxa"/>
              <w:bottom w:w="0" w:type="dxa"/>
              <w:right w:w="0" w:type="dxa"/>
            </w:tcMar>
            <w:vAlign w:val="center"/>
          </w:tcPr>
          <w:p w14:paraId="69333263">
            <w:pPr>
              <w:snapToGrid w:val="0"/>
              <w:spacing w:line="240" w:lineRule="auto"/>
              <w:ind w:firstLine="480" w:firstLineChars="200"/>
              <w:jc w:val="center"/>
              <w:rPr>
                <w:color w:val="auto"/>
                <w:sz w:val="21"/>
                <w:szCs w:val="21"/>
                <w:lang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0442388D">
            <w:pPr>
              <w:pStyle w:val="38"/>
              <w:snapToGrid w:val="0"/>
              <w:ind w:firstLine="0" w:firstLineChars="0"/>
              <w:rPr>
                <w:rFonts w:hint="default" w:ascii="宋体"/>
                <w:color w:val="auto"/>
                <w:sz w:val="21"/>
                <w:szCs w:val="21"/>
                <w:lang w:val="en-US"/>
              </w:rPr>
            </w:pPr>
            <w:r>
              <w:rPr>
                <w:rFonts w:hint="default" w:ascii="Times New Roman" w:hAnsi="Times New Roman" w:eastAsia="宋体" w:cs="Times New Roman"/>
                <w:snapToGrid w:val="0"/>
                <w:color w:val="auto"/>
                <w:kern w:val="0"/>
                <w:sz w:val="21"/>
                <w:szCs w:val="21"/>
                <w:lang w:val="en-US" w:eastAsia="zh-CN" w:bidi="ar-SA"/>
              </w:rPr>
              <w:t>0.00</w:t>
            </w:r>
            <w:r>
              <w:rPr>
                <w:rFonts w:hint="eastAsia" w:ascii="Times New Roman" w:hAnsi="Times New Roman" w:eastAsia="宋体" w:cs="Times New Roman"/>
                <w:snapToGrid w:val="0"/>
                <w:color w:val="auto"/>
                <w:kern w:val="0"/>
                <w:sz w:val="21"/>
                <w:szCs w:val="21"/>
                <w:lang w:val="en-US" w:eastAsia="zh-CN" w:bidi="ar-SA"/>
              </w:rPr>
              <w:t>2t/a</w:t>
            </w:r>
          </w:p>
        </w:tc>
        <w:tc>
          <w:tcPr>
            <w:tcW w:w="1503" w:type="dxa"/>
            <w:noWrap w:val="0"/>
            <w:tcMar>
              <w:top w:w="0" w:type="dxa"/>
              <w:left w:w="0" w:type="dxa"/>
              <w:bottom w:w="0" w:type="dxa"/>
              <w:right w:w="0" w:type="dxa"/>
            </w:tcMar>
            <w:vAlign w:val="center"/>
          </w:tcPr>
          <w:p w14:paraId="74330C46">
            <w:pPr>
              <w:pStyle w:val="38"/>
              <w:snapToGrid w:val="0"/>
              <w:ind w:firstLine="0" w:firstLineChars="0"/>
              <w:rPr>
                <w:rFonts w:hint="default" w:ascii="宋体"/>
                <w:color w:val="auto"/>
                <w:sz w:val="21"/>
                <w:szCs w:val="21"/>
                <w:lang w:val="en-US"/>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0.00</w:t>
            </w:r>
            <w:r>
              <w:rPr>
                <w:rFonts w:hint="eastAsia" w:ascii="Times New Roman" w:hAnsi="Times New Roman" w:eastAsia="宋体" w:cs="Times New Roman"/>
                <w:snapToGrid w:val="0"/>
                <w:color w:val="auto"/>
                <w:kern w:val="0"/>
                <w:sz w:val="21"/>
                <w:szCs w:val="21"/>
                <w:lang w:val="en-US" w:eastAsia="zh-CN" w:bidi="ar-SA"/>
              </w:rPr>
              <w:t>2t/a</w:t>
            </w:r>
          </w:p>
        </w:tc>
      </w:tr>
      <w:tr w14:paraId="62F9A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continue"/>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17A7E848">
            <w:pPr>
              <w:pStyle w:val="33"/>
              <w:snapToGrid w:val="0"/>
              <w:spacing w:line="240" w:lineRule="auto"/>
              <w:jc w:val="center"/>
              <w:rPr>
                <w:rFonts w:hint="eastAsia" w:hAnsi="宋体"/>
                <w:color w:val="auto"/>
                <w:lang w:val="en-US" w:eastAsia="zh-CN"/>
              </w:rPr>
            </w:pPr>
          </w:p>
        </w:tc>
        <w:tc>
          <w:tcPr>
            <w:tcW w:w="1849" w:type="dxa"/>
            <w:tcBorders>
              <w:left w:val="single" w:color="auto" w:sz="4" w:space="0"/>
            </w:tcBorders>
            <w:noWrap w:val="0"/>
            <w:tcMar>
              <w:top w:w="0" w:type="dxa"/>
              <w:left w:w="0" w:type="dxa"/>
              <w:bottom w:w="0" w:type="dxa"/>
              <w:right w:w="0" w:type="dxa"/>
            </w:tcMar>
            <w:vAlign w:val="center"/>
          </w:tcPr>
          <w:p w14:paraId="58E6ED7B">
            <w:pPr>
              <w:pStyle w:val="38"/>
              <w:snapToGrid w:val="0"/>
              <w:ind w:firstLine="0" w:firstLineChars="0"/>
              <w:rPr>
                <w:rFonts w:hint="eastAsia" w:ascii="宋体" w:eastAsia="宋体"/>
                <w:color w:val="auto"/>
                <w:sz w:val="21"/>
                <w:szCs w:val="21"/>
                <w:highlight w:val="red"/>
              </w:rPr>
            </w:pPr>
            <w:r>
              <w:rPr>
                <w:rStyle w:val="39"/>
                <w:rFonts w:hint="eastAsia" w:ascii="Times New Roman" w:hAnsi="Times New Roman" w:eastAsia="宋体" w:cs="Times New Roman"/>
                <w:color w:val="auto"/>
                <w:sz w:val="21"/>
                <w:szCs w:val="21"/>
                <w:lang w:val="en-US" w:eastAsia="zh-CN"/>
              </w:rPr>
              <w:t>医疗废水处理设施废渣</w:t>
            </w:r>
          </w:p>
        </w:tc>
        <w:tc>
          <w:tcPr>
            <w:tcW w:w="1823" w:type="dxa"/>
            <w:noWrap w:val="0"/>
            <w:tcMar>
              <w:top w:w="0" w:type="dxa"/>
              <w:left w:w="0" w:type="dxa"/>
              <w:bottom w:w="0" w:type="dxa"/>
              <w:right w:w="0" w:type="dxa"/>
            </w:tcMar>
            <w:vAlign w:val="center"/>
          </w:tcPr>
          <w:p w14:paraId="537705FB">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591646D4">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3E35C249">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4FB6208A">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0.0039t/a</w:t>
            </w:r>
          </w:p>
        </w:tc>
        <w:tc>
          <w:tcPr>
            <w:tcW w:w="1743" w:type="dxa"/>
            <w:noWrap w:val="0"/>
            <w:tcMar>
              <w:top w:w="0" w:type="dxa"/>
              <w:left w:w="0" w:type="dxa"/>
              <w:bottom w:w="0" w:type="dxa"/>
              <w:right w:w="0" w:type="dxa"/>
            </w:tcMar>
            <w:vAlign w:val="center"/>
          </w:tcPr>
          <w:p w14:paraId="1C7FDC03">
            <w:pPr>
              <w:snapToGrid w:val="0"/>
              <w:spacing w:line="240" w:lineRule="auto"/>
              <w:ind w:firstLine="480" w:firstLineChars="200"/>
              <w:jc w:val="center"/>
              <w:rPr>
                <w:rFonts w:hint="eastAsia"/>
                <w:color w:val="auto"/>
                <w:lang w:val="en-US" w:eastAsia="zh-CN"/>
              </w:rPr>
            </w:pPr>
          </w:p>
        </w:tc>
        <w:tc>
          <w:tcPr>
            <w:tcW w:w="1605" w:type="dxa"/>
            <w:noWrap w:val="0"/>
            <w:tcMar>
              <w:top w:w="0" w:type="dxa"/>
              <w:left w:w="0" w:type="dxa"/>
              <w:bottom w:w="0" w:type="dxa"/>
              <w:right w:w="0" w:type="dxa"/>
            </w:tcMar>
            <w:vAlign w:val="center"/>
          </w:tcPr>
          <w:p w14:paraId="079085E3">
            <w:pPr>
              <w:pStyle w:val="38"/>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0.0039t/a</w:t>
            </w:r>
          </w:p>
        </w:tc>
        <w:tc>
          <w:tcPr>
            <w:tcW w:w="1503" w:type="dxa"/>
            <w:noWrap w:val="0"/>
            <w:tcMar>
              <w:top w:w="0" w:type="dxa"/>
              <w:left w:w="0" w:type="dxa"/>
              <w:bottom w:w="0" w:type="dxa"/>
              <w:right w:w="0" w:type="dxa"/>
            </w:tcMar>
            <w:vAlign w:val="center"/>
          </w:tcPr>
          <w:p w14:paraId="07B46EF0">
            <w:pPr>
              <w:pStyle w:val="38"/>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+0.0039t/a</w:t>
            </w:r>
          </w:p>
        </w:tc>
      </w:tr>
      <w:tr w14:paraId="4CBA5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8" w:hRule="atLeast"/>
          <w:jc w:val="center"/>
        </w:trPr>
        <w:tc>
          <w:tcPr>
            <w:tcW w:w="752" w:type="dxa"/>
            <w:vMerge w:val="continue"/>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65CAE2FC">
            <w:pPr>
              <w:pStyle w:val="33"/>
              <w:snapToGrid w:val="0"/>
              <w:spacing w:line="240" w:lineRule="auto"/>
              <w:jc w:val="center"/>
              <w:rPr>
                <w:rFonts w:hint="eastAsia"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3AEC3E94">
            <w:pPr>
              <w:pStyle w:val="38"/>
              <w:snapToGrid w:val="0"/>
              <w:ind w:firstLine="0" w:firstLineChars="0"/>
              <w:rPr>
                <w:rFonts w:hint="eastAsia" w:ascii="宋体" w:eastAsia="宋体"/>
                <w:color w:val="auto"/>
                <w:sz w:val="21"/>
                <w:szCs w:val="21"/>
                <w:highlight w:val="red"/>
              </w:rPr>
            </w:pPr>
            <w:r>
              <w:rPr>
                <w:rStyle w:val="39"/>
                <w:rFonts w:hint="eastAsia" w:ascii="Times New Roman" w:hAnsi="Times New Roman" w:eastAsia="宋体" w:cs="Times New Roman"/>
                <w:color w:val="auto"/>
                <w:sz w:val="21"/>
                <w:szCs w:val="21"/>
                <w:lang w:val="en-US" w:eastAsia="zh-CN"/>
              </w:rPr>
              <w:t>患病</w:t>
            </w:r>
            <w:r>
              <w:rPr>
                <w:rStyle w:val="39"/>
                <w:rFonts w:hint="default" w:ascii="Times New Roman" w:hAnsi="Times New Roman" w:eastAsia="宋体" w:cs="Times New Roman"/>
                <w:color w:val="auto"/>
                <w:sz w:val="21"/>
                <w:szCs w:val="21"/>
                <w:lang w:val="en-US" w:eastAsia="zh-CN"/>
              </w:rPr>
              <w:t>宠物</w:t>
            </w:r>
            <w:r>
              <w:rPr>
                <w:rStyle w:val="39"/>
                <w:rFonts w:hint="eastAsia" w:ascii="Times New Roman" w:hAnsi="Times New Roman" w:eastAsia="宋体" w:cs="Times New Roman"/>
                <w:color w:val="auto"/>
                <w:sz w:val="21"/>
                <w:szCs w:val="21"/>
                <w:lang w:val="en-US" w:eastAsia="zh-CN"/>
              </w:rPr>
              <w:t>排泄物及猫砂</w:t>
            </w:r>
          </w:p>
        </w:tc>
        <w:tc>
          <w:tcPr>
            <w:tcW w:w="1823" w:type="dxa"/>
            <w:shd w:val="clear" w:color="auto" w:fill="auto"/>
            <w:noWrap w:val="0"/>
            <w:tcMar>
              <w:top w:w="0" w:type="dxa"/>
              <w:left w:w="0" w:type="dxa"/>
              <w:bottom w:w="0" w:type="dxa"/>
              <w:right w:w="0" w:type="dxa"/>
            </w:tcMar>
            <w:vAlign w:val="center"/>
          </w:tcPr>
          <w:p w14:paraId="50789FA2">
            <w:pPr>
              <w:snapToGrid w:val="0"/>
              <w:spacing w:line="240" w:lineRule="auto"/>
              <w:ind w:firstLine="480" w:firstLineChars="200"/>
              <w:jc w:val="center"/>
              <w:rPr>
                <w:rFonts w:hint="eastAsia" w:ascii="Times New Roman" w:hAnsi="Times New Roman" w:eastAsia="宋体" w:cs="Arial"/>
                <w:snapToGrid w:val="0"/>
                <w:color w:val="auto"/>
                <w:kern w:val="0"/>
                <w:sz w:val="24"/>
                <w:szCs w:val="21"/>
                <w:lang w:val="en-US" w:eastAsia="zh-CN"/>
              </w:rPr>
            </w:pPr>
            <w:r>
              <w:rPr>
                <w:rFonts w:hint="eastAsia"/>
                <w:color w:val="auto"/>
                <w:lang w:val="en-US" w:eastAsia="zh-CN"/>
              </w:rPr>
              <w:t>/</w:t>
            </w:r>
          </w:p>
        </w:tc>
        <w:tc>
          <w:tcPr>
            <w:tcW w:w="1417" w:type="dxa"/>
            <w:shd w:val="clear" w:color="auto" w:fill="auto"/>
            <w:noWrap w:val="0"/>
            <w:tcMar>
              <w:top w:w="0" w:type="dxa"/>
              <w:left w:w="0" w:type="dxa"/>
              <w:bottom w:w="0" w:type="dxa"/>
              <w:right w:w="0" w:type="dxa"/>
            </w:tcMar>
            <w:vAlign w:val="center"/>
          </w:tcPr>
          <w:p w14:paraId="18656213">
            <w:pPr>
              <w:snapToGrid w:val="0"/>
              <w:spacing w:line="240" w:lineRule="auto"/>
              <w:ind w:firstLine="480" w:firstLineChars="200"/>
              <w:jc w:val="center"/>
              <w:rPr>
                <w:rFonts w:hint="eastAsia" w:ascii="Times New Roman" w:hAnsi="Times New Roman" w:eastAsia="宋体" w:cs="Arial"/>
                <w:snapToGrid w:val="0"/>
                <w:color w:val="auto"/>
                <w:kern w:val="0"/>
                <w:sz w:val="24"/>
                <w:szCs w:val="21"/>
                <w:lang w:val="en-US" w:eastAsia="zh-CN"/>
              </w:rPr>
            </w:pPr>
            <w:r>
              <w:rPr>
                <w:rFonts w:hint="eastAsia"/>
                <w:color w:val="auto"/>
                <w:lang w:val="en-US" w:eastAsia="zh-CN"/>
              </w:rPr>
              <w:t>/</w:t>
            </w:r>
          </w:p>
        </w:tc>
        <w:tc>
          <w:tcPr>
            <w:tcW w:w="1492" w:type="dxa"/>
            <w:shd w:val="clear" w:color="auto" w:fill="auto"/>
            <w:noWrap w:val="0"/>
            <w:tcMar>
              <w:top w:w="0" w:type="dxa"/>
              <w:left w:w="0" w:type="dxa"/>
              <w:bottom w:w="0" w:type="dxa"/>
              <w:right w:w="0" w:type="dxa"/>
            </w:tcMar>
            <w:vAlign w:val="center"/>
          </w:tcPr>
          <w:p w14:paraId="2C6AA9E6">
            <w:pPr>
              <w:snapToGrid w:val="0"/>
              <w:spacing w:line="240" w:lineRule="auto"/>
              <w:ind w:firstLine="480" w:firstLineChars="200"/>
              <w:jc w:val="center"/>
              <w:rPr>
                <w:rFonts w:hint="eastAsia" w:ascii="Times New Roman" w:hAnsi="Times New Roman" w:eastAsia="宋体" w:cs="Arial"/>
                <w:snapToGrid w:val="0"/>
                <w:color w:val="auto"/>
                <w:kern w:val="0"/>
                <w:sz w:val="24"/>
                <w:szCs w:val="21"/>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2C9E5F35">
            <w:pPr>
              <w:pStyle w:val="38"/>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0.013t/a</w:t>
            </w:r>
          </w:p>
        </w:tc>
        <w:tc>
          <w:tcPr>
            <w:tcW w:w="1743" w:type="dxa"/>
            <w:noWrap w:val="0"/>
            <w:tcMar>
              <w:top w:w="0" w:type="dxa"/>
              <w:left w:w="0" w:type="dxa"/>
              <w:bottom w:w="0" w:type="dxa"/>
              <w:right w:w="0" w:type="dxa"/>
            </w:tcMar>
            <w:vAlign w:val="center"/>
          </w:tcPr>
          <w:p w14:paraId="08F7FC96">
            <w:pPr>
              <w:snapToGrid w:val="0"/>
              <w:spacing w:line="240" w:lineRule="auto"/>
              <w:ind w:firstLine="480" w:firstLineChars="200"/>
              <w:jc w:val="center"/>
              <w:rPr>
                <w:rFonts w:hint="eastAsia"/>
                <w:color w:val="auto"/>
                <w:lang w:val="en-US" w:eastAsia="zh-CN"/>
              </w:rPr>
            </w:pPr>
          </w:p>
        </w:tc>
        <w:tc>
          <w:tcPr>
            <w:tcW w:w="1605" w:type="dxa"/>
            <w:noWrap w:val="0"/>
            <w:tcMar>
              <w:top w:w="0" w:type="dxa"/>
              <w:left w:w="0" w:type="dxa"/>
              <w:bottom w:w="0" w:type="dxa"/>
              <w:right w:w="0" w:type="dxa"/>
            </w:tcMar>
            <w:vAlign w:val="center"/>
          </w:tcPr>
          <w:p w14:paraId="365A63D2">
            <w:pPr>
              <w:pStyle w:val="38"/>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0.013t/a</w:t>
            </w:r>
          </w:p>
        </w:tc>
        <w:tc>
          <w:tcPr>
            <w:tcW w:w="1503" w:type="dxa"/>
            <w:noWrap w:val="0"/>
            <w:tcMar>
              <w:top w:w="0" w:type="dxa"/>
              <w:left w:w="0" w:type="dxa"/>
              <w:bottom w:w="0" w:type="dxa"/>
              <w:right w:w="0" w:type="dxa"/>
            </w:tcMar>
            <w:vAlign w:val="center"/>
          </w:tcPr>
          <w:p w14:paraId="655BF319">
            <w:pPr>
              <w:pStyle w:val="38"/>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+0.013t/a</w:t>
            </w:r>
          </w:p>
        </w:tc>
      </w:tr>
      <w:bookmarkEnd w:id="71"/>
    </w:tbl>
    <w:p w14:paraId="6D7F0ABF">
      <w:pPr>
        <w:bidi w:val="0"/>
        <w:rPr>
          <w:rFonts w:hint="default"/>
          <w:color w:val="auto"/>
        </w:rPr>
      </w:pPr>
      <w:r>
        <w:rPr>
          <w:rFonts w:hint="default"/>
          <w:color w:val="auto"/>
        </w:rPr>
        <w:t>注：⑥=①+③+④-⑤；⑦=⑥-①</w:t>
      </w:r>
    </w:p>
    <w:p w14:paraId="1BB6E292">
      <w:pPr>
        <w:rPr>
          <w:rFonts w:hint="default" w:ascii="Times New Roman" w:hAnsi="Times New Roman" w:cs="Times New Roman"/>
          <w:color w:val="auto"/>
        </w:rPr>
      </w:pPr>
    </w:p>
    <w:p w14:paraId="2C2606E4">
      <w:pPr>
        <w:rPr>
          <w:rFonts w:hint="default" w:ascii="Times New Roman" w:hAnsi="Times New Roman" w:cs="Times New Roman"/>
          <w:color w:val="auto"/>
        </w:rPr>
        <w:sectPr>
          <w:footerReference r:id="rId11" w:type="default"/>
          <w:pgSz w:w="16839" w:h="11906"/>
          <w:pgMar w:top="1012" w:right="1537" w:bottom="958" w:left="1493" w:header="0" w:footer="692" w:gutter="0"/>
          <w:pgBorders>
            <w:top w:val="none" w:sz="0" w:space="0"/>
            <w:left w:val="none" w:sz="0" w:space="0"/>
            <w:bottom w:val="none" w:sz="0" w:space="0"/>
            <w:right w:val="none" w:sz="0" w:space="0"/>
          </w:pgBorders>
          <w:pgNumType w:fmt="decimal"/>
          <w:cols w:space="720" w:num="1"/>
        </w:sectPr>
      </w:pPr>
    </w:p>
    <w:p w14:paraId="19A6CBB7">
      <w:pPr>
        <w:rPr>
          <w:rFonts w:hint="default"/>
          <w:lang w:val="en-US"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40001" w:csb1="00000000"/>
  </w:font>
  <w:font w:name="Wingdings 2">
    <w:panose1 w:val="05020102010507070707"/>
    <w:charset w:val="02"/>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3F1CF">
    <w:pPr>
      <w:spacing w:line="176" w:lineRule="auto"/>
      <w:jc w:val="right"/>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99533">
    <w:pPr>
      <w:spacing w:line="177" w:lineRule="auto"/>
      <w:ind w:left="31"/>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FDFE0">
                          <w:pPr>
                            <w:tabs>
                              <w:tab w:val="center" w:pos="4153"/>
                              <w:tab w:val="right" w:pos="8306"/>
                            </w:tabs>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48FDFE0">
                    <w:pPr>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6E64B">
    <w:pPr>
      <w:spacing w:line="173" w:lineRule="auto"/>
      <w:ind w:right="71"/>
      <w:jc w:val="center"/>
      <w:rPr>
        <w:rFonts w:ascii="宋体" w:hAnsi="宋体" w:eastAsia="宋体" w:cs="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6948A">
                          <w:pPr>
                            <w:tabs>
                              <w:tab w:val="center" w:pos="4153"/>
                              <w:tab w:val="right" w:pos="8306"/>
                            </w:tabs>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CB6948A">
                    <w:pPr>
                      <w:tabs>
                        <w:tab w:val="center" w:pos="4153"/>
                        <w:tab w:val="right" w:pos="8306"/>
                      </w:tabs>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B904F">
    <w:pPr>
      <w:spacing w:line="176" w:lineRule="auto"/>
      <w:ind w:left="91"/>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6ACBE">
                          <w:pPr>
                            <w:tabs>
                              <w:tab w:val="center" w:pos="4153"/>
                              <w:tab w:val="right" w:pos="8306"/>
                            </w:tabs>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B46ACBE">
                    <w:pPr>
                      <w:tabs>
                        <w:tab w:val="center" w:pos="4153"/>
                        <w:tab w:val="right" w:pos="8306"/>
                      </w:tabs>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963E">
    <w:pPr>
      <w:spacing w:line="175" w:lineRule="auto"/>
      <w:ind w:right="31"/>
      <w:jc w:val="center"/>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A6E96">
                          <w:pPr>
                            <w:tabs>
                              <w:tab w:val="center" w:pos="4153"/>
                              <w:tab w:val="right" w:pos="8306"/>
                            </w:tabs>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DBA6E96">
                    <w:pPr>
                      <w:tabs>
                        <w:tab w:val="center" w:pos="4153"/>
                        <w:tab w:val="right" w:pos="8306"/>
                      </w:tabs>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682C9">
    <w:pPr>
      <w:spacing w:line="174" w:lineRule="auto"/>
      <w:ind w:right="11"/>
      <w:jc w:val="center"/>
      <w:rPr>
        <w:rFonts w:ascii="宋体" w:hAnsi="宋体" w:eastAsia="宋体" w:cs="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91A3B">
                          <w:pPr>
                            <w:tabs>
                              <w:tab w:val="center" w:pos="4153"/>
                              <w:tab w:val="right" w:pos="8306"/>
                            </w:tabs>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3C91A3B">
                    <w:pPr>
                      <w:tabs>
                        <w:tab w:val="center" w:pos="4153"/>
                        <w:tab w:val="right" w:pos="8306"/>
                      </w:tabs>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82F34">
    <w:pPr>
      <w:spacing w:line="175" w:lineRule="auto"/>
      <w:ind w:left="6324"/>
      <w:rPr>
        <w:rFonts w:ascii="宋体" w:hAnsi="宋体" w:eastAsia="宋体" w:cs="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74748">
                          <w:pPr>
                            <w:tabs>
                              <w:tab w:val="center" w:pos="4153"/>
                              <w:tab w:val="right" w:pos="8306"/>
                            </w:tabs>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4974748">
                    <w:pPr>
                      <w:tabs>
                        <w:tab w:val="center" w:pos="4153"/>
                        <w:tab w:val="right" w:pos="8306"/>
                      </w:tabs>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OGNhYzU2ODM2OWU2YzlhM2ZjODI2OWU3ZDAyM2YifQ=="/>
  </w:docVars>
  <w:rsids>
    <w:rsidRoot w:val="420C6AF7"/>
    <w:rsid w:val="00AC3FD6"/>
    <w:rsid w:val="01017A0E"/>
    <w:rsid w:val="01072F48"/>
    <w:rsid w:val="01B85F94"/>
    <w:rsid w:val="01CA3F1A"/>
    <w:rsid w:val="01F51BE9"/>
    <w:rsid w:val="020E7C8D"/>
    <w:rsid w:val="023D6D84"/>
    <w:rsid w:val="024C256A"/>
    <w:rsid w:val="02A42BE4"/>
    <w:rsid w:val="02A816AB"/>
    <w:rsid w:val="02E64D83"/>
    <w:rsid w:val="032A3EAB"/>
    <w:rsid w:val="0375703B"/>
    <w:rsid w:val="045B4D70"/>
    <w:rsid w:val="04A90CC6"/>
    <w:rsid w:val="04D23811"/>
    <w:rsid w:val="06FD269B"/>
    <w:rsid w:val="07153F60"/>
    <w:rsid w:val="07464C93"/>
    <w:rsid w:val="074F4495"/>
    <w:rsid w:val="07811674"/>
    <w:rsid w:val="0790350F"/>
    <w:rsid w:val="080B3AEC"/>
    <w:rsid w:val="08CD4E27"/>
    <w:rsid w:val="08E04AE9"/>
    <w:rsid w:val="090369F3"/>
    <w:rsid w:val="09BC5EBB"/>
    <w:rsid w:val="09F465B4"/>
    <w:rsid w:val="0A0A75A9"/>
    <w:rsid w:val="0B010570"/>
    <w:rsid w:val="0BB632A9"/>
    <w:rsid w:val="0C236700"/>
    <w:rsid w:val="0C625412"/>
    <w:rsid w:val="0CBA73BF"/>
    <w:rsid w:val="0D2B79F7"/>
    <w:rsid w:val="0E7D12F3"/>
    <w:rsid w:val="0F2743B5"/>
    <w:rsid w:val="0F495871"/>
    <w:rsid w:val="0F4C155D"/>
    <w:rsid w:val="0F8C06CF"/>
    <w:rsid w:val="0FEC4D99"/>
    <w:rsid w:val="10846189"/>
    <w:rsid w:val="10975619"/>
    <w:rsid w:val="10AA0ABF"/>
    <w:rsid w:val="10C900C0"/>
    <w:rsid w:val="112D7C67"/>
    <w:rsid w:val="11300EBB"/>
    <w:rsid w:val="11426C33"/>
    <w:rsid w:val="124F6471"/>
    <w:rsid w:val="12930F4F"/>
    <w:rsid w:val="12A43942"/>
    <w:rsid w:val="135D4EC8"/>
    <w:rsid w:val="13E76BAD"/>
    <w:rsid w:val="142C45C0"/>
    <w:rsid w:val="147B2832"/>
    <w:rsid w:val="15227E9D"/>
    <w:rsid w:val="15353F92"/>
    <w:rsid w:val="154047C7"/>
    <w:rsid w:val="15A9236C"/>
    <w:rsid w:val="161D5F5D"/>
    <w:rsid w:val="1658169C"/>
    <w:rsid w:val="16842491"/>
    <w:rsid w:val="16AF39B2"/>
    <w:rsid w:val="170959E4"/>
    <w:rsid w:val="18814B83"/>
    <w:rsid w:val="18C70CEC"/>
    <w:rsid w:val="18DF7E53"/>
    <w:rsid w:val="18ED431E"/>
    <w:rsid w:val="1938245E"/>
    <w:rsid w:val="19890354"/>
    <w:rsid w:val="19FA3A39"/>
    <w:rsid w:val="1AD734D7"/>
    <w:rsid w:val="1B774F7E"/>
    <w:rsid w:val="1C8F393E"/>
    <w:rsid w:val="1D5442F4"/>
    <w:rsid w:val="1D8F1536"/>
    <w:rsid w:val="1D972EC8"/>
    <w:rsid w:val="1E1201F8"/>
    <w:rsid w:val="1E221E36"/>
    <w:rsid w:val="1E2772FF"/>
    <w:rsid w:val="1F096B60"/>
    <w:rsid w:val="203B1A3B"/>
    <w:rsid w:val="204752C1"/>
    <w:rsid w:val="204F518D"/>
    <w:rsid w:val="20A42D8D"/>
    <w:rsid w:val="20B9542D"/>
    <w:rsid w:val="218B3F2B"/>
    <w:rsid w:val="21F262FA"/>
    <w:rsid w:val="22153965"/>
    <w:rsid w:val="22235254"/>
    <w:rsid w:val="22A568A0"/>
    <w:rsid w:val="230D3FF3"/>
    <w:rsid w:val="2319012B"/>
    <w:rsid w:val="23A92664"/>
    <w:rsid w:val="23E65081"/>
    <w:rsid w:val="24557A0A"/>
    <w:rsid w:val="253B5081"/>
    <w:rsid w:val="255D6039"/>
    <w:rsid w:val="258650C2"/>
    <w:rsid w:val="262670C1"/>
    <w:rsid w:val="26674806"/>
    <w:rsid w:val="26B07FD0"/>
    <w:rsid w:val="283F446A"/>
    <w:rsid w:val="28EF40E2"/>
    <w:rsid w:val="29615A12"/>
    <w:rsid w:val="2ABB6FE0"/>
    <w:rsid w:val="2AE21105"/>
    <w:rsid w:val="2AE337D3"/>
    <w:rsid w:val="2B0B4ACF"/>
    <w:rsid w:val="2BA50044"/>
    <w:rsid w:val="2BF770A9"/>
    <w:rsid w:val="2CB55F92"/>
    <w:rsid w:val="2CC344ED"/>
    <w:rsid w:val="2D1934AC"/>
    <w:rsid w:val="2E0917A2"/>
    <w:rsid w:val="2E1667C1"/>
    <w:rsid w:val="2EAB4607"/>
    <w:rsid w:val="2EB86D24"/>
    <w:rsid w:val="2EE45178"/>
    <w:rsid w:val="2F0A6352"/>
    <w:rsid w:val="2F0B2F1A"/>
    <w:rsid w:val="2FCD1C02"/>
    <w:rsid w:val="2FD87D3F"/>
    <w:rsid w:val="30103801"/>
    <w:rsid w:val="304C3BC8"/>
    <w:rsid w:val="304F5466"/>
    <w:rsid w:val="318168DD"/>
    <w:rsid w:val="31E21216"/>
    <w:rsid w:val="33244988"/>
    <w:rsid w:val="34536135"/>
    <w:rsid w:val="34684D49"/>
    <w:rsid w:val="355D25F6"/>
    <w:rsid w:val="35BA7826"/>
    <w:rsid w:val="35F175B9"/>
    <w:rsid w:val="365C5588"/>
    <w:rsid w:val="36696B76"/>
    <w:rsid w:val="36DF57E5"/>
    <w:rsid w:val="37824FDC"/>
    <w:rsid w:val="37F533BF"/>
    <w:rsid w:val="38645696"/>
    <w:rsid w:val="38773776"/>
    <w:rsid w:val="387C1278"/>
    <w:rsid w:val="38CF7102"/>
    <w:rsid w:val="3A083F25"/>
    <w:rsid w:val="3A0C4EFF"/>
    <w:rsid w:val="3ADF4F75"/>
    <w:rsid w:val="3AE35129"/>
    <w:rsid w:val="3B512BAF"/>
    <w:rsid w:val="3BA5444D"/>
    <w:rsid w:val="3CAF79B9"/>
    <w:rsid w:val="3D5A5DFB"/>
    <w:rsid w:val="3DE125E5"/>
    <w:rsid w:val="3E4F3C62"/>
    <w:rsid w:val="3FA0365C"/>
    <w:rsid w:val="3FB84D10"/>
    <w:rsid w:val="401A5124"/>
    <w:rsid w:val="40704114"/>
    <w:rsid w:val="40FA29EA"/>
    <w:rsid w:val="414A4154"/>
    <w:rsid w:val="414D607D"/>
    <w:rsid w:val="415A480B"/>
    <w:rsid w:val="41763CF2"/>
    <w:rsid w:val="418105AD"/>
    <w:rsid w:val="420C6AF7"/>
    <w:rsid w:val="43C21AFB"/>
    <w:rsid w:val="44200E89"/>
    <w:rsid w:val="442F521D"/>
    <w:rsid w:val="44A45929"/>
    <w:rsid w:val="45A04F97"/>
    <w:rsid w:val="45EC57D9"/>
    <w:rsid w:val="4601783E"/>
    <w:rsid w:val="4642189D"/>
    <w:rsid w:val="47321912"/>
    <w:rsid w:val="481A2416"/>
    <w:rsid w:val="48243B68"/>
    <w:rsid w:val="48265C20"/>
    <w:rsid w:val="48561630"/>
    <w:rsid w:val="49787384"/>
    <w:rsid w:val="497C50C6"/>
    <w:rsid w:val="49AF06AD"/>
    <w:rsid w:val="4A2A68D0"/>
    <w:rsid w:val="4AB123F6"/>
    <w:rsid w:val="4B3031A4"/>
    <w:rsid w:val="4B6716D0"/>
    <w:rsid w:val="4BE13907"/>
    <w:rsid w:val="4C17077C"/>
    <w:rsid w:val="4C7D3C9B"/>
    <w:rsid w:val="4C9600B7"/>
    <w:rsid w:val="4CB644F0"/>
    <w:rsid w:val="4CBB4418"/>
    <w:rsid w:val="4CE90CC5"/>
    <w:rsid w:val="4CE941C6"/>
    <w:rsid w:val="4D926B17"/>
    <w:rsid w:val="4DB53C66"/>
    <w:rsid w:val="4E135115"/>
    <w:rsid w:val="4E1C2932"/>
    <w:rsid w:val="4E9B7735"/>
    <w:rsid w:val="4EB36E4C"/>
    <w:rsid w:val="4F11117A"/>
    <w:rsid w:val="4F477E13"/>
    <w:rsid w:val="4F810DA5"/>
    <w:rsid w:val="4FA03191"/>
    <w:rsid w:val="4FA233AD"/>
    <w:rsid w:val="4FA51434"/>
    <w:rsid w:val="4FF35C09"/>
    <w:rsid w:val="50104B02"/>
    <w:rsid w:val="50644422"/>
    <w:rsid w:val="509C604E"/>
    <w:rsid w:val="50D37FE8"/>
    <w:rsid w:val="50E67CAB"/>
    <w:rsid w:val="510C6D30"/>
    <w:rsid w:val="511650A1"/>
    <w:rsid w:val="5133250E"/>
    <w:rsid w:val="51D032E1"/>
    <w:rsid w:val="520E4374"/>
    <w:rsid w:val="52313183"/>
    <w:rsid w:val="524332CB"/>
    <w:rsid w:val="52450C8E"/>
    <w:rsid w:val="52592449"/>
    <w:rsid w:val="52913614"/>
    <w:rsid w:val="53EC3BAC"/>
    <w:rsid w:val="54203EA5"/>
    <w:rsid w:val="54AF6350"/>
    <w:rsid w:val="54D650B1"/>
    <w:rsid w:val="54D933CD"/>
    <w:rsid w:val="56D73191"/>
    <w:rsid w:val="5705621C"/>
    <w:rsid w:val="571F1304"/>
    <w:rsid w:val="575E70BA"/>
    <w:rsid w:val="57D625E8"/>
    <w:rsid w:val="58006EC2"/>
    <w:rsid w:val="5931481A"/>
    <w:rsid w:val="5A5A124E"/>
    <w:rsid w:val="5A7F67C4"/>
    <w:rsid w:val="5A867B53"/>
    <w:rsid w:val="5B524C36"/>
    <w:rsid w:val="5B70610D"/>
    <w:rsid w:val="5BA91EB7"/>
    <w:rsid w:val="5BF30129"/>
    <w:rsid w:val="5C3776A6"/>
    <w:rsid w:val="5C4952DC"/>
    <w:rsid w:val="5C4A082C"/>
    <w:rsid w:val="5D8D51D4"/>
    <w:rsid w:val="5D8F5BAF"/>
    <w:rsid w:val="5E696E34"/>
    <w:rsid w:val="5EEE5CC7"/>
    <w:rsid w:val="614C1BF1"/>
    <w:rsid w:val="61581B1D"/>
    <w:rsid w:val="61C176C2"/>
    <w:rsid w:val="63536A40"/>
    <w:rsid w:val="637F3391"/>
    <w:rsid w:val="63852CA9"/>
    <w:rsid w:val="642208FC"/>
    <w:rsid w:val="64EB5CA0"/>
    <w:rsid w:val="65BF59C6"/>
    <w:rsid w:val="6630667E"/>
    <w:rsid w:val="66846EFD"/>
    <w:rsid w:val="66A3383B"/>
    <w:rsid w:val="66D1576D"/>
    <w:rsid w:val="67503502"/>
    <w:rsid w:val="6759039D"/>
    <w:rsid w:val="67DD1BB0"/>
    <w:rsid w:val="6832131A"/>
    <w:rsid w:val="699957F1"/>
    <w:rsid w:val="6A150CDB"/>
    <w:rsid w:val="6A394C56"/>
    <w:rsid w:val="6B2D5DC9"/>
    <w:rsid w:val="6B5275DD"/>
    <w:rsid w:val="6B720C7C"/>
    <w:rsid w:val="6BCA684C"/>
    <w:rsid w:val="6C2C6080"/>
    <w:rsid w:val="6DCE44B0"/>
    <w:rsid w:val="6E547202"/>
    <w:rsid w:val="6E6808CB"/>
    <w:rsid w:val="6F1B41AE"/>
    <w:rsid w:val="6F241291"/>
    <w:rsid w:val="70124EFA"/>
    <w:rsid w:val="70150F30"/>
    <w:rsid w:val="71453218"/>
    <w:rsid w:val="71C136EB"/>
    <w:rsid w:val="71E73175"/>
    <w:rsid w:val="71ED3D66"/>
    <w:rsid w:val="7285493D"/>
    <w:rsid w:val="72860B42"/>
    <w:rsid w:val="729C46EB"/>
    <w:rsid w:val="73B74233"/>
    <w:rsid w:val="73EE3425"/>
    <w:rsid w:val="73F5582A"/>
    <w:rsid w:val="746F1ED0"/>
    <w:rsid w:val="748C3FBD"/>
    <w:rsid w:val="74A16D28"/>
    <w:rsid w:val="74C018F1"/>
    <w:rsid w:val="74D64350"/>
    <w:rsid w:val="754040AE"/>
    <w:rsid w:val="75ED2340"/>
    <w:rsid w:val="76240B19"/>
    <w:rsid w:val="768D34DD"/>
    <w:rsid w:val="76B348A4"/>
    <w:rsid w:val="76BE1721"/>
    <w:rsid w:val="76FC03FE"/>
    <w:rsid w:val="776B44D0"/>
    <w:rsid w:val="77A80CB1"/>
    <w:rsid w:val="77AB254F"/>
    <w:rsid w:val="78044AA5"/>
    <w:rsid w:val="784309DA"/>
    <w:rsid w:val="78520C1D"/>
    <w:rsid w:val="78BB2C66"/>
    <w:rsid w:val="78F41993"/>
    <w:rsid w:val="791D02A8"/>
    <w:rsid w:val="79604C65"/>
    <w:rsid w:val="7962262E"/>
    <w:rsid w:val="798D27DE"/>
    <w:rsid w:val="7B355BEA"/>
    <w:rsid w:val="7B5C0F4D"/>
    <w:rsid w:val="7B846A51"/>
    <w:rsid w:val="7C102D04"/>
    <w:rsid w:val="7C204683"/>
    <w:rsid w:val="7C775943"/>
    <w:rsid w:val="7CC152B6"/>
    <w:rsid w:val="7D1367B1"/>
    <w:rsid w:val="7D8760D5"/>
    <w:rsid w:val="7DAF266D"/>
    <w:rsid w:val="7DBC080E"/>
    <w:rsid w:val="7E3A462D"/>
    <w:rsid w:val="7EF36A74"/>
    <w:rsid w:val="7F285A27"/>
    <w:rsid w:val="7F5A5140"/>
    <w:rsid w:val="7F741DC0"/>
    <w:rsid w:val="7F9E4E91"/>
    <w:rsid w:val="7FB17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snapToGrid/>
      <w:spacing w:line="360" w:lineRule="auto"/>
      <w:jc w:val="left"/>
      <w:textAlignment w:val="baseline"/>
    </w:pPr>
    <w:rPr>
      <w:rFonts w:ascii="Times New Roman" w:hAnsi="Times New Roman" w:eastAsia="宋体" w:cs="Arial"/>
      <w:snapToGrid w:val="0"/>
      <w:color w:val="000000"/>
      <w:kern w:val="0"/>
      <w:sz w:val="24"/>
      <w:szCs w:val="21"/>
    </w:rPr>
  </w:style>
  <w:style w:type="paragraph" w:styleId="2">
    <w:name w:val="heading 1"/>
    <w:basedOn w:val="1"/>
    <w:next w:val="1"/>
    <w:qFormat/>
    <w:uiPriority w:val="0"/>
    <w:pPr>
      <w:keepNext/>
      <w:keepLines/>
      <w:adjustRightInd/>
      <w:snapToGrid/>
      <w:spacing w:beforeLines="0" w:beforeAutospacing="0" w:afterLines="0" w:afterAutospacing="0" w:line="240" w:lineRule="auto"/>
      <w:jc w:val="center"/>
      <w:outlineLvl w:val="0"/>
    </w:pPr>
    <w:rPr>
      <w:b/>
      <w:kern w:val="44"/>
      <w:sz w:val="36"/>
    </w:rPr>
  </w:style>
  <w:style w:type="paragraph" w:styleId="3">
    <w:name w:val="heading 2"/>
    <w:basedOn w:val="1"/>
    <w:next w:val="1"/>
    <w:unhideWhenUsed/>
    <w:qFormat/>
    <w:uiPriority w:val="0"/>
    <w:pPr>
      <w:keepNext/>
      <w:keepLines/>
      <w:adjustRightInd/>
      <w:snapToGrid/>
      <w:spacing w:beforeLines="0" w:beforeAutospacing="0" w:afterLines="0" w:afterAutospacing="0" w:line="360" w:lineRule="auto"/>
      <w:outlineLvl w:val="1"/>
    </w:pPr>
    <w:rPr>
      <w:rFonts w:ascii="Times New Roman" w:hAnsi="Times New Roman" w:eastAsia="宋体"/>
      <w:b/>
      <w:sz w:val="28"/>
    </w:rPr>
  </w:style>
  <w:style w:type="paragraph" w:styleId="4">
    <w:name w:val="heading 3"/>
    <w:basedOn w:val="1"/>
    <w:next w:val="1"/>
    <w:link w:val="31"/>
    <w:unhideWhenUsed/>
    <w:qFormat/>
    <w:uiPriority w:val="0"/>
    <w:pPr>
      <w:keepNext/>
      <w:keepLines/>
      <w:adjustRightInd/>
      <w:snapToGrid/>
      <w:spacing w:beforeLines="0" w:beforeAutospacing="0" w:afterLines="0" w:afterAutospacing="0" w:line="360" w:lineRule="auto"/>
      <w:outlineLvl w:val="2"/>
    </w:pPr>
    <w:rPr>
      <w:rFonts w:ascii="Times New Roman" w:hAnsi="Times New Roman" w:eastAsia="宋体"/>
      <w:b/>
      <w:sz w:val="24"/>
    </w:rPr>
  </w:style>
  <w:style w:type="paragraph" w:styleId="5">
    <w:name w:val="heading 4"/>
    <w:basedOn w:val="1"/>
    <w:next w:val="1"/>
    <w:semiHidden/>
    <w:unhideWhenUsed/>
    <w:qFormat/>
    <w:uiPriority w:val="0"/>
    <w:pPr>
      <w:keepNext/>
      <w:keepLines/>
      <w:adjustRightInd/>
      <w:snapToGrid/>
      <w:spacing w:beforeLines="0" w:beforeAutospacing="0" w:afterLines="0" w:afterAutospacing="0" w:line="240" w:lineRule="auto"/>
      <w:outlineLvl w:val="3"/>
    </w:pPr>
    <w:rPr>
      <w:rFonts w:ascii="Times New Roman" w:hAnsi="Times New Roman" w:eastAsia="宋体"/>
      <w:b/>
      <w:sz w:val="24"/>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Normal Indent"/>
    <w:basedOn w:val="1"/>
    <w:next w:val="1"/>
    <w:unhideWhenUsed/>
    <w:qFormat/>
    <w:uiPriority w:val="99"/>
    <w:pPr>
      <w:ind w:firstLine="420"/>
    </w:pPr>
  </w:style>
  <w:style w:type="paragraph" w:styleId="7">
    <w:name w:val="annotation text"/>
    <w:basedOn w:val="1"/>
    <w:qFormat/>
    <w:uiPriority w:val="0"/>
    <w:pPr>
      <w:jc w:val="left"/>
    </w:pPr>
  </w:style>
  <w:style w:type="paragraph" w:styleId="8">
    <w:name w:val="Body Text"/>
    <w:basedOn w:val="1"/>
    <w:qFormat/>
    <w:uiPriority w:val="0"/>
    <w:pPr>
      <w:spacing w:before="155"/>
      <w:ind w:left="588"/>
    </w:pPr>
    <w:rPr>
      <w:rFonts w:ascii="宋体" w:hAnsi="宋体" w:eastAsia="宋体"/>
      <w:sz w:val="24"/>
      <w:szCs w:val="24"/>
    </w:rPr>
  </w:style>
  <w:style w:type="paragraph" w:styleId="9">
    <w:name w:val="Body Text Indent"/>
    <w:basedOn w:val="1"/>
    <w:qFormat/>
    <w:uiPriority w:val="99"/>
    <w:pPr>
      <w:widowControl w:val="0"/>
      <w:spacing w:after="120"/>
      <w:ind w:left="420" w:leftChars="200"/>
      <w:jc w:val="both"/>
    </w:pPr>
    <w:rPr>
      <w:rFonts w:asciiTheme="minorHAnsi" w:hAnsiTheme="minorHAnsi" w:eastAsiaTheme="minorEastAsia" w:cstheme="minorBidi"/>
      <w:kern w:val="2"/>
      <w:sz w:val="21"/>
      <w:szCs w:val="22"/>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1"/>
    <w:next w:val="1"/>
    <w:qFormat/>
    <w:uiPriority w:val="0"/>
    <w:pPr>
      <w:adjustRightInd w:val="0"/>
      <w:snapToGrid w:val="0"/>
      <w:spacing w:line="500" w:lineRule="exact"/>
      <w:ind w:left="200" w:hanging="200" w:hangingChars="200"/>
      <w:contextualSpacing/>
    </w:pPr>
    <w:rPr>
      <w:rFonts w:ascii="Times New Roman" w:hAnsi="Times New Roman" w:eastAsia="宋体"/>
      <w:b/>
      <w:szCs w:val="24"/>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9"/>
    <w:next w:val="9"/>
    <w:qFormat/>
    <w:uiPriority w:val="99"/>
    <w:pPr>
      <w:ind w:firstLine="42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Default"/>
    <w:basedOn w:val="19"/>
    <w:next w:val="20"/>
    <w:qFormat/>
    <w:uiPriority w:val="0"/>
    <w:pPr>
      <w:widowControl w:val="0"/>
      <w:tabs>
        <w:tab w:val="left" w:pos="2760"/>
      </w:tabs>
      <w:autoSpaceDE w:val="0"/>
      <w:autoSpaceDN w:val="0"/>
    </w:pPr>
    <w:rPr>
      <w:rFonts w:hAnsi="Times New Roman"/>
      <w:b/>
      <w:color w:val="000000"/>
      <w:szCs w:val="24"/>
    </w:rPr>
  </w:style>
  <w:style w:type="paragraph" w:customStyle="1" w:styleId="19">
    <w:name w:val="纯文本1"/>
    <w:basedOn w:val="1"/>
    <w:next w:val="1"/>
    <w:autoRedefine/>
    <w:qFormat/>
    <w:uiPriority w:val="0"/>
    <w:pPr>
      <w:adjustRightInd w:val="0"/>
      <w:snapToGrid w:val="0"/>
      <w:spacing w:line="312" w:lineRule="atLeast"/>
      <w:textAlignment w:val="baseline"/>
    </w:pPr>
    <w:rPr>
      <w:rFonts w:hAnsi="Courier New"/>
      <w:kern w:val="0"/>
    </w:rPr>
  </w:style>
  <w:style w:type="paragraph" w:customStyle="1" w:styleId="20">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21">
    <w:name w:val="_Style 7"/>
    <w:next w:val="1"/>
    <w:qFormat/>
    <w:uiPriority w:val="0"/>
    <w:pPr>
      <w:wordWrap w:val="0"/>
    </w:pPr>
    <w:rPr>
      <w:rFonts w:ascii="Times New Roman" w:hAnsi="Times New Roman" w:eastAsia="宋体" w:cs="Times New Roman"/>
      <w:sz w:val="32"/>
      <w:lang w:val="en-US" w:eastAsia="zh-CN" w:bidi="ar-SA"/>
    </w:rPr>
  </w:style>
  <w:style w:type="paragraph" w:customStyle="1" w:styleId="22">
    <w:name w:val="表头"/>
    <w:basedOn w:val="6"/>
    <w:next w:val="1"/>
    <w:link w:val="30"/>
    <w:qFormat/>
    <w:uiPriority w:val="0"/>
    <w:pPr>
      <w:spacing w:line="240" w:lineRule="auto"/>
      <w:ind w:firstLine="0"/>
      <w:jc w:val="center"/>
    </w:pPr>
    <w:rPr>
      <w:rFonts w:ascii="Times New Roman" w:hAnsi="Times New Roman" w:eastAsia="宋体" w:cs="Times New Roman"/>
      <w:b/>
      <w:bCs/>
      <w:spacing w:val="8"/>
      <w:sz w:val="21"/>
      <w:szCs w:val="72"/>
    </w:rPr>
  </w:style>
  <w:style w:type="paragraph" w:customStyle="1" w:styleId="23">
    <w:name w:val="报告表正文"/>
    <w:basedOn w:val="24"/>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24">
    <w:name w:val="报告正文"/>
    <w:basedOn w:val="25"/>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25">
    <w:name w:val="p17"/>
    <w:basedOn w:val="1"/>
    <w:qFormat/>
    <w:uiPriority w:val="0"/>
    <w:pPr>
      <w:widowControl/>
    </w:pPr>
    <w:rPr>
      <w:rFonts w:ascii="宋体" w:hAnsi="宋体" w:cs="宋体"/>
      <w:kern w:val="0"/>
      <w:szCs w:val="21"/>
    </w:rPr>
  </w:style>
  <w:style w:type="paragraph" w:customStyle="1" w:styleId="26">
    <w:name w:val="正文文本缩进 21"/>
    <w:basedOn w:val="1"/>
    <w:qFormat/>
    <w:uiPriority w:val="0"/>
    <w:pPr>
      <w:spacing w:line="480" w:lineRule="auto"/>
      <w:ind w:left="420" w:leftChars="200"/>
    </w:p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表格内容"/>
    <w:basedOn w:val="1"/>
    <w:qFormat/>
    <w:uiPriority w:val="0"/>
    <w:pPr>
      <w:spacing w:line="240" w:lineRule="auto"/>
      <w:jc w:val="center"/>
    </w:pPr>
    <w:rPr>
      <w:rFonts w:cs="Times New Roman"/>
      <w:bCs/>
      <w:spacing w:val="8"/>
      <w:sz w:val="21"/>
      <w:szCs w:val="72"/>
    </w:rPr>
  </w:style>
  <w:style w:type="paragraph" w:customStyle="1" w:styleId="29">
    <w:name w:val="首行！"/>
    <w:basedOn w:val="1"/>
    <w:link w:val="32"/>
    <w:qFormat/>
    <w:uiPriority w:val="0"/>
    <w:pPr>
      <w:spacing w:line="360" w:lineRule="auto"/>
      <w:ind w:firstLine="420" w:firstLineChars="200"/>
      <w:jc w:val="left"/>
    </w:pPr>
    <w:rPr>
      <w:rFonts w:ascii="Times New Roman" w:hAnsi="Times New Roman" w:eastAsia="宋体" w:cs="Times New Roman"/>
      <w:bCs/>
      <w:spacing w:val="8"/>
      <w:szCs w:val="72"/>
      <w:lang w:val="en-US" w:eastAsia="zh-CN"/>
    </w:rPr>
  </w:style>
  <w:style w:type="character" w:customStyle="1" w:styleId="30">
    <w:name w:val="表头 Char"/>
    <w:link w:val="22"/>
    <w:qFormat/>
    <w:uiPriority w:val="0"/>
    <w:rPr>
      <w:rFonts w:ascii="Times New Roman" w:hAnsi="Times New Roman" w:eastAsia="宋体" w:cs="Times New Roman"/>
      <w:b/>
      <w:bCs/>
      <w:spacing w:val="8"/>
      <w:sz w:val="21"/>
      <w:szCs w:val="72"/>
    </w:rPr>
  </w:style>
  <w:style w:type="character" w:customStyle="1" w:styleId="31">
    <w:name w:val="标题 3 Char"/>
    <w:link w:val="4"/>
    <w:qFormat/>
    <w:uiPriority w:val="0"/>
    <w:rPr>
      <w:rFonts w:ascii="Times New Roman" w:hAnsi="Times New Roman" w:eastAsia="宋体"/>
      <w:b/>
      <w:sz w:val="24"/>
    </w:rPr>
  </w:style>
  <w:style w:type="character" w:customStyle="1" w:styleId="32">
    <w:name w:val="首行！ Char"/>
    <w:link w:val="29"/>
    <w:qFormat/>
    <w:uiPriority w:val="0"/>
    <w:rPr>
      <w:rFonts w:ascii="Times New Roman" w:hAnsi="Times New Roman" w:eastAsia="宋体" w:cs="Times New Roman"/>
      <w:bCs/>
      <w:spacing w:val="8"/>
      <w:szCs w:val="72"/>
      <w:lang w:val="en-US" w:eastAsia="zh-CN"/>
    </w:rPr>
  </w:style>
  <w:style w:type="paragraph" w:customStyle="1" w:styleId="33">
    <w:name w:val="表格"/>
    <w:basedOn w:val="1"/>
    <w:next w:val="1"/>
    <w:qFormat/>
    <w:uiPriority w:val="0"/>
    <w:pPr>
      <w:spacing w:line="240" w:lineRule="atLeast"/>
      <w:ind w:firstLine="0" w:firstLineChars="0"/>
    </w:pPr>
    <w:rPr>
      <w:sz w:val="21"/>
      <w:szCs w:val="21"/>
    </w:rPr>
  </w:style>
  <w:style w:type="paragraph" w:customStyle="1" w:styleId="34">
    <w:name w:val="B正文"/>
    <w:basedOn w:val="1"/>
    <w:qFormat/>
    <w:uiPriority w:val="0"/>
    <w:pPr>
      <w:widowControl w:val="0"/>
      <w:ind w:firstLine="200"/>
      <w:jc w:val="both"/>
    </w:pPr>
    <w:rPr>
      <w:lang w:eastAsia="zh-CN"/>
    </w:rPr>
  </w:style>
  <w:style w:type="paragraph" w:customStyle="1" w:styleId="35">
    <w:name w:val="B表内"/>
    <w:basedOn w:val="1"/>
    <w:qFormat/>
    <w:uiPriority w:val="0"/>
    <w:pPr>
      <w:widowControl w:val="0"/>
      <w:spacing w:line="0" w:lineRule="atLeast"/>
      <w:ind w:firstLine="0" w:firstLineChars="0"/>
      <w:jc w:val="center"/>
    </w:pPr>
    <w:rPr>
      <w:rFonts w:ascii="宋体" w:hAnsi="宋体"/>
      <w:kern w:val="2"/>
      <w:sz w:val="21"/>
      <w:szCs w:val="20"/>
    </w:rPr>
  </w:style>
  <w:style w:type="paragraph" w:customStyle="1" w:styleId="36">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7">
    <w:name w:val="Char"/>
    <w:basedOn w:val="1"/>
    <w:qFormat/>
    <w:uiPriority w:val="99"/>
    <w:pPr>
      <w:snapToGrid w:val="0"/>
      <w:ind w:firstLine="529"/>
    </w:pPr>
    <w:rPr>
      <w:rFonts w:ascii="宋体" w:hAnsi="宋体"/>
      <w:b/>
    </w:rPr>
  </w:style>
  <w:style w:type="paragraph" w:customStyle="1" w:styleId="38">
    <w:name w:val="表格内文字 小5"/>
    <w:basedOn w:val="1"/>
    <w:next w:val="1"/>
    <w:qFormat/>
    <w:locked/>
    <w:uiPriority w:val="0"/>
    <w:pPr>
      <w:spacing w:line="240" w:lineRule="auto"/>
      <w:ind w:firstLine="0" w:firstLineChars="0"/>
      <w:jc w:val="center"/>
    </w:pPr>
    <w:rPr>
      <w:rFonts w:ascii="方正书宋" w:hAnsi="宋体" w:eastAsia="方正书宋"/>
      <w:color w:val="000000"/>
      <w:sz w:val="18"/>
      <w:szCs w:val="18"/>
      <w:lang w:eastAsia="zh-CN"/>
    </w:rPr>
  </w:style>
  <w:style w:type="character" w:customStyle="1" w:styleId="39">
    <w:name w:val="正文文本 (2) Exact"/>
    <w:unhideWhenUsed/>
    <w:qFormat/>
    <w:uiPriority w:val="99"/>
    <w:rPr>
      <w:rFonts w:hint="eastAsia" w:ascii="MingLiU" w:hAnsi="MingLiU" w:eastAsia="MingLiU"/>
      <w:sz w:val="34"/>
    </w:rPr>
  </w:style>
  <w:style w:type="paragraph" w:customStyle="1" w:styleId="40">
    <w:name w:val="表格1"/>
    <w:basedOn w:val="1"/>
    <w:qFormat/>
    <w:uiPriority w:val="0"/>
    <w:pPr>
      <w:adjustRightInd w:val="0"/>
      <w:snapToGrid w:val="0"/>
      <w:jc w:val="center"/>
    </w:pPr>
    <w:rPr>
      <w:rFonts w:ascii="Times New Roman" w:hAnsi="Times New Roman" w:eastAsia="方正仿宋_GBK"/>
      <w:color w:val="000000"/>
    </w:rPr>
  </w:style>
  <w:style w:type="paragraph" w:customStyle="1" w:styleId="41">
    <w:name w:val="表格内容1"/>
    <w:basedOn w:val="1"/>
    <w:qFormat/>
    <w:uiPriority w:val="0"/>
    <w:pPr>
      <w:adjustRightInd w:val="0"/>
      <w:snapToGrid w:val="0"/>
      <w:spacing w:line="240" w:lineRule="auto"/>
      <w:ind w:firstLine="0" w:firstLineChars="0"/>
      <w:jc w:val="center"/>
      <w:textAlignment w:val="baseline"/>
    </w:pPr>
    <w:rPr>
      <w:rFonts w:ascii="Times New Roman" w:hAnsi="Times New Roman"/>
      <w:sz w:val="21"/>
      <w:szCs w:val="21"/>
    </w:rPr>
  </w:style>
  <w:style w:type="paragraph" w:customStyle="1" w:styleId="42">
    <w:name w:val="我"/>
    <w:basedOn w:val="1"/>
    <w:qFormat/>
    <w:uiPriority w:val="0"/>
    <w:pPr>
      <w:spacing w:line="360" w:lineRule="auto"/>
      <w:ind w:firstLine="640" w:firstLineChars="200"/>
    </w:pPr>
    <w:rPr>
      <w:kern w:val="0"/>
      <w:sz w:val="24"/>
      <w:szCs w:val="20"/>
    </w:rPr>
  </w:style>
  <w:style w:type="paragraph" w:customStyle="1" w:styleId="43">
    <w:name w:val="表内文本正文"/>
    <w:basedOn w:val="1"/>
    <w:qFormat/>
    <w:uiPriority w:val="0"/>
    <w:pPr>
      <w:spacing w:line="360" w:lineRule="auto"/>
      <w:ind w:firstLine="420" w:firstLineChars="200"/>
    </w:pPr>
    <w:rPr>
      <w:rFonts w:ascii="Times New Roman" w:hAnsi="Times New Roman"/>
    </w:rPr>
  </w:style>
  <w:style w:type="paragraph" w:customStyle="1" w:styleId="44">
    <w:name w:val="样式 正文缩进正文缩进2正文缩进 Char Char正文缩进 Char Char Char Char正文缩进 Char ..."/>
    <w:basedOn w:val="6"/>
    <w:qFormat/>
    <w:uiPriority w:val="0"/>
    <w:pPr>
      <w:spacing w:line="360" w:lineRule="auto"/>
      <w:ind w:firstLine="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customXml" Target="../customXml/item1.xml"/><Relationship Id="rId34" Type="http://schemas.openxmlformats.org/officeDocument/2006/relationships/image" Target="media/image19.jpeg"/><Relationship Id="rId33" Type="http://schemas.openxmlformats.org/officeDocument/2006/relationships/image" Target="media/image18.jpe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emf"/><Relationship Id="rId17" Type="http://schemas.openxmlformats.org/officeDocument/2006/relationships/oleObject" Target="embeddings/oleObject2.bin"/><Relationship Id="rId16" Type="http://schemas.openxmlformats.org/officeDocument/2006/relationships/image" Target="media/image3.emf"/><Relationship Id="rId15" Type="http://schemas.openxmlformats.org/officeDocument/2006/relationships/oleObject" Target="embeddings/oleObject1.bin"/><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DUwMjg1MTgzMzkyIiwKCSJHcm91cElkIiA6ICI2NTk4NjUyNDQiLAoJIkltYWdlIiA6ICIiLAoJIlRoZW1lIiA6ICIiLAoJIlR5cGUiIDogImZsb3ciLAoJIlVzZXJJZCIgOiAiIiwKCSJWZXJzaW9uIiA6ICIiCn0K"/>
    </extobj>
  </extobjs>
</s:customData>
</file>

<file path=customXml/item2.xml><?xml version="1.0" encoding="utf-8"?>
<contractReview xmlns="http://schemas.wps.cn/vas-ai-hub/contract-review">
  <reviewItems>
    <reviewItem>
      <errorID>a35b5b9d-5db6-4bdc-a8b0-415fd902d17d</errorID>
      <errorWord>(</errorWord>
      <group>L1_Format</group>
      <groupName>格式问题</groupName>
      <ability>L2_HalfPunc_CN</ability>
      <abilityName>全半角问题</abilityName>
      <candidateList>
        <item>（</item>
      </candidateList>
      <explain>文本全半角错误。</explain>
      <paraID>699051C7</paraID>
      <start>0</start>
      <end>1</end>
      <status>modified</status>
      <modifiedWord>（</modifiedWord>
      <trackRevisions>false</trackRevisions>
    </reviewItem>
    <reviewItem>
      <errorID>5775064e-791a-455c-95be-fef3d3b1ea67</errorID>
      <errorWord>)</errorWord>
      <group>L1_Format</group>
      <groupName>格式问题</groupName>
      <ability>L2_HalfPunc_CN</ability>
      <abilityName>全半角问题</abilityName>
      <candidateList>
        <item>）</item>
      </candidateList>
      <explain>文本全半角错误。</explain>
      <paraID>699051C7</paraID>
      <start>6</start>
      <end>7</end>
      <status>modified</status>
      <modifiedWord>）</modifiedWord>
      <trackRevisions>false</trackRevisions>
    </reviewItem>
    <reviewItem>
      <errorID>8f7b3a39-af39-4717-87cb-ccac6bf697d7</errorID>
      <errorWord>(</errorWord>
      <group>L1_Format</group>
      <groupName>格式问题</groupName>
      <ability>L2_HalfPunc_CN</ability>
      <abilityName>全半角问题</abilityName>
      <candidateList>
        <item>（</item>
      </candidateList>
      <explain>文本全半角错误。</explain>
      <paraID>53CA2665</paraID>
      <start>5</start>
      <end>6</end>
      <status>modified</status>
      <modifiedWord>（</modifiedWord>
      <trackRevisions>false</trackRevisions>
    </reviewItem>
    <reviewItem>
      <errorID>092927ee-9104-4cd0-9a36-bb5fbd8018f3</errorID>
      <errorWord>)</errorWord>
      <group>L1_Format</group>
      <groupName>格式问题</groupName>
      <ability>L2_HalfPunc_CN</ability>
      <abilityName>全半角问题</abilityName>
      <candidateList>
        <item>）</item>
      </candidateList>
      <explain>文本全半角错误。</explain>
      <paraID>53CA2665</paraID>
      <start>8</start>
      <end>9</end>
      <status>modified</status>
      <modifiedWord>）</modifiedWord>
      <trackRevisions>false</trackRevisions>
    </reviewItem>
    <reviewItem>
      <errorID>27501043-f2ff-4b02-9e73-0c765ba89f2a</errorID>
      <errorWord>(</errorWord>
      <group>L1_Format</group>
      <groupName>格式问题</groupName>
      <ability>L2_HalfPunc_CN</ability>
      <abilityName>全半角问题</abilityName>
      <candidateList>
        <item>（</item>
      </candidateList>
      <explain>文本全半角错误。</explain>
      <paraID>25A9185D</paraID>
      <start>0</start>
      <end>1</end>
      <status>modified</status>
      <modifiedWord>（</modifiedWord>
      <trackRevisions>false</trackRevisions>
    </reviewItem>
    <reviewItem>
      <errorID>8e9bb682-eb86-412f-8cb7-b4b468fb90c2</errorID>
      <errorWord>)</errorWord>
      <group>L1_Format</group>
      <groupName>格式问题</groupName>
      <ability>L2_HalfPunc_CN</ability>
      <abilityName>全半角问题</abilityName>
      <candidateList>
        <item>）</item>
      </candidateList>
      <explain>文本全半角错误。</explain>
      <paraID>25A9185D</paraID>
      <start>34</start>
      <end>35</end>
      <status>modified</status>
      <modifiedWord>）</modifiedWord>
      <trackRevisions>false</trackRevisions>
    </reviewItem>
    <reviewItem>
      <errorID>e00176e6-97a2-437a-9c89-d9dfb70a048c</errorID>
      <errorWord>(</errorWord>
      <group>L1_Format</group>
      <groupName>格式问题</groupName>
      <ability>L2_HalfPunc_CN</ability>
      <abilityName>全半角问题</abilityName>
      <candidateList>
        <item>（</item>
      </candidateList>
      <explain>文本全半角错误。</explain>
      <paraID>252F87DE</paraID>
      <start>3</start>
      <end>4</end>
      <status>modified</status>
      <modifiedWord>（</modifiedWord>
      <trackRevisions>false</trackRevisions>
    </reviewItem>
    <reviewItem>
      <errorID>a1b170ff-2083-4509-a770-b30e53f0e91e</errorID>
      <errorWord>)</errorWord>
      <group>L1_Format</group>
      <groupName>格式问题</groupName>
      <ability>L2_HalfPunc_CN</ability>
      <abilityName>全半角问题</abilityName>
      <candidateList>
        <item>）</item>
      </candidateList>
      <explain>文本全半角错误。</explain>
      <paraID>252F87DE</paraID>
      <start>6</start>
      <end>7</end>
      <status>modified</status>
      <modifiedWord>）</modifiedWord>
      <trackRevisions>false</trackRevisions>
    </reviewItem>
    <reviewItem>
      <errorID>f0ab0950-3228-451e-a309-89dc0dff37b7</errorID>
      <errorWord>(</errorWord>
      <group>L1_Format</group>
      <groupName>格式问题</groupName>
      <ability>L2_HalfPunc_CN</ability>
      <abilityName>全半角问题</abilityName>
      <candidateList>
        <item>（</item>
      </candidateList>
      <explain>文本全半角错误。</explain>
      <paraID>52A0F412</paraID>
      <start>4</start>
      <end>5</end>
      <status>modified</status>
      <modifiedWord>（</modifiedWord>
      <trackRevisions>false</trackRevisions>
    </reviewItem>
    <reviewItem>
      <errorID>ad2340e0-d23b-4df3-b04f-5c53862681cc</errorID>
      <errorWord>)</errorWord>
      <group>L1_Format</group>
      <groupName>格式问题</groupName>
      <ability>L2_HalfPunc_CN</ability>
      <abilityName>全半角问题</abilityName>
      <candidateList>
        <item>）</item>
      </candidateList>
      <explain>文本全半角错误。</explain>
      <paraID>52A0F412</paraID>
      <start>10</start>
      <end>11</end>
      <status>modified</status>
      <modifiedWord>）</modifiedWord>
      <trackRevisions>false</trackRevisions>
    </reviewItem>
    <reviewItem>
      <errorID>f70600d4-2a71-4c4c-ae39-359667305666</errorID>
      <errorWord>(</errorWord>
      <group>L1_Format</group>
      <groupName>格式问题</groupName>
      <ability>L2_HalfPunc_CN</ability>
      <abilityName>全半角问题</abilityName>
      <candidateList>
        <item>（</item>
      </candidateList>
      <explain>文本全半角错误。</explain>
      <paraID>52A0F412</paraID>
      <start>13</start>
      <end>14</end>
      <status>modified</status>
      <modifiedWord>（</modifiedWord>
      <trackRevisions>false</trackRevisions>
    </reviewItem>
    <reviewItem>
      <errorID>f2da1aca-e46a-4a82-8535-3b10c4b2d147</errorID>
      <errorWord>)</errorWord>
      <group>L1_Format</group>
      <groupName>格式问题</groupName>
      <ability>L2_HalfPunc_CN</ability>
      <abilityName>全半角问题</abilityName>
      <candidateList>
        <item>）</item>
      </candidateList>
      <explain>文本全半角错误。</explain>
      <paraID>52A0F412</paraID>
      <start>16</start>
      <end>17</end>
      <status>modified</status>
      <modifiedWord>）</modifiedWord>
      <trackRevisions>false</trackRevisions>
    </reviewItem>
    <reviewItem>
      <errorID>dc9495d4-f71c-46e1-948a-5d065c0f6c7e</errorID>
      <errorWord>(</errorWord>
      <group>L1_Format</group>
      <groupName>格式问题</groupName>
      <ability>L2_HalfPunc_CN</ability>
      <abilityName>全半角问题</abilityName>
      <candidateList>
        <item>（</item>
      </candidateList>
      <explain>文本全半角错误。</explain>
      <paraID>31EB87E7</paraID>
      <start>4</start>
      <end>5</end>
      <status>modified</status>
      <modifiedWord>（</modifiedWord>
      <trackRevisions>false</trackRevisions>
    </reviewItem>
    <reviewItem>
      <errorID>fa2f8a5f-bba7-4da8-b3fe-bbcee5118473</errorID>
      <errorWord>)</errorWord>
      <group>L1_Format</group>
      <groupName>格式问题</groupName>
      <ability>L2_HalfPunc_CN</ability>
      <abilityName>全半角问题</abilityName>
      <candidateList>
        <item>）</item>
      </candidateList>
      <explain>文本全半角错误。</explain>
      <paraID>31EB87E7</paraID>
      <start>10</start>
      <end>11</end>
      <status>modified</status>
      <modifiedWord>）</modifiedWord>
      <trackRevisions>false</trackRevisions>
    </reviewItem>
    <reviewItem>
      <errorID>13845bb5-0d06-4342-8e26-1b643302eeb0</errorID>
      <errorWord>(</errorWord>
      <group>L1_Format</group>
      <groupName>格式问题</groupName>
      <ability>L2_HalfPunc_CN</ability>
      <abilityName>全半角问题</abilityName>
      <candidateList>
        <item>（</item>
      </candidateList>
      <explain>文本全半角错误。</explain>
      <paraID>31EB87E7</paraID>
      <start>13</start>
      <end>14</end>
      <status>modified</status>
      <modifiedWord>（</modifiedWord>
      <trackRevisions>false</trackRevisions>
    </reviewItem>
    <reviewItem>
      <errorID>afc86e23-e08e-4c2f-8286-a1c14705232b</errorID>
      <errorWord>)</errorWord>
      <group>L1_Format</group>
      <groupName>格式问题</groupName>
      <ability>L2_HalfPunc_CN</ability>
      <abilityName>全半角问题</abilityName>
      <candidateList>
        <item>）</item>
      </candidateList>
      <explain>文本全半角错误。</explain>
      <paraID>31EB87E7</paraID>
      <start>16</start>
      <end>17</end>
      <status>modified</status>
      <modifiedWord>）</modifiedWord>
      <trackRevisions>false</trackRevisions>
    </reviewItem>
    <reviewItem>
      <errorID>a545024b-0ed7-4f31-a334-f0098be5b408</errorID>
      <errorWord>(</errorWord>
      <group>L1_Format</group>
      <groupName>格式问题</groupName>
      <ability>L2_HalfPunc_CN</ability>
      <abilityName>全半角问题</abilityName>
      <candidateList>
        <item>（</item>
      </candidateList>
      <explain>文本全半角错误。</explain>
      <paraID>71354012</paraID>
      <start>3</start>
      <end>4</end>
      <status>modified</status>
      <modifiedWord>（</modifiedWord>
      <trackRevisions>false</trackRevisions>
    </reviewItem>
    <reviewItem>
      <errorID>e069cec5-547d-4227-b804-149a5c35e5da</errorID>
      <errorWord>)</errorWord>
      <group>L1_Format</group>
      <groupName>格式问题</groupName>
      <ability>L2_HalfPunc_CN</ability>
      <abilityName>全半角问题</abilityName>
      <candidateList>
        <item>）</item>
      </candidateList>
      <explain>文本全半角错误。</explain>
      <paraID>71354012</paraID>
      <start>6</start>
      <end>7</end>
      <status>modified</status>
      <modifiedWord>）</modifiedWord>
      <trackRevisions>false</trackRevisions>
    </reviewItem>
    <reviewItem>
      <errorID>560b058b-6373-4706-a555-1204c1b21879</errorID>
      <errorWord>(</errorWord>
      <group>L1_Format</group>
      <groupName>格式问题</groupName>
      <ability>L2_HalfPunc_CN</ability>
      <abilityName>全半角问题</abilityName>
      <candidateList>
        <item>（</item>
      </candidateList>
      <explain>文本全半角错误。</explain>
      <paraID>45CAED94</paraID>
      <start>4</start>
      <end>5</end>
      <status>modified</status>
      <modifiedWord>（</modifiedWord>
      <trackRevisions>false</trackRevisions>
    </reviewItem>
    <reviewItem>
      <errorID>9c2af920-5aa3-4574-bbfc-1344a2378cab</errorID>
      <errorWord>)</errorWord>
      <group>L1_Format</group>
      <groupName>格式问题</groupName>
      <ability>L2_HalfPunc_CN</ability>
      <abilityName>全半角问题</abilityName>
      <candidateList>
        <item>）</item>
      </candidateList>
      <explain>文本全半角错误。</explain>
      <paraID>45CAED94</paraID>
      <start>7</start>
      <end>8</end>
      <status>modified</status>
      <modifiedWord>）</modifiedWord>
      <trackRevisions>false</trackRevisions>
    </reviewItem>
    <reviewItem>
      <errorID>8d897478-81b4-430b-8c7f-e66c8ed0370a</errorID>
      <errorWord>(</errorWord>
      <group>L1_Format</group>
      <groupName>格式问题</groupName>
      <ability>L2_HalfPunc_CN</ability>
      <abilityName>全半角问题</abilityName>
      <candidateList>
        <item>（</item>
      </candidateList>
      <explain>文本全半角错误。</explain>
      <paraID>2410F714</paraID>
      <start>6</start>
      <end>7</end>
      <status>modified</status>
      <modifiedWord>（</modifiedWord>
      <trackRevisions>false</trackRevisions>
    </reviewItem>
    <reviewItem>
      <errorID>594f69df-f010-4a7d-a5af-8db2bd044a71</errorID>
      <errorWord>)</errorWord>
      <group>L1_Format</group>
      <groupName>格式问题</groupName>
      <ability>L2_HalfPunc_CN</ability>
      <abilityName>全半角问题</abilityName>
      <candidateList>
        <item>）</item>
      </candidateList>
      <explain>文本全半角错误。</explain>
      <paraID>2410F714</paraID>
      <start>8</start>
      <end>9</end>
      <status>modified</status>
      <modifiedWord>）</modifiedWord>
      <trackRevisions>false</trackRevisions>
    </reviewItem>
    <reviewItem>
      <errorID>12107fbc-ea98-4c57-a0d3-d6c81ad6d404</errorID>
      <errorWord>(</errorWord>
      <group>L1_Format</group>
      <groupName>格式问题</groupName>
      <ability>L2_HalfPunc_CN</ability>
      <abilityName>全半角问题</abilityName>
      <candidateList>
        <item>（</item>
      </candidateList>
      <explain>文本全半角错误。</explain>
      <paraID> 803932A</paraID>
      <start>2</start>
      <end>3</end>
      <status>modified</status>
      <modifiedWord>（</modifiedWord>
      <trackRevisions>false</trackRevisions>
    </reviewItem>
    <reviewItem>
      <errorID>b8e5a22f-fd4c-411b-922d-d58854d297c8</errorID>
      <errorWord>)</errorWord>
      <group>L1_Format</group>
      <groupName>格式问题</groupName>
      <ability>L2_HalfPunc_CN</ability>
      <abilityName>全半角问题</abilityName>
      <candidateList>
        <item>）</item>
      </candidateList>
      <explain>文本全半角错误。</explain>
      <paraID> 803932A</paraID>
      <start>5</start>
      <end>6</end>
      <status>modified</status>
      <modifiedWord>）</modifiedWord>
      <trackRevisions>false</trackRevisions>
    </reviewItem>
    <reviewItem>
      <errorID>7d245706-62db-435f-939f-5a57a3b12f02</errorID>
      <errorWord>(</errorWord>
      <group>L1_Format</group>
      <groupName>格式问题</groupName>
      <ability>L2_HalfPunc_CN</ability>
      <abilityName>全半角问题</abilityName>
      <candidateList>
        <item>（</item>
      </candidateList>
      <explain>文本全半角错误。</explain>
      <paraID>316E8824</paraID>
      <start>2</start>
      <end>3</end>
      <status>modified</status>
      <modifiedWord>（</modifiedWord>
      <trackRevisions>false</trackRevisions>
    </reviewItem>
    <reviewItem>
      <errorID>5c01a7f9-bda1-4679-ae6e-56e7db34855a</errorID>
      <errorWord>)</errorWord>
      <group>L1_Format</group>
      <groupName>格式问题</groupName>
      <ability>L2_HalfPunc_CN</ability>
      <abilityName>全半角问题</abilityName>
      <candidateList>
        <item>）</item>
      </candidateList>
      <explain>文本全半角错误。</explain>
      <paraID>316E8824</paraID>
      <start>5</start>
      <end>6</end>
      <status>modified</status>
      <modifiedWord>）</modifiedWord>
      <trackRevisions>false</trackRevisions>
    </reviewItem>
    <reviewItem>
      <errorID>e9946a9a-db53-4bbb-8b29-099d3f6ae37a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2C8054C5</paraID>
      <start>0</start>
      <end>2</end>
      <status>ignored</status>
      <modifiedWord/>
      <trackRevisions>false</trackRevisions>
    </reviewItem>
    <reviewItem>
      <errorID>30b961aa-15bd-484f-be7a-fda945bf50a1</errorID>
      <errorWord>&lt;</errorWord>
      <group>L1_Format</group>
      <groupName>格式问题</groupName>
      <ability>L2_HalfPunc_CN</ability>
      <abilityName>全半角问题</abilityName>
      <candidateList>
        <item>〈</item>
      </candidateList>
      <explain>文本全半角错误。</explain>
      <paraID>1B043744</paraID>
      <start>110</start>
      <end>111</end>
      <status>modified</status>
      <modifiedWord>〈</modifiedWord>
      <trackRevisions>false</trackRevisions>
    </reviewItem>
    <reviewItem>
      <errorID>2eba5c16-3a3a-4454-9bd5-a2e005d70041</errorID>
      <errorWord>&gt;</errorWord>
      <group>L1_Format</group>
      <groupName>格式问题</groupName>
      <ability>L2_HalfPunc_CN</ability>
      <abilityName>全半角问题</abilityName>
      <candidateList>
        <item>〉</item>
      </candidateList>
      <explain>文本全半角错误。</explain>
      <paraID>1B043744</paraID>
      <start>123</start>
      <end>124</end>
      <status>modified</status>
      <modifiedWord>〉</modifiedWord>
      <trackRevisions>false</trackRevisions>
    </reviewItem>
    <reviewItem>
      <errorID>93b0a25b-25e9-4c23-bcea-b43ae62d0592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520E7B9A</paraID>
      <start>0</start>
      <end>2</end>
      <status>ignored</status>
      <modifiedWord/>
      <trackRevisions>false</trackRevisions>
    </reviewItem>
    <reviewItem>
      <errorID>8d45dd54-5206-4866-873a-080d7b47171a</errorID>
      <errorWord>提供方便</errorWord>
      <group>L1_Word</group>
      <groupName>字词问题</groupName>
      <ability>L2_Typo</ability>
      <abilityName>字词错误</abilityName>
      <candidateList>
        <item>提供便利</item>
      </candidateList>
      <explain/>
      <paraID>4AA1DB40</paraID>
      <start>133</start>
      <end>137</end>
      <status>modified</status>
      <modifiedWord>提供便利</modifiedWord>
      <trackRevisions>false</trackRevisions>
    </reviewItem>
    <reviewItem>
      <errorID>ca2a74ab-e4f3-4cf0-a651-b81d5fcf2384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1839C1C3</paraID>
      <start>0</start>
      <end>2</end>
      <status>ignored</status>
      <modifiedWord/>
      <trackRevisions>false</trackRevisions>
    </reviewItem>
    <reviewItem>
      <errorID>0c6d81c2-5415-4c14-8369-3325accb8d01</errorID>
      <errorWord>，本项目</errorWord>
      <group>L1_Grammar</group>
      <groupName>语法问题</groupName>
      <ability>L2_Grammar</ability>
      <abilityName>语法错误</abilityName>
      <candidateList>
        <item>，</item>
      </candidateList>
      <explain/>
      <paraID>7A3D7A17</paraID>
      <start>40</start>
      <end>41</end>
      <status>modified</status>
      <modifiedWord>，</modifiedWord>
      <trackRevisions>false</trackRevisions>
    </reviewItem>
    <reviewItem>
      <errorID>d718a5ef-7503-4998-aa4d-c87d4dd0f498</errorID>
      <errorWord>备案</errorWord>
      <group>L1_Punc</group>
      <groupName>标点问题</groupName>
      <ability>L2_Punc_CN</ability>
      <abilityName>标点符号问题</abilityName>
      <candidateList>
        <item>备案。</item>
      </candidateList>
      <explain/>
      <paraID>6CD4B2DA</paraID>
      <start>23</start>
      <end>26</end>
      <status>modified</status>
      <modifiedWord>备案。</modifiedWord>
      <trackRevisions>false</trackRevisions>
    </reviewItem>
    <reviewItem>
      <errorID>937ef486-825a-4eac-8b3f-1dc39f9a5730</errorID>
      <errorWord>不断</errorWord>
      <group>L1_Punc</group>
      <groupName>标点问题</groupName>
      <ability>L2_Punc_CN</ability>
      <abilityName>标点符号问题</abilityName>
      <candidateList>
        <item>，不断</item>
      </candidateList>
      <explain/>
      <paraID>41AD4705</paraID>
      <start>197</start>
      <end>199</end>
      <status>ignored</status>
      <modifiedWord/>
      <trackRevisions>false</trackRevisions>
    </reviewItem>
    <reviewItem>
      <errorID>2f4f6b33-3399-4992-8bbb-04cbe63c21a7</errorID>
      <errorWord>(</errorWord>
      <group>L1_Format</group>
      <groupName>格式问题</groupName>
      <ability>L2_HalfPunc_CN</ability>
      <abilityName>全半角问题</abilityName>
      <candidateList>
        <item>（</item>
      </candidateList>
      <explain>文本全半角错误。</explain>
      <paraID>41AD4705</paraID>
      <start>229</start>
      <end>230</end>
      <status>modified</status>
      <modifiedWord>（</modifiedWord>
      <trackRevisions>false</trackRevisions>
    </reviewItem>
    <reviewItem>
      <errorID>5c686028-5742-4371-87b9-75b60fa3aa0b</errorID>
      <errorWord>)</errorWord>
      <group>L1_Format</group>
      <groupName>格式问题</groupName>
      <ability>L2_HalfPunc_CN</ability>
      <abilityName>全半角问题</abilityName>
      <candidateList>
        <item>）</item>
      </candidateList>
      <explain>文本全半角错误。</explain>
      <paraID>41AD4705</paraID>
      <start>231</start>
      <end>232</end>
      <status>modified</status>
      <modifiedWord>）</modifiedWord>
      <trackRevisions>false</trackRevisions>
    </reviewItem>
    <reviewItem>
      <errorID>72d676b1-36c9-4fa3-844e-a3859e220a81</errorID>
      <errorWord>存</errorWord>
      <group>L1_Word</group>
      <groupName>字词问题</groupName>
      <ability>L2_Typo</ability>
      <abilityName>字词错误</abilityName>
      <candidateList>
        <item>存在</item>
      </candidateList>
      <explain/>
      <paraID>5F4751D3</paraID>
      <start>41</start>
      <end>42</end>
      <status>ignored</status>
      <modifiedWord/>
      <trackRevisions>false</trackRevisions>
    </reviewItem>
    <reviewItem>
      <errorID>3e2b6660-4e6f-4a7e-b1ad-33c0c0ea1280</errorID>
      <errorWord>饮用水水源补给区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词汇“饮用水水源保护区”在特定场景下为固定表述形式，请确认此处的“饮用水水源补给区”是否存在不当。</explain>
      <paraID>3F85B830</paraID>
      <start>15</start>
      <end>23</end>
      <status>ignored</status>
      <modifiedWord/>
      <trackRevisions>false</trackRevisions>
    </reviewItem>
    <reviewItem>
      <errorID>dd9a73ca-cae2-4ba0-adee-56555fafe104</errorID>
      <errorWord>、</errorWord>
      <group>L1_Punc</group>
      <groupName>标点问题</groupName>
      <ability>L2_Punc_CN</ability>
      <abilityName>标点符号问题</abilityName>
      <candidateList>
        <item/>
      </candidateList>
      <explain/>
      <paraID>38E4F5F1</paraID>
      <start>84</start>
      <end>84</end>
      <status>modified</status>
      <modifiedWord/>
      <trackRevisions>false</trackRevisions>
    </reviewItem>
    <reviewItem>
      <errorID>bfd9b2ee-637d-4920-bec4-4085334e3fe4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5FF158AE</paraID>
      <start>0</start>
      <end>2</end>
      <status>ignored</status>
      <modifiedWord/>
      <trackRevisions>false</trackRevisions>
    </reviewItem>
    <reviewItem>
      <errorID>fea2c13d-e315-497c-a2f8-19fb777c42d4</errorID>
      <errorWord>  </errorWord>
      <group>L1_Punc</group>
      <groupName>标点问题</groupName>
      <ability>L2_Punc_CN</ability>
      <abilityName>标点符号问题</abilityName>
      <candidateList>
        <item/>
      </candidateList>
      <explain>此处空格冗余，建议删除。</explain>
      <paraID>2F2CBF94</paraID>
      <start>4</start>
      <end>4</end>
      <status>modified</status>
      <modifiedWord/>
      <trackRevisions>false</trackRevisions>
    </reviewItem>
    <reviewItem>
      <errorID>ee5cbd0d-9ed0-4f84-83ea-d4630c240f4b</errorID>
      <errorWord> </errorWord>
      <group>L1_Punc</group>
      <groupName>标点问题</groupName>
      <ability>L2_Punc_CN</ability>
      <abilityName>标点符号问题</abilityName>
      <candidateList>
        <item/>
      </candidateList>
      <explain>此处空格冗余，建议删除。</explain>
      <paraID>2F2CBF94</paraID>
      <start>30</start>
      <end>30</end>
      <status>modified</status>
      <modifiedWord/>
      <trackRevisions>false</trackRevisions>
    </reviewItem>
    <reviewItem>
      <errorID>c7800237-073e-4483-abc5-e4a2d3d33184</errorID>
      <errorWord>危废垃圾贮存间</errorWord>
      <group>L1_Other</group>
      <groupName>其他问题</groupName>
      <ability>L2_Consistency</ability>
      <abilityName>一致性检查</abilityName>
      <candidateList>
        <item>危险废物贮存间</item>
      </candidateList>
      <explain>术语一致性：危险废物贮存场所的表述不统一，应统一为规范的术语表述。</explain>
      <paraID>1341AFD6</paraID>
      <start>15</start>
      <end>22</end>
      <status>modified</status>
      <modifiedWord>危险废物贮存间</modifiedWord>
      <trackRevisions>false</trackRevisions>
    </reviewItem>
    <reviewItem>
      <errorID>d859c9e4-71bf-46a9-a284-7be032e51376</errorID>
      <errorWord>危废垃圾贮存间</errorWord>
      <group>L1_Other</group>
      <groupName>其他问题</groupName>
      <ability>L2_Consistency</ability>
      <abilityName>一致性检查</abilityName>
      <candidateList>
        <item>危险废物贮存间</item>
      </candidateList>
      <explain>术语一致性：危险废物贮存场所的表述不统一，应统一为规范的术语表述。</explain>
      <paraID>42408A59</paraID>
      <start>15</start>
      <end>22</end>
      <status>modified</status>
      <modifiedWord>危险废物贮存间</modifiedWord>
      <trackRevisions>false</trackRevisions>
    </reviewItem>
    <reviewItem>
      <errorID>02aafd88-e657-4036-b3e7-14843b63d6c6</errorID>
      <errorWord>医疗废水处理设备</errorWord>
      <group>L1_Other</group>
      <groupName>其他问题</groupName>
      <ability>L2_Consistency</ability>
      <abilityName>一致性检查</abilityName>
      <candidateList>
        <item>一体化污水处理设施</item>
      </candidateList>
      <explain>术语一致性：污水处理设施的表述不统一，应统一为规范的术语表述。</explain>
      <paraID>2ECCB53C</paraID>
      <start>18</start>
      <end>27</end>
      <status>modified</status>
      <modifiedWord>一体化污水处理设施</modifiedWord>
      <trackRevisions>false</trackRevisions>
    </reviewItem>
    <reviewItem>
      <errorID>16921bda-eb1c-47c0-a131-2d2b74924aeb</errorID>
      <errorWord>处理“过滤+氯片消毒”</errorWord>
      <group>L1_Punc</group>
      <groupName>标点问题</groupName>
      <ability>L2_Punc_CN</ability>
      <abilityName>标点符号问题</abilityName>
      <candidateList>
        <item>（“过滤+氯片消毒”）处理</item>
      </candidateList>
      <explain/>
      <paraID>2ECCB53C</paraID>
      <start>27</start>
      <end>40</end>
      <status>modified</status>
      <modifiedWord>（“过滤+氯片消毒”）处理</modifiedWord>
      <trackRevisions>false</trackRevisions>
    </reviewItem>
    <reviewItem>
      <errorID>0b0c239e-85a6-4377-a143-95b23704f806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3830DA89</paraID>
      <start>0</start>
      <end>2</end>
      <status>ignored</status>
      <modifiedWord/>
      <trackRevisions>false</trackRevisions>
    </reviewItem>
    <reviewItem>
      <errorID>3b2b5b17-3a3e-43a9-baad-365ef2fafcca</errorID>
      <errorWord>&lt;</errorWord>
      <group>L1_Format</group>
      <groupName>格式问题</groupName>
      <ability>L2_HalfPunc_CN</ability>
      <abilityName>全半角问题</abilityName>
      <candidateList>
        <item>〈</item>
      </candidateList>
      <explain>文本全半角错误。</explain>
      <paraID>3830DA89</paraID>
      <start>11</start>
      <end>12</end>
      <status>modified</status>
      <modifiedWord>〈</modifiedWord>
      <trackRevisions>false</trackRevisions>
    </reviewItem>
    <reviewItem>
      <errorID>ba900003-04d0-49ed-94fb-549b1e8dc1ba</errorID>
      <errorWord>&lt;</errorWord>
      <group>L1_Format</group>
      <groupName>格式问题</groupName>
      <ability>L2_HalfPunc_CN</ability>
      <abilityName>全半角问题</abilityName>
      <candidateList>
        <item>〈</item>
      </candidateList>
      <explain>文本全半角错误。</explain>
      <paraID>4216D298</paraID>
      <start>8</start>
      <end>9</end>
      <status>modified</status>
      <modifiedWord>〈</modifiedWord>
      <trackRevisions>false</trackRevisions>
    </reviewItem>
    <reviewItem>
      <errorID>50430e1a-3b17-405d-9ca9-27be380b68c0</errorID>
      <errorWord>经</errorWord>
      <group>L1_Punc</group>
      <groupName>标点问题</groupName>
      <ability>L2_Punc_CN</ability>
      <abilityName>标点符号问题</abilityName>
      <candidateList>
        <item>，经</item>
      </candidateList>
      <explain/>
      <paraID>409D5DA4</paraID>
      <start>105</start>
      <end>107</end>
      <status>modified</status>
      <modifiedWord>，经</modifiedWord>
      <trackRevisions>false</trackRevisions>
    </reviewItem>
    <reviewItem>
      <errorID>2ed3275e-da70-47d2-9c19-624268339e19</errorID>
      <errorWord>医疗废水处理设备</errorWord>
      <group>L1_Other</group>
      <groupName>其他问题</groupName>
      <ability>L2_Consistency</ability>
      <abilityName>一致性检查</abilityName>
      <candidateList>
        <item>一体化污水处理设施</item>
      </candidateList>
      <explain>术语一致性：污水处理设施的表述不统一，应统一为规范的术语表述。</explain>
      <paraID>409D5DA4</paraID>
      <start>107</start>
      <end>116</end>
      <status>modified</status>
      <modifiedWord>一体化污水处理设施</modifiedWord>
      <trackRevisions>false</trackRevisions>
    </reviewItem>
    <reviewItem>
      <errorID>9535923a-6bf9-4018-8336-711b3fadd62b</errorID>
      <errorWord>处理“过滤+氯片消毒”</errorWord>
      <group>L1_Word</group>
      <groupName>字词问题</groupName>
      <ability>L2_Typo</ability>
      <abilityName>字词错误</abilityName>
      <candidateList>
        <item>“过滤+氯片消毒”处理</item>
      </candidateList>
      <explain/>
      <paraID>409D5DA4</paraID>
      <start>116</start>
      <end>127</end>
      <status>modified</status>
      <modifiedWord>“过滤+氯片消毒”处理</modifiedWord>
      <trackRevisions>false</trackRevisions>
    </reviewItem>
    <reviewItem>
      <errorID>e5571804-7173-40cc-b6b3-910c89ebb9c5</errorID>
      <errorWord>与</errorWord>
      <group>L1_Punc</group>
      <groupName>标点问题</groupName>
      <ability>L2_Punc_CN</ability>
      <abilityName>标点符号问题</abilityName>
      <candidateList>
        <item>，与</item>
      </candidateList>
      <explain/>
      <paraID>409D5DA4</paraID>
      <start>128</start>
      <end>130</end>
      <status>modified</status>
      <modifiedWord>，与</modifiedWord>
      <trackRevisions>false</trackRevisions>
    </reviewItem>
    <reviewItem>
      <errorID>b187f7e9-f30f-40a1-a04b-242a4c099f60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76022501</paraID>
      <start>0</start>
      <end>2</end>
      <status>ignored</status>
      <modifiedWord/>
      <trackRevisions>false</trackRevisions>
    </reviewItem>
    <reviewItem>
      <errorID>10d304c5-d237-445e-9806-6edd44184559</errorID>
      <errorWord>》</errorWord>
      <group>L1_Word</group>
      <groupName>字词问题</groupName>
      <ability>L2_Typo</ability>
      <abilityName>字词错误</abilityName>
      <candidateList>
        <item>》等</item>
      </candidateList>
      <explain/>
      <paraID>5960EBD4</paraID>
      <start>91</start>
      <end>93</end>
      <status>modified</status>
      <modifiedWord>》等</modifiedWord>
      <trackRevisions>false</trackRevisions>
    </reviewItem>
    <reviewItem>
      <errorID>fe6e5da4-b937-4a2e-95e6-5c7d77d97c44</errorID>
      <errorWord>设有</errorWord>
      <group>L1_Punc</group>
      <groupName>标点问题</groupName>
      <ability>L2_Punc_CN</ability>
      <abilityName>标点符号问题</abilityName>
      <candidateList>
        <item>：设有</item>
      </candidateList>
      <explain/>
      <paraID>1543E253</paraID>
      <start>189</start>
      <end>191</end>
      <status>ignored</status>
      <modifiedWord/>
      <trackRevisions>false</trackRevisions>
    </reviewItem>
    <reviewItem>
      <errorID>bfaad94d-5637-450e-b7f8-3aa954144841</errorID>
      <errorWord>需</errorWord>
      <group>L1_Punc</group>
      <groupName>标点问题</groupName>
      <ability>L2_Punc_CN</ability>
      <abilityName>标点符号问题</abilityName>
      <candidateList>
        <item>，需</item>
      </candidateList>
      <explain/>
      <paraID>1543E253</paraID>
      <start>206</start>
      <end>208</end>
      <status>modified</status>
      <modifiedWord>，需</modifiedWord>
      <trackRevisions>false</trackRevisions>
    </reviewItem>
    <reviewItem>
      <errorID>bf64268b-acc3-4564-8e35-7c44bd3b02f6</errorID>
      <errorWord>”。</errorWord>
      <group>L1_Punc</group>
      <groupName>标点问题</groupName>
      <ability>L2_Punc_CN</ability>
      <abilityName>标点符号问题</abilityName>
      <candidateList>
        <item>。”</item>
      </candidateList>
      <explain/>
      <paraID>1543E253</paraID>
      <start>217</start>
      <end>219</end>
      <status>ignored</status>
      <modifiedWord/>
      <trackRevisions>false</trackRevisions>
    </reviewItem>
    <reviewItem>
      <errorID>fd271f97-8dcc-4490-a646-948e6d5720fd</errorID>
      <errorWord>库尔勒宠爱一生老城宠物医院建设项目</errorWord>
      <group>L1_Other</group>
      <groupName>其他问题</groupName>
      <ability>L2_Consistency</ability>
      <abilityName>一致性检查</abilityName>
      <candidateList>
        <item>库尔勒宠爱一生老城宠物医院</item>
      </candidateList>
      <explain>实体一致性：建设项目名称前后表述不一致，应统一为首次出现的规范名称。</explain>
      <paraID>1543E253</paraID>
      <start>334</start>
      <end>351</end>
      <status>ignored</status>
      <modifiedWord/>
      <trackRevisions>false</trackRevisions>
    </reviewItem>
    <reviewItem>
      <errorID>e9ca365b-e2b4-4f8c-8a60-2b70784b6a77</errorID>
      <errorWord>"</errorWord>
      <group>L1_Format</group>
      <groupName>格式问题</groupName>
      <ability>L2_HalfPunc_CN</ability>
      <abilityName>全半角问题</abilityName>
      <candidateList/>
      <explain>文本全半角错误。</explain>
      <paraID>3C34FCA9</paraID>
      <start>62</start>
      <end>63</end>
      <status>ignored</status>
      <modifiedWord/>
      <trackRevisions>false</trackRevisions>
    </reviewItem>
    <reviewItem>
      <errorID>c0e24381-202d-46c6-bc03-f45b371ac87d</errorID>
      <errorWord>"</errorWord>
      <group>L1_Format</group>
      <groupName>格式问题</groupName>
      <ability>L2_HalfPunc_CN</ability>
      <abilityName>全半角问题</abilityName>
      <candidateList/>
      <explain>文本全半角错误。</explain>
      <paraID>3C34FCA9</paraID>
      <start>77</start>
      <end>78</end>
      <status>ignored</status>
      <modifiedWord/>
      <trackRevisions>false</trackRevisions>
    </reviewItem>
    <reviewItem>
      <errorID>e9ff8ef8-46ad-4a57-b8fc-fc297573e9e6</errorID>
      <errorWord>一体化医疗废水处理设施</errorWord>
      <group>L1_Other</group>
      <groupName>其他问题</groupName>
      <ability>L2_Consistency</ability>
      <abilityName>一致性检查</abilityName>
      <candidateList>
        <item>一体化污水处理设施</item>
      </candidateList>
      <explain>术语一致性：污水处理设施的表述不统一，应统一为规范的术语表述。</explain>
      <paraID>570CFAC2</paraID>
      <start>2</start>
      <end>11</end>
      <status>modified</status>
      <modifiedWord>一体化污水处理设施</modifiedWord>
      <trackRevisions>false</trackRevisions>
    </reviewItem>
    <reviewItem>
      <errorID>5c8fb621-6f70-4965-a7bb-8ffdb802ab10</errorID>
      <errorWord>一体化医疗废水处理设施</errorWord>
      <group>L1_Other</group>
      <groupName>其他问题</groupName>
      <ability>L2_Consistency</ability>
      <abilityName>一致性检查</abilityName>
      <candidateList>
        <item>一体化污水处理设施</item>
      </candidateList>
      <explain>术语一致性：污水处理设施的表述不统一，应统一为规范的术语表述。</explain>
      <paraID>570CFAC2</paraID>
      <start>66</start>
      <end>75</end>
      <status>modified</status>
      <modifiedWord>一体化污水处理设施</modifiedWord>
      <trackRevisions>false</trackRevisions>
    </reviewItem>
    <reviewItem>
      <errorID>ce4110b5-3908-449d-8b6d-f560f6fb09a2</errorID>
      <errorWord>、</errorWord>
      <group>L1_Punc</group>
      <groupName>标点问题</groupName>
      <ability>L2_Punc_CN</ability>
      <abilityName>标点符号问题</abilityName>
      <candidateList>
        <item> </item>
      </candidateList>
      <explain/>
      <paraID>73231FF7</paraID>
      <start>3</start>
      <end>4</end>
      <status>ignored</status>
      <modifiedWord/>
      <trackRevisions>false</trackRevisions>
    </reviewItem>
    <reviewItem>
      <errorID>549f3c14-43f1-4470-a934-6477c3f44cf5</errorID>
      <errorWord>(</errorWord>
      <group>L1_Format</group>
      <groupName>格式问题</groupName>
      <ability>L2_HalfPunc_CN</ability>
      <abilityName>全半角问题</abilityName>
      <candidateList>
        <item>（</item>
      </candidateList>
      <explain>文本全半角错误。</explain>
      <paraID>5C992E16</paraID>
      <start>4</start>
      <end>5</end>
      <status>modified</status>
      <modifiedWord>（</modifiedWord>
      <trackRevisions>false</trackRevisions>
    </reviewItem>
    <reviewItem>
      <errorID>3fdfeb0e-30bb-4364-9b25-b1767ad9fccf</errorID>
      <errorWord>)</errorWord>
      <group>L1_Format</group>
      <groupName>格式问题</groupName>
      <ability>L2_HalfPunc_CN</ability>
      <abilityName>全半角问题</abilityName>
      <candidateList>
        <item>）</item>
      </candidateList>
      <explain>文本全半角错误。</explain>
      <paraID>5C992E16</paraID>
      <start>15</start>
      <end>16</end>
      <status>modified</status>
      <modifiedWord>）</modifiedWord>
      <trackRevisions>false</trackRevisions>
    </reviewItem>
    <reviewItem>
      <errorID>860e9f23-fda4-4f93-a4d0-c3298b65996d</errorID>
      <errorWord>；</errorWord>
      <group>L1_Punc</group>
      <groupName>标点问题</groupName>
      <ability>L2_Punc_CN</ability>
      <abilityName>标点符号问题</abilityName>
      <candidateList>
        <item>，</item>
      </candidateList>
      <explain/>
      <paraID>724DD4B3</paraID>
      <start>3</start>
      <end>4</end>
      <status>modified</status>
      <modifiedWord>，</modifiedWord>
      <trackRevisions>false</trackRevisions>
    </reviewItem>
    <reviewItem>
      <errorID>01d817e5-3e78-4106-9ab3-f6428ab5d2f4</errorID>
      <errorWord>克</errorWord>
      <group>L1_Punc</group>
      <groupName>标点问题</groupName>
      <ability>L2_Punc_CN</ability>
      <abilityName>标点符号问题</abilityName>
      <candidateList>
        <item>克；</item>
      </candidateList>
      <explain/>
      <paraID>48D20CE5</paraID>
      <start>7</start>
      <end>9</end>
      <status>modified</status>
      <modifiedWord>克；</modifiedWord>
      <trackRevisions>false</trackRevisions>
    </reviewItem>
    <reviewItem>
      <errorID>08850edb-6399-49cd-974e-bfd3c443c90a</errorID>
      <errorWord>一元酵</errorWord>
      <group>L1_Word</group>
      <groupName>字词问题</groupName>
      <ability>L2_Typo</ability>
      <abilityName>字词错误</abilityName>
      <candidateList>
        <item>一元醇</item>
      </candidateList>
      <explain>存在字形相近字词的误用。</explain>
      <paraID>2BD82392</paraID>
      <start>33</start>
      <end>36</end>
      <status>modified</status>
      <modifiedWord>一元醇</modifiedWord>
      <trackRevisions>false</trackRevisions>
    </reviewItem>
    <reviewItem>
      <errorID>5069d684-b5f0-4acc-9a1f-f177a51b33ab</errorID>
      <errorWord>乙酵</errorWord>
      <group>L1_Word</group>
      <groupName>字词问题</groupName>
      <ability>L2_Typo</ability>
      <abilityName>字词错误</abilityName>
      <candidateList>
        <item>乙醇</item>
      </candidateList>
      <explain/>
      <paraID>2BD82392</paraID>
      <start>97</start>
      <end>99</end>
      <status>modified</status>
      <modifiedWord>乙醇</modifiedWord>
      <trackRevisions>false</trackRevisions>
    </reviewItem>
    <reviewItem>
      <errorID>84994d31-1832-439e-b9e4-e0d1c0a34099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2D875BF6</paraID>
      <start>81</start>
      <end>82</end>
      <status>modified</status>
      <modifiedWord>—</modifiedWord>
      <trackRevisions>false</trackRevisions>
    </reviewItem>
    <reviewItem>
      <errorID>8ccf0b43-11b3-4d63-8cc9-4d7e6d05d720</errorID>
      <errorWord>计</errorWord>
      <group>L1_Word</group>
      <groupName>字词问题</groupName>
      <ability>L2_Typo</ability>
      <abilityName>字词错误</abilityName>
      <candidateList>
        <item>计算</item>
      </candidateList>
      <explain/>
      <paraID>  6662A5</paraID>
      <start>20</start>
      <end>21</end>
      <status>ignored</status>
      <modifiedWord/>
      <trackRevisions>false</trackRevisions>
    </reviewItem>
    <reviewItem>
      <errorID>a73454a7-9272-4e86-a8f0-f9a4d3b53201</errorID>
      <errorWord>04</errorWord>
      <group>L1_Grammar</group>
      <groupName>语法问题</groupName>
      <ability>L2_Grammar</ability>
      <abilityName>语法错误</abilityName>
      <candidateList>
        <item>04m³</item>
      </candidateList>
      <explain/>
      <paraID>2072B532</paraID>
      <start>22</start>
      <end>24</end>
      <status>ignored</status>
      <modifiedWord/>
      <trackRevisions>false</trackRevisions>
    </reviewItem>
    <reviewItem>
      <errorID>55ee8322-3152-49f1-8e1c-e813721564d4</errorID>
      <errorWord>6m3</errorWord>
      <group>L1_Word</group>
      <groupName>字词问题</groupName>
      <ability>L2_Typo</ability>
      <abilityName>字词错误</abilityName>
      <candidateList>
        <item>6m³</item>
      </candidateList>
      <explain/>
      <paraID>2072B532</paraID>
      <start>30</start>
      <end>33</end>
      <status>ignored</status>
      <modifiedWord/>
      <trackRevisions>false</trackRevisions>
    </reviewItem>
    <reviewItem>
      <errorID>355fa6d6-7433-4c3a-bdc1-576a766b4a4a</errorID>
      <errorWord>、</errorWord>
      <group>L1_Punc</group>
      <groupName>标点问题</groupName>
      <ability>L2_Punc_CN</ability>
      <abilityName>标点符号问题</abilityName>
      <candidateList>
        <item> </item>
      </candidateList>
      <explain/>
      <paraID>2250C455</paraID>
      <start>3</start>
      <end>4</end>
      <status>ignored</status>
      <modifiedWord/>
      <trackRevisions>false</trackRevisions>
    </reviewItem>
    <reviewItem>
      <errorID>b5eb32e0-3766-4bb8-b55d-0ac3048c0acc</errorID>
      <errorWord>、</errorWord>
      <group>L1_Punc</group>
      <groupName>标点问题</groupName>
      <ability>L2_Punc_CN</ability>
      <abilityName>标点符号问题</abilityName>
      <candidateList>
        <item>，</item>
      </candidateList>
      <explain/>
      <paraID>61D15ABF</paraID>
      <start>40</start>
      <end>41</end>
      <status>modified</status>
      <modifiedWord>，</modifiedWord>
      <trackRevisions>false</trackRevisions>
    </reviewItem>
    <reviewItem>
      <errorID>57ac308b-fc71-4304-81bf-1a3873c4898a</errorID>
      <errorWord>平面布置见</errorWord>
      <group>L1_Word</group>
      <groupName>字词问题</groupName>
      <ability>L2_Typo</ability>
      <abilityName>字词错误</abilityName>
      <candidateList>
        <item>平面布置</item>
      </candidateList>
      <explain/>
      <paraID>61D15ABF</paraID>
      <start>119</start>
      <end>123</end>
      <status>modified</status>
      <modifiedWord>平面布置</modifiedWord>
      <trackRevisions>false</trackRevisions>
    </reviewItem>
    <reviewItem>
      <errorID>df8a1e9b-1354-4b8e-acfb-fcad8de3a5b2</errorID>
      <errorWord>医疗废水处理槽</errorWord>
      <group>L1_Other</group>
      <groupName>其他问题</groupName>
      <ability>L2_Consistency</ability>
      <abilityName>一致性检查</abilityName>
      <candidateList>
        <item>一体化污水处理设施</item>
      </candidateList>
      <explain>术语一致性：污水处理设施的表述不统一，应统一为规范的术语表述。</explain>
      <paraID>38966554</paraID>
      <start>23</start>
      <end>30</end>
      <status>ignored</status>
      <modifiedWord/>
      <trackRevisions>false</trackRevisions>
    </reviewItem>
    <reviewItem>
      <errorID>e7e22a0f-59e9-4b4a-9be9-945dd8b52065</errorID>
      <errorWord>项目在</errorWord>
      <group>L1_Word</group>
      <groupName>字词问题</groupName>
      <ability>L2_Typo</ability>
      <abilityName>字词错误</abilityName>
      <candidateList>
        <item>项目</item>
      </candidateList>
      <explain/>
      <paraID>7D213C58</paraID>
      <start>100</start>
      <end>102</end>
      <status>modified</status>
      <modifiedWord>项目</modifiedWord>
      <trackRevisions>false</trackRevisions>
    </reviewItem>
    <reviewItem>
      <errorID>dc7ed069-8b90-4d98-a7c9-9ca9a82022ab</errorID>
      <errorWord>，</errorWord>
      <group>L1_Punc</group>
      <groupName>标点问题</groupName>
      <ability>L2_Punc_CN</ability>
      <abilityName>标点符号问题</abilityName>
      <candidateList>
        <item/>
      </candidateList>
      <explain/>
      <paraID>459314BC</paraID>
      <start>17</start>
      <end>17</end>
      <status>modified</status>
      <modifiedWord/>
      <trackRevisions>false</trackRevisions>
    </reviewItem>
    <reviewItem>
      <errorID>24943cdf-6c53-489e-8c90-f0ad8fa43fc1</errorID>
      <errorWord>交待</errorWord>
      <group>L1_Word</group>
      <groupName>字词问题</groupName>
      <ability>L2_Alias</ability>
      <abilityName>也作/曾用词</abilityName>
      <candidateList>
        <item>交代</item>
      </candidateList>
      <explain>词汇[交待]为不规范表述或旧称，其规范书面表述为[交代]。</explain>
      <paraID>41351F84</paraID>
      <start>68</start>
      <end>70</end>
      <status>modified</status>
      <modifiedWord>交代</modifiedWord>
      <trackRevisions>false</trackRevisions>
    </reviewItem>
    <reviewItem>
      <errorID>590c1238-1c47-477a-ae81-18888f45ce6c</errorID>
      <errorWord>程</errorWord>
      <group>L1_Word</group>
      <groupName>字词问题</groupName>
      <ability>L2_Typo</ability>
      <abilityName>字词错误</abilityName>
      <candidateList>
        <item>程中</item>
      </candidateList>
      <explain/>
      <paraID> 3D834C5</paraID>
      <start>32</start>
      <end>34</end>
      <status>modified</status>
      <modifiedWord>程中</modifiedWord>
      <trackRevisions>false</trackRevisions>
    </reviewItem>
    <reviewItem>
      <errorID>c55f90d1-7432-4870-89ad-bc0734504a26</errorID>
      <errorWord>、</errorWord>
      <group>L1_Punc</group>
      <groupName>标点问题</groupName>
      <ability>L2_Punc_CN</ability>
      <abilityName>标点符号问题</abilityName>
      <candidateList>
        <item> </item>
      </candidateList>
      <explain/>
      <paraID>38F28088</paraID>
      <start>3</start>
      <end>4</end>
      <status>ignored</status>
      <modifiedWord/>
      <trackRevisions>false</trackRevisions>
    </reviewItem>
    <reviewItem>
      <errorID>6506388b-0063-4114-9c19-1be8e734cdf2</errorID>
      <errorWord>、</errorWord>
      <group>L1_Punc</group>
      <groupName>标点问题</groupName>
      <ability>L2_Punc_CN</ability>
      <abilityName>标点符号问题</abilityName>
      <candidateList>
        <item> </item>
      </candidateList>
      <explain/>
      <paraID>1881EA93</paraID>
      <start>3</start>
      <end>4</end>
      <status>ignored</status>
      <modifiedWord/>
      <trackRevisions>false</trackRevisions>
    </reviewItem>
    <reviewItem>
      <errorID>b4350e9d-1ab9-4c3d-bbcf-8bcdbca5d883</errorID>
      <errorWord>GB3096</errorWord>
      <group>L1_Word</group>
      <groupName>字词问题</groupName>
      <ability>L2_Typo</ability>
      <abilityName>字词错误</abilityName>
      <candidateList>
        <item>GB 3096</item>
      </candidateList>
      <explain/>
      <paraID>328640AC</paraID>
      <start>12</start>
      <end>19</end>
      <status>modified</status>
      <modifiedWord>GB 3096</modifiedWord>
      <trackRevisions>false</trackRevisions>
    </reviewItem>
    <reviewItem>
      <errorID>cec42f05-4359-48e4-ba71-0c72f37a637d</errorID>
      <errorWord>GB3096</errorWord>
      <group>L1_Word</group>
      <groupName>字词问题</groupName>
      <ability>L2_Typo</ability>
      <abilityName>字词错误</abilityName>
      <candidateList>
        <item>GB 3096</item>
      </candidateList>
      <explain/>
      <paraID>38F3C379</paraID>
      <start>93</start>
      <end>100</end>
      <status>modified</status>
      <modifiedWord>GB 3096</modifiedWord>
      <trackRevisions>false</trackRevisions>
    </reviewItem>
    <reviewItem>
      <errorID>37e5e637-8cf8-4816-a5d5-4cb9b2f3f7d5</errorID>
      <errorWord>  </errorWord>
      <group>L1_Punc</group>
      <groupName>标点问题</groupName>
      <ability>L2_Punc_CN</ability>
      <abilityName>标点符号问题</abilityName>
      <candidateList>
        <item/>
      </candidateList>
      <explain>此处空格冗余，建议删除。</explain>
      <paraID>3C84749A</paraID>
      <start>4</start>
      <end>4</end>
      <status>modified</status>
      <modifiedWord/>
      <trackRevisions>false</trackRevisions>
    </reviewItem>
    <reviewItem>
      <errorID>00744b09-10e8-47df-8075-0d3676873f0b</errorID>
      <errorWord>  </errorWord>
      <group>L1_Punc</group>
      <groupName>标点问题</groupName>
      <ability>L2_Punc_CN</ability>
      <abilityName>标点符号问题</abilityName>
      <candidateList>
        <item/>
      </candidateList>
      <explain>此处空格冗余，建议删除。</explain>
      <paraID>3C84749A</paraID>
      <start>13</start>
      <end>13</end>
      <status>modified</status>
      <modifiedWord/>
      <trackRevisions>false</trackRevisions>
    </reviewItem>
    <reviewItem>
      <errorID>ccddde4b-5d98-4bfc-b7fb-30983cd4e264</errorID>
      <errorWord>(</errorWord>
      <group>L1_Format</group>
      <groupName>格式问题</groupName>
      <ability>L2_HalfPunc_CN</ability>
      <abilityName>全半角问题</abilityName>
      <candidateList>
        <item>（</item>
      </candidateList>
      <explain>文本全半角错误。</explain>
      <paraID>32306C17</paraID>
      <start>9</start>
      <end>10</end>
      <status>modified</status>
      <modifiedWord>（</modifiedWord>
      <trackRevisions>false</trackRevisions>
    </reviewItem>
    <reviewItem>
      <errorID>801bead4-5726-49d3-8fb6-da329ef10ace</errorID>
      <errorWord>GB3096</errorWord>
      <group>L1_Word</group>
      <groupName>字词问题</groupName>
      <ability>L2_Typo</ability>
      <abilityName>字词错误</abilityName>
      <candidateList>
        <item>GB 3096</item>
      </candidateList>
      <explain/>
      <paraID>32306C17</paraID>
      <start>10</start>
      <end>17</end>
      <status>modified</status>
      <modifiedWord>GB 3096</modifiedWord>
      <trackRevisions>false</trackRevisions>
    </reviewItem>
    <reviewItem>
      <errorID>9909b472-7d24-4ea3-9291-b7df7e377b93</errorID>
      <errorWord>、</errorWord>
      <group>L1_Punc</group>
      <groupName>标点问题</groupName>
      <ability>L2_Punc_CN</ability>
      <abilityName>标点符号问题</abilityName>
      <candidateList>
        <item> </item>
      </candidateList>
      <explain/>
      <paraID>3CED9C4A</paraID>
      <start>3</start>
      <end>4</end>
      <status>ignored</status>
      <modifiedWord/>
      <trackRevisions>false</trackRevisions>
    </reviewItem>
    <reviewItem>
      <errorID>76d3419e-81db-4ced-9002-7ed2e7b06a36</errorID>
      <errorWord>-</errorWord>
      <group>L1_Format</group>
      <groupName>格式问题</groupName>
      <ability>L2_HalfPunc_CN</ability>
      <abilityName>全半角问题</abilityName>
      <candidateList>
        <item>－</item>
      </candidateList>
      <explain>文本全半角错误。</explain>
      <paraID>3ADBAB7F</paraID>
      <start>29</start>
      <end>30</end>
      <status>modified</status>
      <modifiedWord>－</modifiedWord>
      <trackRevisions>false</trackRevisions>
    </reviewItem>
    <reviewItem>
      <errorID>2ae162fa-af91-497a-be55-7223a1a55e8a</errorID>
      <errorWord>~</errorWord>
      <group>L1_Format</group>
      <groupName>格式问题</groupName>
      <ability>L2_HalfPunc_CN</ability>
      <abilityName>全半角问题</abilityName>
      <candidateList>
        <item>～</item>
      </candidateList>
      <explain>文本全半角错误。</explain>
      <paraID> 9CC0F46</paraID>
      <start>27</start>
      <end>28</end>
      <status>modified</status>
      <modifiedWord>～</modifiedWord>
      <trackRevisions>false</trackRevisions>
    </reviewItem>
    <reviewItem>
      <errorID>baa90ec9-c013-4135-9bcc-53dec37e9de8</errorID>
      <errorWord>~</errorWord>
      <group>L1_Format</group>
      <groupName>格式问题</groupName>
      <ability>L2_HalfPunc_CN</ability>
      <abilityName>全半角问题</abilityName>
      <candidateList>
        <item>～</item>
      </candidateList>
      <explain>文本全半角错误。</explain>
      <paraID>5DB14837</paraID>
      <start>28</start>
      <end>29</end>
      <status>modified</status>
      <modifiedWord>～</modifiedWord>
      <trackRevisions>false</trackRevisions>
    </reviewItem>
    <reviewItem>
      <errorID>cd30a2df-47e6-44d5-b74e-bd4411410c51</errorID>
      <errorWord>贮存</errorWord>
      <group>L1_Word</group>
      <groupName>字词问题</groupName>
      <ability>L2_Typo</ability>
      <abilityName>字词错误</abilityName>
      <candidateList>
        <item>的贮存</item>
      </candidateList>
      <explain/>
      <paraID>380C921A</paraID>
      <start>9</start>
      <end>11</end>
      <status>ignored</status>
      <modifiedWord/>
      <trackRevisions>false</trackRevisions>
    </reviewItem>
    <reviewItem>
      <errorID>30cd75ff-0dd0-41c3-bcef-60e6bd6591cb</errorID>
      <errorWord>贮存</errorWord>
      <group>L1_Word</group>
      <groupName>字词问题</groupName>
      <ability>L2_Typo</ability>
      <abilityName>字词错误</abilityName>
      <candidateList>
        <item>的贮存</item>
      </candidateList>
      <explain/>
      <paraID>52FA5C30</paraID>
      <start>4</start>
      <end>6</end>
      <status>ignored</status>
      <modifiedWord/>
      <trackRevisions>false</trackRevisions>
    </reviewItem>
    <reviewItem>
      <errorID>0f76340a-48a8-4b8f-8712-9f9b319072d4</errorID>
      <errorWord>；</errorWord>
      <group>L1_Punc</group>
      <groupName>标点问题</groupName>
      <ability>L2_Punc_CN</ability>
      <abilityName>标点符号问题</abilityName>
      <candidateList>
        <item>，</item>
      </candidateList>
      <explain/>
      <paraID>52FA5C30</paraID>
      <start>79</start>
      <end>80</end>
      <status>modified</status>
      <modifiedWord>，</modifiedWord>
      <trackRevisions>false</trackRevisions>
    </reviewItem>
    <reviewItem>
      <errorID>4df030b9-e89a-40f7-bc81-1101d0a59e12</errorID>
      <errorWord>措施</errorWord>
      <group>L1_Punc</group>
      <groupName>标点问题</groupName>
      <ability>L2_Punc_CN</ability>
      <abilityName>标点符号问题</abilityName>
      <candidateList>
        <item>措施：</item>
      </candidateList>
      <explain/>
      <paraID>512847C2</paraID>
      <start>156</start>
      <end>159</end>
      <status>modified</status>
      <modifiedWord>措施：</modifiedWord>
      <trackRevisions>false</trackRevisions>
    </reviewItem>
    <reviewItem>
      <errorID>91368b96-8b09-45fd-bed0-bed1335e2719</errorID>
      <errorWord>具有</errorWord>
      <group>L1_Punc</group>
      <groupName>标点问题</groupName>
      <ability>L2_Punc_CN</ability>
      <abilityName>标点符号问题</abilityName>
      <candidateList>
        <item>，具有</item>
      </candidateList>
      <explain/>
      <paraID> A08F93F</paraID>
      <start>30</start>
      <end>33</end>
      <status>modified</status>
      <modifiedWord>，具有</modifiedWord>
      <trackRevisions>false</trackRevisions>
    </reviewItem>
    <reviewItem>
      <errorID>12807694-cb77-46a4-a8ed-2f1bfc4ec607</errorID>
      <errorWord>》</errorWord>
      <group>L1_Word</group>
      <groupName>字词问题</groupName>
      <ability>L2_Typo</ability>
      <abilityName>字词错误</abilityName>
      <candidateList>
        <item>》等</item>
      </candidateList>
      <explain/>
      <paraID> A08F93F</paraID>
      <start>65</start>
      <end>67</end>
      <status>modified</status>
      <modifiedWord>》等</modifiedWord>
      <trackRevisions>false</trackRevisions>
    </reviewItem>
    <reviewItem>
      <errorID>a2a4dd43-b7eb-4255-80eb-be7de53cecb2</errorID>
      <errorWord>，</errorWord>
      <group>L1_Punc</group>
      <groupName>标点问题</groupName>
      <ability>L2_Punc_CN</ability>
      <abilityName>标点符号问题</abilityName>
      <candidateList>
        <item>。</item>
      </candidateList>
      <explain/>
      <paraID>2D82E177</paraID>
      <start>49</start>
      <end>50</end>
      <status>modified</status>
      <modifiedWord>。</modifiedWord>
      <trackRevisions>false</trackRevisions>
    </reviewItem>
    <reviewItem>
      <errorID>9b55002e-d64c-4367-9f8e-20d1514a8041</errorID>
      <errorWord>，</errorWord>
      <group>L1_Punc</group>
      <groupName>标点问题</groupName>
      <ability>L2_Punc_CN</ability>
      <abilityName>标点符号问题</abilityName>
      <candidateList>
        <item>。</item>
      </candidateList>
      <explain/>
      <paraID>24A2EDBB</paraID>
      <start>22</start>
      <end>23</end>
      <status>modified</status>
      <modifiedWord>。</modifiedWord>
      <trackRevisions>false</trackRevisions>
    </reviewItem>
    <reviewItem>
      <errorID>371dd499-ec91-4737-9086-2cb531af1448</errorID>
      <errorWord>处理</errorWord>
      <group>L1_Punc</group>
      <groupName>标点问题</groupName>
      <ability>L2_Punc_CN</ability>
      <abilityName>标点符号问题</abilityName>
      <candidateList>
        <item>处理。</item>
      </candidateList>
      <explain/>
      <paraID>3CBDB2CE</paraID>
      <start>28</start>
      <end>31</end>
      <status>modified</status>
      <modifiedWord>处理。</modifiedWord>
      <trackRevisions>false</trackRevisions>
    </reviewItem>
    <reviewItem>
      <errorID>ae946cad-0bb0-4899-a84c-fd0613afaf2d</errorID>
      <errorWord>(</errorWord>
      <group>L1_Format</group>
      <groupName>格式问题</groupName>
      <ability>L2_HalfPunc_CN</ability>
      <abilityName>全半角问题</abilityName>
      <candidateList>
        <item>（</item>
      </candidateList>
      <explain>文本全半角错误。</explain>
      <paraID>19FCF8B3</paraID>
      <start>237</start>
      <end>238</end>
      <status>modified</status>
      <modifiedWord>（</modifiedWord>
      <trackRevisions>false</trackRevisions>
    </reviewItem>
    <reviewItem>
      <errorID>2cea29e1-23f0-47e3-951b-e3d1b72a209c</errorID>
      <errorWord>)</errorWord>
      <group>L1_Format</group>
      <groupName>格式问题</groupName>
      <ability>L2_HalfPunc_CN</ability>
      <abilityName>全半角问题</abilityName>
      <candidateList>
        <item>）</item>
      </candidateList>
      <explain>文本全半角错误。</explain>
      <paraID>19FCF8B3</paraID>
      <start>241</start>
      <end>242</end>
      <status>modified</status>
      <modifiedWord>）</modifiedWord>
      <trackRevisions>false</trackRevisions>
    </reviewItem>
    <reviewItem>
      <errorID>b66fd8f9-5c45-4e39-8366-531c0c484621</errorID>
      <errorWord>，</errorWord>
      <group>L1_Punc</group>
      <groupName>标点问题</groupName>
      <ability>L2_Punc_CN</ability>
      <abilityName>标点符号问题</abilityName>
      <candidateList>
        <item>、</item>
      </candidateList>
      <explain/>
      <paraID>392E6A64</paraID>
      <start>59</start>
      <end>60</end>
      <status>modified</status>
      <modifiedWord>、</modifiedWord>
      <trackRevisions>false</trackRevisions>
    </reviewItem>
    <reviewItem>
      <errorID>14ef5996-40b5-49bb-86c9-52626e076156</errorID>
      <errorWord>措施</errorWord>
      <group>L1_Word</group>
      <groupName>字词问题</groupName>
      <ability>L2_Typo</ability>
      <abilityName>字词错误</abilityName>
      <candidateList>
        <item>的措施</item>
      </candidateList>
      <explain/>
      <paraID>392E6A64</paraID>
      <start>72</start>
      <end>75</end>
      <status>modified</status>
      <modifiedWord>的措施</modifiedWord>
      <trackRevisions>false</trackRevisions>
    </reviewItem>
    <reviewItem>
      <errorID>acff80aa-bafd-4935-b781-50aa4580de21</errorID>
      <errorWord>。</errorWord>
      <group>L1_Grammar</group>
      <groupName>语法问题</groupName>
      <ability>L2_Grammar</ability>
      <abilityName>语法错误</abilityName>
      <candidateList>
        <item>的情况，</item>
      </candidateList>
      <explain/>
      <paraID>22CF5D98</paraID>
      <start>33</start>
      <end>37</end>
      <status>modified</status>
      <modifiedWord>的情况，</modifiedWord>
      <trackRevisions>false</trackRevisions>
    </reviewItem>
    <reviewItem>
      <errorID>140be87f-b8c7-4465-a33a-8d8edd946aa2</errorID>
      <errorWord>，</errorWord>
      <group>L1_Punc</group>
      <groupName>标点问题</groupName>
      <ability>L2_Punc_CN</ability>
      <abilityName>标点符号问题</abilityName>
      <candidateList>
        <item>、</item>
      </candidateList>
      <explain/>
      <paraID>22CF5D98</paraID>
      <start>49</start>
      <end>50</end>
      <status>modified</status>
      <modifiedWord>、</modifiedWord>
      <trackRevisions>false</trackRevisions>
    </reviewItem>
    <reviewItem>
      <errorID>60940e72-46dc-416f-abd2-46b162e9659d</errorID>
      <errorWord>措施</errorWord>
      <group>L1_Word</group>
      <groupName>字词问题</groupName>
      <ability>L2_Typo</ability>
      <abilityName>字词错误</abilityName>
      <candidateList>
        <item>的措施</item>
      </candidateList>
      <explain/>
      <paraID>22CF5D98</paraID>
      <start>61</start>
      <end>64</end>
      <status>modified</status>
      <modifiedWord>的措施</modifiedWord>
      <trackRevisions>false</trackRevisions>
    </reviewItem>
    <reviewItem>
      <errorID>9fa01436-7c7a-4459-980d-27d255393685</errorID>
      <errorWord>医疗</errorWord>
      <group>L1_Grammar</group>
      <groupName>语法问题</groupName>
      <ability>L2_Grammar</ability>
      <abilityName>语法错误</abilityName>
      <candidateList>
        <item>导致医疗</item>
      </candidateList>
      <explain/>
      <paraID>68D6E5DA</paraID>
      <start>8</start>
      <end>12</end>
      <status>modified</status>
      <modifiedWord>导致医疗</modifiedWord>
      <trackRevisions>false</trackRevisions>
    </reviewItem>
    <reviewItem>
      <errorID>e8f830b2-7087-4992-9df7-4cfa399e1d56</errorID>
      <errorWord>导致</errorWord>
      <group>L1_Word</group>
      <groupName>字词问题</groupName>
      <ability>L2_Typo</ability>
      <abilityName>字词错误</abilityName>
      <candidateList>
        <item>，致使</item>
      </candidateList>
      <explain/>
      <paraID>68D6E5DA</paraID>
      <start>16</start>
      <end>19</end>
      <status>modified</status>
      <modifiedWord>，致使</modifiedWord>
      <trackRevisions>false</trackRevisions>
    </reviewItem>
    <reviewItem>
      <errorID>0ec3fc3c-38c3-4990-9abc-f039060b6fc6</errorID>
      <errorWord>，</errorWord>
      <group>L1_Punc</group>
      <groupName>标点问题</groupName>
      <ability>L2_Punc_CN</ability>
      <abilityName>标点符号问题</abilityName>
      <candidateList>
        <item>、</item>
      </candidateList>
      <explain/>
      <paraID>68D6E5DA</paraID>
      <start>25</start>
      <end>26</end>
      <status>modified</status>
      <modifiedWord>、</modifiedWord>
      <trackRevisions>false</trackRevisions>
    </reviewItem>
    <reviewItem>
      <errorID>e90717ab-4201-4e41-9e32-17ae9c3ddcb4</errorID>
      <errorWord>采取</errorWord>
      <group>L1_Grammar</group>
      <groupName>语法问题</groupName>
      <ability>L2_Grammar</ability>
      <abilityName>语法错误</abilityName>
      <candidateList>
        <item>的情况，采取</item>
      </candidateList>
      <explain/>
      <paraID>68D6E5DA</paraID>
      <start>33</start>
      <end>39</end>
      <status>modified</status>
      <modifiedWord>的情况，采取</modifiedWord>
      <trackRevisions>false</trackRevisions>
    </reviewItem>
    <reviewItem>
      <errorID>e29a0f46-174e-4576-9547-60fa76a8238c</errorID>
      <errorWord>，</errorWord>
      <group>L1_Punc</group>
      <groupName>标点问题</groupName>
      <ability>L2_Punc_CN</ability>
      <abilityName>标点符号问题</abilityName>
      <candidateList>
        <item>、</item>
      </candidateList>
      <explain/>
      <paraID>68D6E5DA</paraID>
      <start>50</start>
      <end>51</end>
      <status>modified</status>
      <modifiedWord>、</modifiedWord>
      <trackRevisions>false</trackRevisions>
    </reviewItem>
    <reviewItem>
      <errorID>9165d7e9-6e9d-48eb-9f14-52d9601c0c40</errorID>
      <errorWord>措施</errorWord>
      <group>L1_Word</group>
      <groupName>字词问题</groupName>
      <ability>L2_Typo</ability>
      <abilityName>字词错误</abilityName>
      <candidateList>
        <item>的措施</item>
      </candidateList>
      <explain/>
      <paraID>68D6E5DA</paraID>
      <start>60</start>
      <end>63</end>
      <status>modified</status>
      <modifiedWord>的措施</modifiedWord>
      <trackRevisions>false</trackRevisions>
    </reviewItem>
    <reviewItem>
      <errorID>e73a84ab-15bd-47a4-bdba-ab1a6bd4f9be</errorID>
      <errorWord>周围环境进行</errorWord>
      <group>L1_Word</group>
      <groupName>字词问题</groupName>
      <ability>L2_Typo</ability>
      <abilityName>字词错误</abilityName>
      <candidateList>
        <item>周围环境影响</item>
      </candidateList>
      <explain/>
      <paraID>198DECD4</paraID>
      <start>25</start>
      <end>31</end>
      <status>modified</status>
      <modifiedWord>周围环境影响</modifiedWord>
      <trackRevisions>false</trackRevisions>
    </reviewItem>
    <reviewItem>
      <errorID>39863fc5-8dba-4f0e-a6e9-08311c098d19</errorID>
      <errorWord>、</errorWord>
      <group>L1_Punc</group>
      <groupName>标点问题</groupName>
      <ability>L2_Punc_CN</ability>
      <abilityName>标点符号问题</abilityName>
      <candidateList>
        <item> </item>
      </candidateList>
      <explain/>
      <paraID> EE09F8B</paraID>
      <start>3</start>
      <end>4</end>
      <status>ignored</status>
      <modifiedWord/>
      <trackRevisions>false</trackRevisions>
    </reviewItem>
    <reviewItem>
      <errorID>8f807955-205a-4e2e-874a-c2b09716c6df</errorID>
      <errorWord>方法</errorWord>
      <group>L1_Grammar</group>
      <groupName>语法问题</groupName>
      <ability>L2_Grammar</ability>
      <abilityName>语法错误</abilityName>
      <candidateList>
        <item>，该方法</item>
      </candidateList>
      <explain/>
      <paraID>3BD7A599</paraID>
      <start>287</start>
      <end>291</end>
      <status>modified</status>
      <modifiedWord>，该方法</modifiedWord>
      <trackRevisions>false</trackRevisions>
    </reviewItem>
    <reviewItem>
      <errorID>b752464f-ca6e-4516-9118-8fdd97a4d3f4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2D476CB9</paraID>
      <start>174</start>
      <end>175</end>
      <status>modified</status>
      <modifiedWord>—</modifiedWord>
      <trackRevisions>false</trackRevisions>
    </reviewItem>
    <reviewItem>
      <errorID>28188ddb-a0ff-4564-960b-fcd1df3c6dae</errorID>
      <errorWord>主要成份为</errorWord>
      <group>L1_Word</group>
      <groupName>字词问题</groupName>
      <ability>L2_Variant</ability>
      <abilityName>异形词</abilityName>
      <candidateList>
        <item>主要成分为</item>
      </candidateList>
      <explain>词汇[主要成份为]的规范词形写作[主要成分为]。</explain>
      <paraID>2D476CB9</paraID>
      <start>185</start>
      <end>190</end>
      <status>modified</status>
      <modifiedWord>主要成分为</modifiedWord>
      <trackRevisions>false</trackRevisions>
    </reviewItem>
    <reviewItem>
      <errorID>a9ec3880-0b10-449c-9a85-2b80c393e791</errorID>
      <errorWord>做</errorWord>
      <group>L1_Word</group>
      <groupName>字词问题</groupName>
      <ability>L2_Typo</ability>
      <abilityName>字词错误</abilityName>
      <candidateList>
        <item>做好</item>
      </candidateList>
      <explain/>
      <paraID>694F39FA</paraID>
      <start>77</start>
      <end>79</end>
      <status>modified</status>
      <modifiedWord>做好</modifiedWord>
      <trackRevisions>false</trackRevisions>
    </reviewItem>
    <reviewItem>
      <errorID>d01f5b4b-a731-4b68-9613-ebfe2a30af6e</errorID>
      <errorWord>一体化废水处理设施</errorWord>
      <group>L1_Other</group>
      <groupName>其他问题</groupName>
      <ability>L2_Consistency</ability>
      <abilityName>一致性检查</abilityName>
      <candidateList>
        <item>一体化污水处理设施</item>
      </candidateList>
      <explain>术语一致性：污水处理设施的表述不统一，应统一为规范的术语表述。</explain>
      <paraID>228C15A2</paraID>
      <start>208</start>
      <end>217</end>
      <status>modified</status>
      <modifiedWord>一体化污水处理设施</modifiedWord>
      <trackRevisions>false</trackRevisions>
    </reviewItem>
    <reviewItem>
      <errorID>9e60ffc9-1d70-4095-a075-fb059270ae86</errorID>
      <errorWord>一体化废水处理设施</errorWord>
      <group>L1_Other</group>
      <groupName>其他问题</groupName>
      <ability>L2_Consistency</ability>
      <abilityName>一致性检查</abilityName>
      <candidateList>
        <item>一体化污水处理设施</item>
      </candidateList>
      <explain>术语一致性：污水处理设施的表述不统一，应统一为规范的术语表述。</explain>
      <paraID>4EC63C6D</paraID>
      <start>6</start>
      <end>15</end>
      <status>modified</status>
      <modifiedWord>一体化污水处理设施</modifiedWord>
      <trackRevisions>false</trackRevisions>
    </reviewItem>
    <reviewItem>
      <errorID>f6adba35-5c4d-44ef-a7ba-d1fba05730fd</errorID>
      <errorWord>滤网过滤+氯片缓释消毒</errorWord>
      <group>L1_Other</group>
      <groupName>其他问题</groupName>
      <ability>L2_Consistency</ability>
      <abilityName>一致性检查</abilityName>
      <candidateList>
        <item>滤筛+氯片消毒</item>
      </candidateList>
      <explain>术语一致性：污水处理工艺的表述不统一，应统一为规范的工艺表述。</explain>
      <paraID>630531CE</paraID>
      <start>47</start>
      <end>54</end>
      <status>modified</status>
      <modifiedWord>滤筛+氯片消毒</modifiedWord>
      <trackRevisions>false</trackRevisions>
    </reviewItem>
    <reviewItem>
      <errorID>850806fe-e3ab-4060-9f65-f7041716622f</errorID>
      <errorWord>、</errorWord>
      <group>L1_Punc</group>
      <groupName>标点问题</groupName>
      <ability>L2_Punc_CN</ability>
      <abilityName>标点符号问题</abilityName>
      <candidateList>
        <item> </item>
      </candidateList>
      <explain/>
      <paraID> 553FC65</paraID>
      <start>3</start>
      <end>4</end>
      <status>ignored</status>
      <modifiedWord/>
      <trackRevisions>false</trackRevisions>
    </reviewItem>
    <reviewItem>
      <errorID>0c85c2a5-6377-4b1d-9215-521149038580</errorID>
      <errorWord>般</errorWord>
      <group>L1_Word</group>
      <groupName>字词问题</groupName>
      <ability>L2_Typo</ability>
      <abilityName>字词错误</abilityName>
      <candidateList>
        <item>般在</item>
      </candidateList>
      <explain/>
      <paraID>2B6E0723</paraID>
      <start>40</start>
      <end>42</end>
      <status>modified</status>
      <modifiedWord>般在</modifiedWord>
      <trackRevisions>false</trackRevisions>
    </reviewItem>
    <reviewItem>
      <errorID>7a103717-42a3-44ec-8224-5d1fd64a9de9</errorID>
      <errorWord>)</errorWord>
      <group>L1_Format</group>
      <groupName>格式问题</groupName>
      <ability>L2_HalfPunc_CN</ability>
      <abilityName>全半角问题</abilityName>
      <candidateList>
        <item>）</item>
      </candidateList>
      <explain>文本全半角错误。</explain>
      <paraID>2B6E0723</paraID>
      <start>51</start>
      <end>52</end>
      <status>modified</status>
      <modifiedWord>）</modifiedWord>
      <trackRevisions>false</trackRevisions>
    </reviewItem>
    <reviewItem>
      <errorID>f54479ea-1a83-4c63-ac6a-54e884903a37</errorID>
      <errorWord>减震</errorWord>
      <group>L1_Word</group>
      <groupName>字词问题</groupName>
      <ability>L2_Typo</ability>
      <abilityName>字词错误</abilityName>
      <candidateList>
        <item>减振</item>
      </candidateList>
      <explain>存在发音相同字词的误用。</explain>
      <paraID>7EDD2F09</paraID>
      <start>8</start>
      <end>10</end>
      <status>modified</status>
      <modifiedWord>减振</modifiedWord>
      <trackRevisions>false</trackRevisions>
    </reviewItem>
    <reviewItem>
      <errorID>32947a38-f9b8-494a-a084-7e9d3d67c53d</errorID>
      <errorWord>(</errorWord>
      <group>L1_Format</group>
      <groupName>格式问题</groupName>
      <ability>L2_HalfPunc_CN</ability>
      <abilityName>全半角问题</abilityName>
      <candidateList>
        <item>（</item>
      </candidateList>
      <explain>文本全半角错误。</explain>
      <paraID>1ECF956A</paraID>
      <start>2</start>
      <end>3</end>
      <status>modified</status>
      <modifiedWord>（</modifiedWord>
      <trackRevisions>false</trackRevisions>
    </reviewItem>
    <reviewItem>
      <errorID>50506f86-d909-4e70-875c-704e8c33b0a4</errorID>
      <errorWord>)</errorWord>
      <group>L1_Format</group>
      <groupName>格式问题</groupName>
      <ability>L2_HalfPunc_CN</ability>
      <abilityName>全半角问题</abilityName>
      <candidateList>
        <item>）</item>
      </candidateList>
      <explain>文本全半角错误。</explain>
      <paraID>1ECF956A</paraID>
      <start>4</start>
      <end>5</end>
      <status>modified</status>
      <modifiedWord>）</modifiedWord>
      <trackRevisions>false</trackRevisions>
    </reviewItem>
    <reviewItem>
      <errorID>c536be46-e789-45e0-a063-36d048d1abb3</errorID>
      <errorWord>GB12348</errorWord>
      <group>L1_Word</group>
      <groupName>字词问题</groupName>
      <ability>L2_Typo</ability>
      <abilityName>字词错误</abilityName>
      <candidateList>
        <item>GB 12348</item>
      </candidateList>
      <explain/>
      <paraID> D1EEBDB</paraID>
      <start>30</start>
      <end>38</end>
      <status>modified</status>
      <modifiedWord>GB 12348</modifiedWord>
      <trackRevisions>false</trackRevisions>
    </reviewItem>
    <reviewItem>
      <errorID>877af07e-a435-4d28-a64c-8a50636b2bae</errorID>
      <errorWord>)</errorWord>
      <group>L1_Format</group>
      <groupName>格式问题</groupName>
      <ability>L2_HalfPunc_CN</ability>
      <abilityName>全半角问题</abilityName>
      <candidateList>
        <item>）</item>
      </candidateList>
      <explain>文本全半角错误。</explain>
      <paraID>4429C19F</paraID>
      <start>21</start>
      <end>22</end>
      <status>modified</status>
      <modifiedWord>）</modifiedWord>
      <trackRevisions>false</trackRevisions>
    </reviewItem>
    <reviewItem>
      <errorID>70b99e97-9984-4b07-8fd5-dc46eb9d8984</errorID>
      <errorWord>)</errorWord>
      <group>L1_Format</group>
      <groupName>格式问题</groupName>
      <ability>L2_HalfPunc_CN</ability>
      <abilityName>全半角问题</abilityName>
      <candidateList>
        <item>）</item>
      </candidateList>
      <explain>文本全半角错误。</explain>
      <paraID>445EA008</paraID>
      <start>21</start>
      <end>22</end>
      <status>modified</status>
      <modifiedWord>）</modifiedWord>
      <trackRevisions>false</trackRevisions>
    </reviewItem>
    <reviewItem>
      <errorID>04887996-684a-4b98-8c03-6ec6c4122dd3</errorID>
      <errorWord>HJ2</errorWord>
      <group>L1_Word</group>
      <groupName>字词问题</groupName>
      <ability>L2_Typo</ability>
      <abilityName>字词错误</abilityName>
      <candidateList>
        <item>HJ 2</item>
      </candidateList>
      <explain/>
      <paraID> 55BDBAB</paraID>
      <start>19</start>
      <end>23</end>
      <status>modified</status>
      <modifiedWord>HJ 2</modifiedWord>
      <trackRevisions>false</trackRevisions>
    </reviewItem>
    <reviewItem>
      <errorID>3afa6b91-7e44-4c46-ac53-662e67b7d66a</errorID>
      <errorWord>（</errorWord>
      <group>L1_Format</group>
      <groupName>格式问题</groupName>
      <ability>L2_HalfPunc_CN</ability>
      <abilityName>全半角问题</abilityName>
      <candidateList>
        <item>(</item>
      </candidateList>
      <explain>文本全半角错误。</explain>
      <paraID>26C62F91</paraID>
      <start>3</start>
      <end>4</end>
      <status>modified</status>
      <modifiedWord>(</modifiedWord>
      <trackRevisions>false</trackRevisions>
    </reviewItem>
    <reviewItem>
      <errorID>42d9726f-c4a9-490e-819a-00c1132bb8d3</errorID>
      <errorWord>(</errorWord>
      <group>L1_Format</group>
      <groupName>格式问题</groupName>
      <ability>L2_HalfPunc_CN</ability>
      <abilityName>全半角问题</abilityName>
      <candidateList>
        <item>（</item>
      </candidateList>
      <explain>文本全半角错误。</explain>
      <paraID>5CE5F732</paraID>
      <start>98</start>
      <end>99</end>
      <status>modified</status>
      <modifiedWord>（</modifiedWord>
      <trackRevisions>false</trackRevisions>
    </reviewItem>
    <reviewItem>
      <errorID>5866fe54-f2f3-4843-aed2-05c681e17bf5</errorID>
      <errorWord>)</errorWord>
      <group>L1_Format</group>
      <groupName>格式问题</groupName>
      <ability>L2_HalfPunc_CN</ability>
      <abilityName>全半角问题</abilityName>
      <candidateList>
        <item>）</item>
      </candidateList>
      <explain>文本全半角错误。</explain>
      <paraID>5CE5F732</paraID>
      <start>111</start>
      <end>112</end>
      <status>modified</status>
      <modifiedWord>）</modifiedWord>
      <trackRevisions>false</trackRevisions>
    </reviewItem>
    <reviewItem>
      <errorID>fb09fb39-e4a1-4977-a735-ecdcc4e56df7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5D1AF2C0</paraID>
      <start>0</start>
      <end>2</end>
      <status>modified</status>
      <modifiedWord>1.</modifiedWord>
      <trackRevisions>false</trackRevisions>
    </reviewItem>
    <reviewItem>
      <errorID>1859e488-845f-4a95-a230-f183c6ddec56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7CCA4FBA</paraID>
      <start>0</start>
      <end>2</end>
      <status>modified</status>
      <modifiedWord>2.</modifiedWord>
      <trackRevisions>false</trackRevisions>
    </reviewItem>
    <reviewItem>
      <errorID>1c7cb276-8cd6-45e2-b999-05d6b74a057e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4BA849D4</paraID>
      <start>0</start>
      <end>2</end>
      <status>modified</status>
      <modifiedWord>3.</modifiedWord>
      <trackRevisions>false</trackRevisions>
    </reviewItem>
    <reviewItem>
      <errorID>ce9cda51-06da-428e-8f70-9eb15a62bdb7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399B0A1B</paraID>
      <start>0</start>
      <end>2</end>
      <status>modified</status>
      <modifiedWord>4.</modifiedWord>
      <trackRevisions>false</trackRevisions>
    </reviewItem>
    <reviewItem>
      <errorID>f974d98b-16e6-4fdc-a369-48512f899a1a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5846DB6B</paraID>
      <start>0</start>
      <end>2</end>
      <status>modified</status>
      <modifiedWord>1.</modifiedWord>
      <trackRevisions>false</trackRevisions>
    </reviewItem>
    <reviewItem>
      <errorID>b88bd6e0-f8d4-4bcf-9c2c-766b1e2e5ad0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2F3AF0D5</paraID>
      <start>0</start>
      <end>2</end>
      <status>modified</status>
      <modifiedWord>2.</modifiedWord>
      <trackRevisions>false</trackRevisions>
    </reviewItem>
    <reviewItem>
      <errorID>ee8f91b4-02df-40a2-9c8c-55936e7b174d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7EE4832D</paraID>
      <start>0</start>
      <end>2</end>
      <status>modified</status>
      <modifiedWord>3.</modifiedWord>
      <trackRevisions>false</trackRevisions>
    </reviewItem>
    <reviewItem>
      <errorID>90565cc9-973c-4fdb-b49f-1e7707ed71da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536F44E8</paraID>
      <start>0</start>
      <end>2</end>
      <status>modified</status>
      <modifiedWord>1.</modifiedWord>
      <trackRevisions>false</trackRevisions>
    </reviewItem>
    <reviewItem>
      <errorID>92a336a6-e7b5-4ad6-82cb-39fcc19595ff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3FBFC421</paraID>
      <start>0</start>
      <end>2</end>
      <status>modified</status>
      <modifiedWord>2.</modifiedWord>
      <trackRevisions>false</trackRevisions>
    </reviewItem>
    <reviewItem>
      <errorID>b95de0c8-4de5-43bb-9410-6fdb01970cbb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7ED33038</paraID>
      <start>0</start>
      <end>2</end>
      <status>modified</status>
      <modifiedWord>3.</modifiedWord>
      <trackRevisions>false</trackRevisions>
    </reviewItem>
    <reviewItem>
      <errorID>3d332d84-1866-4a21-be6b-42afe416dce1</errorID>
      <errorWord>(</errorWord>
      <group>L1_Format</group>
      <groupName>格式问题</groupName>
      <ability>L2_HalfPunc_CN</ability>
      <abilityName>全半角问题</abilityName>
      <candidateList>
        <item>（</item>
      </candidateList>
      <explain>文本全半角错误。</explain>
      <paraID>5AD23713</paraID>
      <start>16</start>
      <end>17</end>
      <status>modified</status>
      <modifiedWord>（</modifiedWord>
      <trackRevisions>false</trackRevisions>
    </reviewItem>
    <reviewItem>
      <errorID>ed614acb-7702-48f7-aa62-2715458587a7</errorID>
      <errorWord>部令</errorWord>
      <group>L1_Sensitive</group>
      <groupName>敏感问题</groupName>
      <ability>L2_UserSensitive</ability>
      <abilityName>自定义敏感词</abilityName>
      <candidateList/>
      <explain>来自自定义敏感词库。</explain>
      <paraID>5AD23713</paraID>
      <start>31</start>
      <end>33</end>
      <status>ignored</status>
      <modifiedWord/>
      <trackRevisions>false</trackRevisions>
    </reviewItem>
    <reviewItem>
      <errorID>82902318-b4e1-4a87-b3da-d1744072bc90</errorID>
      <errorWord>)</errorWord>
      <group>L1_Format</group>
      <groupName>格式问题</groupName>
      <ability>L2_HalfPunc_CN</ability>
      <abilityName>全半角问题</abilityName>
      <candidateList>
        <item>）</item>
      </candidateList>
      <explain>文本全半角错误。</explain>
      <paraID>5AD23713</paraID>
      <start>37</start>
      <end>38</end>
      <status>modified</status>
      <modifiedWord>）</modifiedWord>
      <trackRevisions>false</trackRevisions>
    </reviewItem>
    <reviewItem>
      <errorID>44c9bcdd-0760-44af-869a-d6cce36be423</errorID>
      <errorWord>须</errorWord>
      <group>L1_Word</group>
      <groupName>字词问题</groupName>
      <ability>L2_Typo</ability>
      <abilityName>字词错误</abilityName>
      <candidateList>
        <item>须以</item>
      </candidateList>
      <explain/>
      <paraID>12F6744D</paraID>
      <start>6</start>
      <end>8</end>
      <status>modified</status>
      <modifiedWord>须以</modifiedWord>
      <trackRevisions>false</trackRevisions>
    </reviewItem>
    <reviewItem>
      <errorID>1a7e7bf9-49c6-4c62-bb31-41e7a79162f8</errorID>
      <errorWord>接受单位</errorWord>
      <group>L1_Word</group>
      <groupName>字词问题</groupName>
      <ability>L2_Typo</ability>
      <abilityName>字词错误</abilityName>
      <candidateList>
        <item>接收单位</item>
      </candidateList>
      <explain/>
      <paraID>6F2172C3</paraID>
      <start>64</start>
      <end>68</end>
      <status>modified</status>
      <modifiedWord>接收单位</modifiedWord>
      <trackRevisions>false</trackRevisions>
    </reviewItem>
    <reviewItem>
      <errorID>f619e42f-2e48-423f-945f-7ce6e341c04c</errorID>
      <errorWord>(</errorWord>
      <group>L1_Format</group>
      <groupName>格式问题</groupName>
      <ability>L2_HalfPunc_CN</ability>
      <abilityName>全半角问题</abilityName>
      <candidateList>
        <item>（</item>
      </candidateList>
      <explain>文本全半角错误。</explain>
      <paraID>41A9CD47</paraID>
      <start>3</start>
      <end>4</end>
      <status>modified</status>
      <modifiedWord>（</modifiedWord>
      <trackRevisions>false</trackRevisions>
    </reviewItem>
    <reviewItem>
      <errorID>3d7aee80-d5e8-46eb-ac4a-8ef9d9ec8d86</errorID>
      <errorWord>)</errorWord>
      <group>L1_Format</group>
      <groupName>格式问题</groupName>
      <ability>L2_HalfPunc_CN</ability>
      <abilityName>全半角问题</abilityName>
      <candidateList>
        <item>）</item>
      </candidateList>
      <explain>文本全半角错误。</explain>
      <paraID>41A9CD47</paraID>
      <start>9</start>
      <end>10</end>
      <status>modified</status>
      <modifiedWord>）</modifiedWord>
      <trackRevisions>false</trackRevisions>
    </reviewItem>
    <reviewItem>
      <errorID>16b9b17b-a176-4a95-9ee4-0716fa121dbe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ACB93D1</paraID>
      <start>0</start>
      <end>2</end>
      <status>modified</status>
      <modifiedWord>1.</modifiedWord>
      <trackRevisions>false</trackRevisions>
    </reviewItem>
    <reviewItem>
      <errorID>9022173e-42e4-4c76-9105-dc904fa37d33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32293544</paraID>
      <start>0</start>
      <end>2</end>
      <status>modified</status>
      <modifiedWord>2.</modifiedWord>
      <trackRevisions>false</trackRevisions>
    </reviewItem>
    <reviewItem>
      <errorID>c8e5f8b2-03aa-460f-8c79-ba3362765717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3E2A3B1</paraID>
      <start>0</start>
      <end>2</end>
      <status>modified</status>
      <modifiedWord>3.</modifiedWord>
      <trackRevisions>false</trackRevisions>
    </reviewItem>
    <reviewItem>
      <errorID>9f4d45ca-48a7-49ea-baae-511f5551e8fd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5914C78A</paraID>
      <start>0</start>
      <end>2</end>
      <status>modified</status>
      <modifiedWord>4.</modifiedWord>
      <trackRevisions>false</trackRevisions>
    </reviewItem>
    <reviewItem>
      <errorID>8dccd301-5d8e-4f28-8eea-8b49178b92b1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63BD1E1F</paraID>
      <start>0</start>
      <end>2</end>
      <status>modified</status>
      <modifiedWord>5.</modifiedWord>
      <trackRevisions>false</trackRevisions>
    </reviewItem>
    <reviewItem>
      <errorID>c534aa31-3d41-4d5f-aa38-a23fafbc8454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66E149AD</paraID>
      <start>0</start>
      <end>2</end>
      <status>modified</status>
      <modifiedWord>6.</modifiedWord>
      <trackRevisions>false</trackRevisions>
    </reviewItem>
    <reviewItem>
      <errorID>26899731-1213-4df1-9981-e186f31ac3d8</errorID>
      <errorWord>准</errorWord>
      <group>L1_Word</group>
      <groupName>字词问题</groupName>
      <ability>L2_Typo</ability>
      <abilityName>字词错误</abilityName>
      <candidateList>
        <item>准和</item>
      </candidateList>
      <explain/>
      <paraID>1C6F3F0C</paraID>
      <start>52</start>
      <end>54</end>
      <status>modified</status>
      <modifiedWord>准和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f83a24-0e81-455b-845c-dfcff1350ad9}">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13519</Words>
  <Characters>14318</Characters>
  <Lines>0</Lines>
  <Paragraphs>0</Paragraphs>
  <TotalTime>19</TotalTime>
  <ScaleCrop>false</ScaleCrop>
  <LinksUpToDate>false</LinksUpToDate>
  <CharactersWithSpaces>14448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2022-09-30T03:05:00Z</dcterms:created>
  <dc:creator>pretty  G</dc:creator>
  <cp:lastModifiedBy>DouDou</cp:lastModifiedBy>
  <dcterms:modified xsi:type="dcterms:W3CDTF">2026-10-22T13:09:39Z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E48A13BF9C7F4B19A1F57CAC53EE5EDE</vt:lpwstr>
  </property>
  <property fmtid="{D5CDD505-2E9C-101B-9397-08002B2CF9AE}" pid="4" name="KSOTemplateDocerSaveRecord">
    <vt:lpwstr>eyJoZGlkIjoiMGJmYzY1YjY0MzEzOWQxYjk1ZmE0ZjIzODQxZDkyOWMiLCJ1c2VySWQiOiI1MjM5NTAxMzIifQ==</vt:lpwstr>
  </property>
</Properties>
</file>