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9AC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2026年巴州老旧营运货车报废更新和新能源城市</w:t>
      </w:r>
    </w:p>
    <w:p w14:paraId="3349EC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0"/>
          <w:szCs w:val="40"/>
          <w:lang w:eastAsia="zh-CN"/>
        </w:rPr>
      </w:pPr>
      <w:r>
        <w:rPr>
          <w:rFonts w:hint="eastAsia" w:ascii="方正小标宋_GBK" w:hAnsi="方正小标宋_GBK" w:eastAsia="方正小标宋_GBK" w:cs="方正小标宋_GBK"/>
          <w:sz w:val="40"/>
          <w:szCs w:val="40"/>
        </w:rPr>
        <w:t>公交车及动力电池更新补贴服务指南</w:t>
      </w:r>
    </w:p>
    <w:p w14:paraId="39A4B88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1"/>
          <w:szCs w:val="31"/>
        </w:rPr>
      </w:pPr>
    </w:p>
    <w:p w14:paraId="1035950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广大道路运输经营者、城市公交企业：</w:t>
      </w:r>
    </w:p>
    <w:p w14:paraId="0BAB0412">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为深入贯彻落实党中央、国务院关于推动大规模设备更新和消费品以旧换新决策部署，按照新疆维吾尔自治区交通运输厅、发展和改革委员会、公安厅、商务厅</w:t>
      </w:r>
      <w:r>
        <w:rPr>
          <w:rFonts w:hint="eastAsia" w:ascii="Times New Roman" w:hAnsi="Times New Roman" w:eastAsia="方正仿宋_GBK" w:cs="Times New Roman"/>
          <w:sz w:val="31"/>
          <w:szCs w:val="31"/>
          <w:lang w:eastAsia="zh-CN"/>
        </w:rPr>
        <w:t>联合</w:t>
      </w:r>
      <w:r>
        <w:rPr>
          <w:rFonts w:hint="default" w:ascii="Times New Roman" w:hAnsi="Times New Roman" w:eastAsia="方正仿宋_GBK" w:cs="Times New Roman"/>
          <w:sz w:val="31"/>
          <w:szCs w:val="31"/>
        </w:rPr>
        <w:t>印发的《2026年新疆维吾尔自治区老旧营运货车报废更新补贴实施和资金管理细则》（新交发〔2026〕101号）和《2026年新疆维吾尔自治区新能源城市公交车及动力电池更新补贴和资金管理实施细则》（新交发〔2026〕97号）要求，加快报废高耗能高排放老旧</w:t>
      </w:r>
      <w:r>
        <w:rPr>
          <w:rFonts w:hint="eastAsia" w:ascii="Times New Roman" w:hAnsi="Times New Roman" w:eastAsia="方正仿宋_GBK" w:cs="Times New Roman"/>
          <w:sz w:val="31"/>
          <w:szCs w:val="31"/>
          <w:lang w:eastAsia="zh-CN"/>
        </w:rPr>
        <w:t>营运</w:t>
      </w:r>
      <w:r>
        <w:rPr>
          <w:rFonts w:hint="default" w:ascii="Times New Roman" w:hAnsi="Times New Roman" w:eastAsia="方正仿宋_GBK" w:cs="Times New Roman"/>
          <w:sz w:val="31"/>
          <w:szCs w:val="31"/>
        </w:rPr>
        <w:t>货车，支持新能源公交车及动力电池更新，对老旧营运货车报废更新、新能源公交车及动力电池更新给予资金补贴。为便利广大道路运输经营者、城市公交企业申请办理补贴，做到就近办理、一站式服务，制定本指南：</w:t>
      </w:r>
    </w:p>
    <w:p w14:paraId="7FDC25BF">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黑体_GBK" w:hAnsi="方正黑体_GBK" w:eastAsia="方正黑体_GBK" w:cs="方正黑体_GBK"/>
          <w:sz w:val="31"/>
          <w:szCs w:val="31"/>
        </w:rPr>
      </w:pPr>
      <w:r>
        <w:rPr>
          <w:rFonts w:hint="eastAsia" w:ascii="方正黑体_GBK" w:hAnsi="方正黑体_GBK" w:eastAsia="方正黑体_GBK" w:cs="方正黑体_GBK"/>
          <w:sz w:val="31"/>
          <w:szCs w:val="31"/>
        </w:rPr>
        <w:t>一、老旧营运货车报废更新补贴政策</w:t>
      </w:r>
    </w:p>
    <w:p w14:paraId="0725E28E">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楷体_GBK" w:hAnsi="方正楷体_GBK" w:eastAsia="方正楷体_GBK" w:cs="方正楷体_GBK"/>
          <w:sz w:val="31"/>
          <w:szCs w:val="31"/>
        </w:rPr>
      </w:pPr>
      <w:r>
        <w:rPr>
          <w:rFonts w:hint="eastAsia" w:ascii="方正楷体_GBK" w:hAnsi="方正楷体_GBK" w:eastAsia="方正楷体_GBK" w:cs="方正楷体_GBK"/>
          <w:sz w:val="31"/>
          <w:szCs w:val="31"/>
        </w:rPr>
        <w:t>（一）补贴范围</w:t>
      </w:r>
    </w:p>
    <w:p w14:paraId="70B823B1">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支持国四及以下排放标准营运货车（包含柴油、天然气货车）报废更新，优先支持更新为电动货车。对报废老旧营运货车、报废并更新购置国六排放标准货车或新能源货车、仅新购置新能源城市冷链配送货车，按照报废车辆类型、报废时间和新购置车辆动力类型等，实施差别化补贴标准。已获得中央其他资金渠道支持的车辆，不纳入本次补贴资金支持范围。</w:t>
      </w:r>
    </w:p>
    <w:p w14:paraId="3C152FB2">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所称营运货车是指在</w:t>
      </w:r>
      <w:r>
        <w:rPr>
          <w:rFonts w:hint="eastAsia" w:ascii="Times New Roman" w:hAnsi="Times New Roman" w:eastAsia="方正仿宋_GBK" w:cs="Times New Roman"/>
          <w:sz w:val="31"/>
          <w:szCs w:val="31"/>
          <w:lang w:eastAsia="zh-CN"/>
        </w:rPr>
        <w:t>巴音郭楞蒙古自治州</w:t>
      </w:r>
      <w:r>
        <w:rPr>
          <w:rFonts w:hint="default" w:ascii="Times New Roman" w:hAnsi="Times New Roman" w:eastAsia="方正仿宋_GBK" w:cs="Times New Roman"/>
          <w:sz w:val="31"/>
          <w:szCs w:val="31"/>
        </w:rPr>
        <w:t>登记的、持有有效《道路运输证》、符合国家及本细则规定条件的国四及以下排放标准营运货车（含柴油、天然气货车）。</w:t>
      </w:r>
    </w:p>
    <w:p w14:paraId="04A2AC38">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1</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仅报废老旧营运货车：</w:t>
      </w:r>
    </w:p>
    <w:p w14:paraId="0C418EF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报废车辆应当同时符合以下条件：</w:t>
      </w:r>
    </w:p>
    <w:p w14:paraId="57CC14E4">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（1）国四及以下排放标准中型、重型营运货车；</w:t>
      </w:r>
    </w:p>
    <w:p w14:paraId="157ED029">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（2）持有公安机关开具的《机动车注销证明》</w:t>
      </w: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具有资质的报废机动车回收拆解企业开具的《报废机动车回收证明》，及车辆注销前所在县（市、区）级及以上交通运输主管部门发放的有效《道路运输证》。</w:t>
      </w:r>
    </w:p>
    <w:p w14:paraId="169F305E">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2</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报废并更新购置营运货车：</w:t>
      </w:r>
    </w:p>
    <w:p w14:paraId="6F2A31EE">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（1）报废车辆应当符合上述仅报废老旧营运货车条件；</w:t>
      </w:r>
    </w:p>
    <w:p w14:paraId="24304E6E">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（2）新购置车辆应当为注册登记的新能源车辆或国六排放标准车辆，并持有所在县（市、区）级及以上交通运输主管部门发放的有效《道路运输证》。其中，新能源车辆应</w:t>
      </w:r>
      <w:r>
        <w:rPr>
          <w:rFonts w:hint="eastAsia" w:ascii="Times New Roman" w:hAnsi="Times New Roman" w:eastAsia="方正仿宋_GBK" w:cs="Times New Roman"/>
          <w:sz w:val="31"/>
          <w:szCs w:val="31"/>
          <w:lang w:eastAsia="zh-CN"/>
        </w:rPr>
        <w:t>在</w:t>
      </w:r>
      <w:r>
        <w:rPr>
          <w:rFonts w:hint="default" w:ascii="Times New Roman" w:hAnsi="Times New Roman" w:eastAsia="方正仿宋_GBK" w:cs="Times New Roman"/>
          <w:sz w:val="31"/>
          <w:szCs w:val="31"/>
        </w:rPr>
        <w:t>《减免车辆购置税的新能源汽车车型目录》</w:t>
      </w:r>
      <w:r>
        <w:rPr>
          <w:rFonts w:hint="eastAsia" w:ascii="Times New Roman" w:hAnsi="Times New Roman" w:eastAsia="方正仿宋_GBK" w:cs="Times New Roman"/>
          <w:sz w:val="31"/>
          <w:szCs w:val="31"/>
          <w:lang w:eastAsia="zh-CN"/>
        </w:rPr>
        <w:t>中</w:t>
      </w:r>
      <w:r>
        <w:rPr>
          <w:rFonts w:hint="default" w:ascii="Times New Roman" w:hAnsi="Times New Roman" w:eastAsia="方正仿宋_GBK" w:cs="Times New Roman"/>
          <w:sz w:val="31"/>
          <w:szCs w:val="31"/>
        </w:rPr>
        <w:t>；</w:t>
      </w:r>
    </w:p>
    <w:p w14:paraId="2EA72A9F">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（3）新购置车辆与报废车辆注册登记所有人一致。</w:t>
      </w:r>
    </w:p>
    <w:p w14:paraId="54AC94F8">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3</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仅新购置新能源城市冷链配送货车：</w:t>
      </w:r>
    </w:p>
    <w:p w14:paraId="449B48C3">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新购置车辆应当为注册登记的新能源城市冷链配送货车，须符合《城市物流配送汽车选型技术要求》（GB/T 29912-2024）相关要求，并</w:t>
      </w:r>
      <w:r>
        <w:rPr>
          <w:rFonts w:hint="eastAsia" w:ascii="Times New Roman" w:hAnsi="Times New Roman" w:eastAsia="方正仿宋_GBK" w:cs="Times New Roman"/>
          <w:sz w:val="31"/>
          <w:szCs w:val="31"/>
          <w:lang w:eastAsia="zh-CN"/>
        </w:rPr>
        <w:t>纳入</w:t>
      </w:r>
      <w:r>
        <w:rPr>
          <w:rFonts w:hint="default" w:ascii="Times New Roman" w:hAnsi="Times New Roman" w:eastAsia="方正仿宋_GBK" w:cs="Times New Roman"/>
          <w:sz w:val="31"/>
          <w:szCs w:val="31"/>
        </w:rPr>
        <w:t>《减免车辆购置税的新能源汽车车型目录》，且持有所</w:t>
      </w:r>
      <w:r>
        <w:rPr>
          <w:rFonts w:hint="default" w:ascii="Times New Roman" w:hAnsi="Times New Roman" w:eastAsia="方正仿宋_GBK" w:cs="Times New Roman"/>
          <w:spacing w:val="-6"/>
          <w:sz w:val="31"/>
          <w:szCs w:val="31"/>
        </w:rPr>
        <w:t>在县（市、区）级及以上交通运输主管部门发放的有效《道路运输证》。</w:t>
      </w:r>
    </w:p>
    <w:p w14:paraId="1090E644">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楷体_GBK" w:hAnsi="方正楷体_GBK" w:eastAsia="方正楷体_GBK" w:cs="方正楷体_GBK"/>
          <w:sz w:val="31"/>
          <w:szCs w:val="31"/>
        </w:rPr>
      </w:pPr>
      <w:r>
        <w:rPr>
          <w:rFonts w:hint="eastAsia" w:ascii="方正楷体_GBK" w:hAnsi="方正楷体_GBK" w:eastAsia="方正楷体_GBK" w:cs="方正楷体_GBK"/>
          <w:sz w:val="31"/>
          <w:szCs w:val="31"/>
        </w:rPr>
        <w:t>（二）补贴实施期限</w:t>
      </w:r>
    </w:p>
    <w:p w14:paraId="2EDBB783">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老旧营运货车报废更新及新购置新能源城市冷链配送货车补贴政策实施期限为：2026年1月1日至2026年12月31日。</w:t>
      </w:r>
    </w:p>
    <w:p w14:paraId="0FB9BF85">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报废货车《报废机动车回收证明》《机动车注销证明》日期、新购置货车《机动车行驶证》注册登记日期和《道路运输证》发放日期均应在政策实施期内。</w:t>
      </w:r>
    </w:p>
    <w:p w14:paraId="4BB1EA34">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方正楷体_GBK" w:hAnsi="方正楷体_GBK" w:eastAsia="方正楷体_GBK" w:cs="方正楷体_GBK"/>
          <w:sz w:val="31"/>
          <w:szCs w:val="31"/>
        </w:rPr>
      </w:pPr>
      <w:r>
        <w:rPr>
          <w:rFonts w:hint="default" w:ascii="方正楷体_GBK" w:hAnsi="方正楷体_GBK" w:eastAsia="方正楷体_GBK" w:cs="方正楷体_GBK"/>
          <w:sz w:val="31"/>
          <w:szCs w:val="31"/>
        </w:rPr>
        <w:t>（三）补贴标准</w:t>
      </w:r>
    </w:p>
    <w:p w14:paraId="07C6E669">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1</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仅报废老旧营运货车补贴标准：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8"/>
        <w:gridCol w:w="3868"/>
        <w:gridCol w:w="3058"/>
      </w:tblGrid>
      <w:tr w14:paraId="72FC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8" w:type="dxa"/>
          </w:tcPr>
          <w:p w14:paraId="17E8BB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车辆类型</w:t>
            </w:r>
          </w:p>
        </w:tc>
        <w:tc>
          <w:tcPr>
            <w:tcW w:w="3868" w:type="dxa"/>
          </w:tcPr>
          <w:p w14:paraId="5CC403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距离强制报废时间</w:t>
            </w:r>
          </w:p>
        </w:tc>
        <w:tc>
          <w:tcPr>
            <w:tcW w:w="3058" w:type="dxa"/>
          </w:tcPr>
          <w:p w14:paraId="61A559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补贴标准（万元/辆）</w:t>
            </w:r>
          </w:p>
        </w:tc>
      </w:tr>
      <w:tr w14:paraId="6E9F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8" w:type="dxa"/>
          </w:tcPr>
          <w:p w14:paraId="4C32DE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中型</w:t>
            </w:r>
          </w:p>
        </w:tc>
        <w:tc>
          <w:tcPr>
            <w:tcW w:w="3868" w:type="dxa"/>
          </w:tcPr>
          <w:p w14:paraId="0A852E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满1年（含）不足2年</w:t>
            </w:r>
          </w:p>
        </w:tc>
        <w:tc>
          <w:tcPr>
            <w:tcW w:w="3058" w:type="dxa"/>
          </w:tcPr>
          <w:p w14:paraId="37A392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1.0</w:t>
            </w:r>
          </w:p>
        </w:tc>
      </w:tr>
      <w:tr w14:paraId="2C5C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8" w:type="dxa"/>
          </w:tcPr>
          <w:p w14:paraId="046CD7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中型</w:t>
            </w:r>
          </w:p>
        </w:tc>
        <w:tc>
          <w:tcPr>
            <w:tcW w:w="3868" w:type="dxa"/>
          </w:tcPr>
          <w:p w14:paraId="23792A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满2年（含）不足4年</w:t>
            </w:r>
          </w:p>
        </w:tc>
        <w:tc>
          <w:tcPr>
            <w:tcW w:w="3058" w:type="dxa"/>
          </w:tcPr>
          <w:p w14:paraId="07204D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1.8</w:t>
            </w:r>
          </w:p>
        </w:tc>
      </w:tr>
      <w:tr w14:paraId="6E36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8" w:type="dxa"/>
          </w:tcPr>
          <w:p w14:paraId="69D672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中型</w:t>
            </w:r>
          </w:p>
        </w:tc>
        <w:tc>
          <w:tcPr>
            <w:tcW w:w="3868" w:type="dxa"/>
          </w:tcPr>
          <w:p w14:paraId="71155A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满4年（含）以上</w:t>
            </w:r>
          </w:p>
        </w:tc>
        <w:tc>
          <w:tcPr>
            <w:tcW w:w="3058" w:type="dxa"/>
          </w:tcPr>
          <w:p w14:paraId="2FC805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2.5</w:t>
            </w:r>
          </w:p>
        </w:tc>
      </w:tr>
      <w:tr w14:paraId="1904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8" w:type="dxa"/>
          </w:tcPr>
          <w:p w14:paraId="5BC6B9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重型</w:t>
            </w:r>
          </w:p>
        </w:tc>
        <w:tc>
          <w:tcPr>
            <w:tcW w:w="3868" w:type="dxa"/>
          </w:tcPr>
          <w:p w14:paraId="6F0CD9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满1年（含）不足2年</w:t>
            </w:r>
          </w:p>
        </w:tc>
        <w:tc>
          <w:tcPr>
            <w:tcW w:w="3058" w:type="dxa"/>
          </w:tcPr>
          <w:p w14:paraId="5C8100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1.2</w:t>
            </w:r>
          </w:p>
        </w:tc>
      </w:tr>
      <w:tr w14:paraId="4B0D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8" w:type="dxa"/>
          </w:tcPr>
          <w:p w14:paraId="601086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重型</w:t>
            </w:r>
          </w:p>
        </w:tc>
        <w:tc>
          <w:tcPr>
            <w:tcW w:w="3868" w:type="dxa"/>
          </w:tcPr>
          <w:p w14:paraId="24A4FD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满2年（含）不足4年</w:t>
            </w:r>
          </w:p>
        </w:tc>
        <w:tc>
          <w:tcPr>
            <w:tcW w:w="3058" w:type="dxa"/>
          </w:tcPr>
          <w:p w14:paraId="654E7A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3.5</w:t>
            </w:r>
          </w:p>
        </w:tc>
      </w:tr>
      <w:tr w14:paraId="5A69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8" w:type="dxa"/>
          </w:tcPr>
          <w:p w14:paraId="447BAA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重型</w:t>
            </w:r>
          </w:p>
        </w:tc>
        <w:tc>
          <w:tcPr>
            <w:tcW w:w="3868" w:type="dxa"/>
          </w:tcPr>
          <w:p w14:paraId="455488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满4年（含）以上</w:t>
            </w:r>
          </w:p>
        </w:tc>
        <w:tc>
          <w:tcPr>
            <w:tcW w:w="3058" w:type="dxa"/>
          </w:tcPr>
          <w:p w14:paraId="352812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4.5</w:t>
            </w:r>
          </w:p>
        </w:tc>
      </w:tr>
    </w:tbl>
    <w:p w14:paraId="4552F0E6">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2</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新购营运货车补贴标准：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8"/>
        <w:gridCol w:w="3058"/>
        <w:gridCol w:w="3058"/>
      </w:tblGrid>
      <w:tr w14:paraId="0199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14:paraId="5F5FE5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车辆类型</w:t>
            </w:r>
          </w:p>
        </w:tc>
        <w:tc>
          <w:tcPr>
            <w:tcW w:w="3058" w:type="dxa"/>
          </w:tcPr>
          <w:p w14:paraId="57C8A01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新购国六排放标准营运货车补贴标准（万元/辆）</w:t>
            </w:r>
          </w:p>
        </w:tc>
        <w:tc>
          <w:tcPr>
            <w:tcW w:w="3058" w:type="dxa"/>
          </w:tcPr>
          <w:p w14:paraId="3029AD0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新购新能源营运货车补贴标准（万元/辆）</w:t>
            </w:r>
          </w:p>
        </w:tc>
      </w:tr>
      <w:tr w14:paraId="74C3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14:paraId="195CDB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中型</w:t>
            </w:r>
          </w:p>
        </w:tc>
        <w:tc>
          <w:tcPr>
            <w:tcW w:w="3058" w:type="dxa"/>
          </w:tcPr>
          <w:p w14:paraId="7D855D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2.5</w:t>
            </w:r>
          </w:p>
        </w:tc>
        <w:tc>
          <w:tcPr>
            <w:tcW w:w="3058" w:type="dxa"/>
          </w:tcPr>
          <w:p w14:paraId="6A93D9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3.5</w:t>
            </w:r>
          </w:p>
        </w:tc>
      </w:tr>
      <w:tr w14:paraId="2149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14:paraId="327B9D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重型（2轴）</w:t>
            </w:r>
          </w:p>
        </w:tc>
        <w:tc>
          <w:tcPr>
            <w:tcW w:w="3058" w:type="dxa"/>
          </w:tcPr>
          <w:p w14:paraId="34988E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4.0</w:t>
            </w:r>
          </w:p>
        </w:tc>
        <w:tc>
          <w:tcPr>
            <w:tcW w:w="3058" w:type="dxa"/>
          </w:tcPr>
          <w:p w14:paraId="7B724F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7.0</w:t>
            </w:r>
          </w:p>
        </w:tc>
      </w:tr>
      <w:tr w14:paraId="1BF8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14:paraId="77AF98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重型（3轴）</w:t>
            </w:r>
          </w:p>
        </w:tc>
        <w:tc>
          <w:tcPr>
            <w:tcW w:w="3058" w:type="dxa"/>
          </w:tcPr>
          <w:p w14:paraId="274F39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5.5</w:t>
            </w:r>
          </w:p>
        </w:tc>
        <w:tc>
          <w:tcPr>
            <w:tcW w:w="3058" w:type="dxa"/>
          </w:tcPr>
          <w:p w14:paraId="04D3A3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8.5</w:t>
            </w:r>
          </w:p>
        </w:tc>
      </w:tr>
      <w:tr w14:paraId="05D2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14:paraId="6120B4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重型（4轴及以上）</w:t>
            </w:r>
          </w:p>
        </w:tc>
        <w:tc>
          <w:tcPr>
            <w:tcW w:w="3058" w:type="dxa"/>
          </w:tcPr>
          <w:p w14:paraId="433EEE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6.5</w:t>
            </w:r>
          </w:p>
        </w:tc>
        <w:tc>
          <w:tcPr>
            <w:tcW w:w="3058" w:type="dxa"/>
          </w:tcPr>
          <w:p w14:paraId="114E03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9.5</w:t>
            </w:r>
          </w:p>
        </w:tc>
      </w:tr>
    </w:tbl>
    <w:p w14:paraId="592187E0">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lang w:eastAsia="zh-CN"/>
        </w:rPr>
      </w:pPr>
      <w:r>
        <w:rPr>
          <w:rFonts w:hint="default" w:ascii="Times New Roman" w:hAnsi="Times New Roman" w:eastAsia="方正仿宋_GBK" w:cs="Times New Roman"/>
          <w:sz w:val="31"/>
          <w:szCs w:val="31"/>
        </w:rPr>
        <w:t>报废并更新购置营运货车补贴按以下方法计算：</w:t>
      </w:r>
    </w:p>
    <w:p w14:paraId="0988E9D7">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报废并新购国六排放标准营运货车补贴=仅报废老旧营运货车补贴+新购国六排放标准营运货车补贴；</w:t>
      </w:r>
    </w:p>
    <w:p w14:paraId="0A731392">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报废并新购新能源货车补贴=仅报废老旧营运货车补贴+新购新能源营运货车补贴。</w:t>
      </w:r>
    </w:p>
    <w:p w14:paraId="7592784C">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rPr>
      </w:pPr>
      <w:r>
        <w:rPr>
          <w:rFonts w:hint="default" w:ascii="Times New Roman" w:hAnsi="Times New Roman" w:eastAsia="方正仿宋_GBK" w:cs="Times New Roman"/>
          <w:b/>
          <w:bCs/>
          <w:sz w:val="31"/>
          <w:szCs w:val="31"/>
        </w:rPr>
        <w:t>3</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仅新购新能源城市冷链配送货车补贴标准为3.5万元/辆。</w:t>
      </w:r>
    </w:p>
    <w:p w14:paraId="2EAD7BE4">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b/>
          <w:bCs/>
          <w:sz w:val="31"/>
          <w:szCs w:val="31"/>
        </w:rPr>
        <w:t>特别提示：</w:t>
      </w:r>
      <w:r>
        <w:rPr>
          <w:rFonts w:hint="default" w:ascii="Times New Roman" w:hAnsi="Times New Roman" w:eastAsia="方正仿宋_GBK" w:cs="Times New Roman"/>
          <w:sz w:val="31"/>
          <w:szCs w:val="31"/>
        </w:rPr>
        <w:t>报废老旧营运货车距离强制报废时间不足1年的，可以申请新购营运货车补贴。2026年不再</w:t>
      </w:r>
      <w:r>
        <w:rPr>
          <w:rFonts w:hint="eastAsia" w:ascii="Times New Roman" w:hAnsi="Times New Roman" w:eastAsia="方正仿宋_GBK" w:cs="Times New Roman"/>
          <w:sz w:val="31"/>
          <w:szCs w:val="31"/>
          <w:lang w:eastAsia="zh-CN"/>
        </w:rPr>
        <w:t>对</w:t>
      </w:r>
      <w:r>
        <w:rPr>
          <w:rFonts w:hint="default" w:ascii="Times New Roman" w:hAnsi="Times New Roman" w:eastAsia="方正仿宋_GBK" w:cs="Times New Roman"/>
          <w:sz w:val="31"/>
          <w:szCs w:val="31"/>
        </w:rPr>
        <w:t>“202</w:t>
      </w:r>
      <w:r>
        <w:rPr>
          <w:rFonts w:hint="eastAsia" w:ascii="Times New Roman" w:hAnsi="Times New Roman" w:eastAsia="方正仿宋_GBK" w:cs="Times New Roman"/>
          <w:sz w:val="31"/>
          <w:szCs w:val="31"/>
          <w:lang w:val="en-US" w:eastAsia="zh-CN"/>
        </w:rPr>
        <w:t>5</w:t>
      </w:r>
      <w:r>
        <w:rPr>
          <w:rFonts w:hint="default" w:ascii="Times New Roman" w:hAnsi="Times New Roman" w:eastAsia="方正仿宋_GBK" w:cs="Times New Roman"/>
          <w:sz w:val="31"/>
          <w:szCs w:val="31"/>
        </w:rPr>
        <w:t>年报废并于202</w:t>
      </w:r>
      <w:r>
        <w:rPr>
          <w:rFonts w:hint="eastAsia" w:ascii="Times New Roman" w:hAnsi="Times New Roman" w:eastAsia="方正仿宋_GBK" w:cs="Times New Roman"/>
          <w:sz w:val="31"/>
          <w:szCs w:val="31"/>
          <w:lang w:val="en-US" w:eastAsia="zh-CN"/>
        </w:rPr>
        <w:t>6</w:t>
      </w:r>
      <w:r>
        <w:rPr>
          <w:rFonts w:hint="default" w:ascii="Times New Roman" w:hAnsi="Times New Roman" w:eastAsia="方正仿宋_GBK" w:cs="Times New Roman"/>
          <w:sz w:val="31"/>
          <w:szCs w:val="31"/>
        </w:rPr>
        <w:t>年更新营运货车”此类跨年衔接情形</w:t>
      </w:r>
      <w:r>
        <w:rPr>
          <w:rFonts w:hint="eastAsia" w:ascii="Times New Roman" w:hAnsi="Times New Roman" w:eastAsia="方正仿宋_GBK" w:cs="Times New Roman"/>
          <w:sz w:val="31"/>
          <w:szCs w:val="31"/>
          <w:lang w:eastAsia="zh-CN"/>
        </w:rPr>
        <w:t>进行补贴。</w:t>
      </w:r>
    </w:p>
    <w:p w14:paraId="5D7B87F9">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方正楷体_GBK" w:hAnsi="方正楷体_GBK" w:eastAsia="方正楷体_GBK" w:cs="方正楷体_GBK"/>
          <w:sz w:val="31"/>
          <w:szCs w:val="31"/>
        </w:rPr>
      </w:pPr>
      <w:r>
        <w:rPr>
          <w:rFonts w:hint="default" w:ascii="方正楷体_GBK" w:hAnsi="方正楷体_GBK" w:eastAsia="方正楷体_GBK" w:cs="方正楷体_GBK"/>
          <w:sz w:val="31"/>
          <w:szCs w:val="31"/>
        </w:rPr>
        <w:t>（四）申请材料及要求</w:t>
      </w:r>
    </w:p>
    <w:p w14:paraId="6D00B8E5">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lang w:eastAsia="zh-CN"/>
        </w:rPr>
      </w:pPr>
      <w:r>
        <w:rPr>
          <w:rFonts w:hint="default" w:ascii="Times New Roman" w:hAnsi="Times New Roman" w:eastAsia="方正仿宋_GBK" w:cs="Times New Roman"/>
          <w:sz w:val="31"/>
          <w:szCs w:val="31"/>
        </w:rPr>
        <w:t>申请人应当在政策实施期限内向其所在地县（市、区）交通运输主管部门提出申请，通过“省级交通运输大规模设备更新补贴资金申请系统”（https://www.jtsbgx.cn/btzjsq/subsidy_qy/login）或微信小程序“设备更新快捷通”进行线上申报，填报相关信息并上传佐证材料。线上资料审核通过后，由申请人从系统导出《老旧营运货车报废更新资金申请表》并携带纸质版相关佐证材料</w:t>
      </w:r>
      <w:r>
        <w:rPr>
          <w:rFonts w:hint="eastAsia" w:ascii="Times New Roman" w:hAnsi="Times New Roman" w:eastAsia="方正仿宋_GBK" w:cs="Times New Roman"/>
          <w:sz w:val="31"/>
          <w:szCs w:val="31"/>
          <w:lang w:eastAsia="zh-CN"/>
        </w:rPr>
        <w:t>原件</w:t>
      </w:r>
      <w:r>
        <w:rPr>
          <w:rFonts w:hint="default" w:ascii="Times New Roman" w:hAnsi="Times New Roman" w:eastAsia="方正仿宋_GBK" w:cs="Times New Roman"/>
          <w:sz w:val="31"/>
          <w:szCs w:val="31"/>
        </w:rPr>
        <w:t>，及时向县（市、区）交通运输主管部门提交确认，截止日期为2026年12月31日。需提交以下材料：</w:t>
      </w:r>
    </w:p>
    <w:p w14:paraId="407A6CD4">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b/>
          <w:bCs/>
          <w:sz w:val="31"/>
          <w:szCs w:val="31"/>
        </w:rPr>
        <w:t>1</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申请仅报废老旧营运货车补贴资金的，</w:t>
      </w:r>
      <w:r>
        <w:rPr>
          <w:rFonts w:hint="default" w:ascii="Times New Roman" w:hAnsi="Times New Roman" w:eastAsia="方正仿宋_GBK" w:cs="Times New Roman"/>
          <w:sz w:val="31"/>
          <w:szCs w:val="31"/>
        </w:rPr>
        <w:t>提交《老旧营运货车报废更新资金申请表》《报废机动车回收证明》《机动车注销证明》《道路运输证》（或《道路运输证》注销证明），以及车辆注册登记所有人身份证或营业执照；</w:t>
      </w:r>
    </w:p>
    <w:p w14:paraId="693B9B7C">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b/>
          <w:bCs/>
          <w:sz w:val="31"/>
          <w:szCs w:val="31"/>
        </w:rPr>
        <w:t>2</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申请报废并更新购置营运货车补贴资金的，</w:t>
      </w:r>
      <w:r>
        <w:rPr>
          <w:rFonts w:hint="default" w:ascii="Times New Roman" w:hAnsi="Times New Roman" w:eastAsia="方正仿宋_GBK" w:cs="Times New Roman"/>
          <w:sz w:val="31"/>
          <w:szCs w:val="31"/>
        </w:rPr>
        <w:t>提交《老旧营运货车报废更新资金申请表》、报废车辆的《报废机动车回收证明》《机动车注销证明》《道路运输证》（或《道路运输证》注销证明），新购置车辆的《机动车行驶证》《道路运输证》，以及车辆注册登记所有人身份证或营业执照；</w:t>
      </w:r>
    </w:p>
    <w:p w14:paraId="2B78A591">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b/>
          <w:bCs/>
          <w:sz w:val="31"/>
          <w:szCs w:val="31"/>
        </w:rPr>
        <w:t>3</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申请仅新购置新能源城市冷链配送货车补贴资金的，</w:t>
      </w:r>
      <w:r>
        <w:rPr>
          <w:rFonts w:hint="default" w:ascii="Times New Roman" w:hAnsi="Times New Roman" w:eastAsia="方正仿宋_GBK" w:cs="Times New Roman"/>
          <w:sz w:val="31"/>
          <w:szCs w:val="31"/>
        </w:rPr>
        <w:t>提交《老旧营运货车报废更新资金申请表》《机动车行驶证》《道路运输证》，以及车辆注册登记所有人身份证或营业执照。</w:t>
      </w:r>
    </w:p>
    <w:p w14:paraId="6764B8CA">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sz w:val="31"/>
          <w:szCs w:val="31"/>
          <w:lang w:eastAsia="zh-CN"/>
        </w:rPr>
      </w:pPr>
      <w:r>
        <w:rPr>
          <w:rFonts w:hint="default" w:ascii="Times New Roman" w:hAnsi="Times New Roman" w:eastAsia="方正仿宋_GBK" w:cs="Times New Roman"/>
          <w:b/>
          <w:bCs/>
          <w:sz w:val="31"/>
          <w:szCs w:val="31"/>
        </w:rPr>
        <w:t>其他要求：</w:t>
      </w:r>
    </w:p>
    <w:p w14:paraId="19196C06">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车辆所有人为个人的，提供车主身份证复印件（须与原件核对）；车辆所有人为单位的，提供营业执照（组织机构代码证）原件（核对后返还）及复印件（须与原件核对）；</w:t>
      </w:r>
    </w:p>
    <w:p w14:paraId="4CFD1618">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委托办理的，还需提供车主书面委托书，以及被委托人的身份证复印件（须与原件核对）；</w:t>
      </w:r>
    </w:p>
    <w:p w14:paraId="0B0F5FEA">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提供的开户银行账户与车辆所有人名称须一致。</w:t>
      </w:r>
    </w:p>
    <w:p w14:paraId="4538B9A2">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方正黑体_GBK" w:hAnsi="方正黑体_GBK" w:eastAsia="方正黑体_GBK" w:cs="方正黑体_GBK"/>
          <w:sz w:val="31"/>
          <w:szCs w:val="31"/>
        </w:rPr>
        <w:t>二、新能源城市公交车及动力电池更新补贴政策</w:t>
      </w:r>
    </w:p>
    <w:p w14:paraId="7096D1D4">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楷体_GBK" w:hAnsi="方正楷体_GBK" w:eastAsia="方正楷体_GBK" w:cs="方正楷体_GBK"/>
          <w:sz w:val="31"/>
          <w:szCs w:val="31"/>
        </w:rPr>
      </w:pPr>
      <w:r>
        <w:rPr>
          <w:rFonts w:hint="eastAsia" w:ascii="方正楷体_GBK" w:hAnsi="方正楷体_GBK" w:eastAsia="方正楷体_GBK" w:cs="方正楷体_GBK"/>
          <w:sz w:val="31"/>
          <w:szCs w:val="31"/>
        </w:rPr>
        <w:t>（一）补贴对象范围</w:t>
      </w:r>
    </w:p>
    <w:p w14:paraId="3D44E07F">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申请人是指按照《城市公共交通条例》规定，依据《城市公共汽车和电车客运管理规定》（交通运输部令2017年第5号）或者当地有关法规、规章等，由城市人民政府或者其城市公共交通主管部门依法确定的承担城市公共汽电车运营服务的企业。</w:t>
      </w:r>
    </w:p>
    <w:p w14:paraId="408AA34A">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城市公交车是指在城市人民政府确定的范围内，依法取得公共交通运营资格并提供公共交通客运服务的车辆，具体由所在地交通运输主管部门认定。</w:t>
      </w:r>
    </w:p>
    <w:p w14:paraId="3967A851">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更新新能源城市公交车是指报废老旧城市公交车，并购买纳入《享受车船税减免优惠的节约能源使用新能源汽车车型目录》《减免车辆购置税的新能源汽车车型目录》《新能源汽车推广应用推荐车型目录》之一的新能源城市公交车，包括纯电动、插电式混合动力、氢燃料电池车辆。新购的新能源城市公交车《机动车登记证书》中使用性质应为“公交客运”，乘用车（九座及以下）不纳入本政策支持范围。</w:t>
      </w:r>
    </w:p>
    <w:p w14:paraId="2CC3B225">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更换动力电池是指对新能源城市公交车辆动力电池进行全套更换，更换后的动力电池应在2025年1月1日后生产，质保年限不低于5年，更换工作应符合《中华人民共和国工业和信息化部 交通运输部 公安部 商务部 应急管理部 市场监管总局 金融监管总局 国家消防救援局公告》（2024年第22号）相关要求。</w:t>
      </w:r>
    </w:p>
    <w:p w14:paraId="10D0098E">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楷体_GBK" w:hAnsi="方正楷体_GBK" w:eastAsia="方正楷体_GBK" w:cs="方正楷体_GBK"/>
          <w:sz w:val="31"/>
          <w:szCs w:val="31"/>
        </w:rPr>
      </w:pPr>
      <w:r>
        <w:rPr>
          <w:rFonts w:hint="eastAsia" w:ascii="方正楷体_GBK" w:hAnsi="方正楷体_GBK" w:eastAsia="方正楷体_GBK" w:cs="方正楷体_GBK"/>
          <w:sz w:val="31"/>
          <w:szCs w:val="31"/>
        </w:rPr>
        <w:t>（二）补贴条件</w:t>
      </w:r>
    </w:p>
    <w:p w14:paraId="3366ACC1">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支持2018年12月31日前注册登记的城市公交车车辆更新，以及2026年12月31日前超出质保期或不满足安全运营条件的新能源城市公交车动力电池更换。各地在优先报废老旧新能源城市公交车的基础上，可结合资金使用和老旧城市公交车报废更新需求，报废其他燃料类型城市公交车，并更新为新能源城市公交车。</w:t>
      </w:r>
    </w:p>
    <w:p w14:paraId="05C7156B">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已享受超长期特别国债资金支持新能源城市公交车更新的，不得重复申领城市交通发展奖励资金支持新能源城市公交车更新。</w:t>
      </w:r>
    </w:p>
    <w:p w14:paraId="59094258">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方正楷体_GBK" w:hAnsi="方正楷体_GBK" w:eastAsia="方正楷体_GBK" w:cs="方正楷体_GBK"/>
          <w:sz w:val="31"/>
          <w:szCs w:val="31"/>
        </w:rPr>
      </w:pPr>
      <w:r>
        <w:rPr>
          <w:rFonts w:hint="default" w:ascii="方正楷体_GBK" w:hAnsi="方正楷体_GBK" w:eastAsia="方正楷体_GBK" w:cs="方正楷体_GBK"/>
          <w:sz w:val="31"/>
          <w:szCs w:val="31"/>
        </w:rPr>
        <w:t>（三）补贴金额</w:t>
      </w:r>
    </w:p>
    <w:p w14:paraId="6F768AE7">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对更新新能源城市公交车的，每辆车补贴10万元，但不得超过车辆购置价格的50%；</w:t>
      </w:r>
    </w:p>
    <w:p w14:paraId="6075B6D7">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对更换动力电池的，每辆车补贴4.2万元，但不得超过新动力电池购置价格的50%。</w:t>
      </w:r>
    </w:p>
    <w:p w14:paraId="5CB68667">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方正楷体_GBK" w:hAnsi="方正楷体_GBK" w:eastAsia="方正楷体_GBK" w:cs="方正楷体_GBK"/>
          <w:sz w:val="31"/>
          <w:szCs w:val="31"/>
        </w:rPr>
      </w:pPr>
      <w:r>
        <w:rPr>
          <w:rFonts w:hint="default" w:ascii="方正楷体_GBK" w:hAnsi="方正楷体_GBK" w:eastAsia="方正楷体_GBK" w:cs="方正楷体_GBK"/>
          <w:sz w:val="31"/>
          <w:szCs w:val="31"/>
        </w:rPr>
        <w:t>（四）申请材料及要求</w:t>
      </w:r>
    </w:p>
    <w:p w14:paraId="6CF64A83">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申请人应当在完成新能源城市公交车及动力电池更新后，通过“省级交通运输大规模设备更新补贴资金申请系统”（https://www.jtsbgx.cn/btzjsq/subsidy_qy/login）或微信小程序“设备更新快捷通”进行线上申报。线上资料审核通过后，由申请人从系统导出《新能源城市公交车车辆更新明细表》及《动力电池更换明细表》并携带相关佐证材料，及时向县（市、区）交通运输主管部门提交确认，截止日期为2026年12月31日。</w:t>
      </w:r>
    </w:p>
    <w:p w14:paraId="21C0F873">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1</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更新新能源城市公交车需提供：</w:t>
      </w:r>
    </w:p>
    <w:p w14:paraId="76B50423">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报废车辆的首次注册登记时间、车辆识别代号、《报废机动车回收证明》《机动车注销证明》，以及新购车辆的识别代号、车辆型号、收付款凭证、《机动车销售统一发票》《机动车登记证书》等信息与佐证材料。</w:t>
      </w:r>
    </w:p>
    <w:p w14:paraId="7FA54A24">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b/>
          <w:bCs/>
          <w:sz w:val="31"/>
          <w:szCs w:val="31"/>
        </w:rPr>
        <w:t>特别提示：</w:t>
      </w:r>
      <w:r>
        <w:rPr>
          <w:rFonts w:hint="default" w:ascii="Times New Roman" w:hAnsi="Times New Roman" w:eastAsia="方正仿宋_GBK" w:cs="Times New Roman"/>
          <w:sz w:val="31"/>
          <w:szCs w:val="31"/>
        </w:rPr>
        <w:t>报废的老旧城市公交车可以为通过融资租赁方式获得的车辆，对于报废融资租赁老旧公交车的，应要求申请人提供融资租赁合同。申请人与机动车所有人具有法定隶属关系的，应提供相关佐证材料。</w:t>
      </w:r>
    </w:p>
    <w:p w14:paraId="02EE898A">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2</w:t>
      </w:r>
      <w:r>
        <w:rPr>
          <w:rFonts w:hint="eastAsia" w:ascii="Times New Roman" w:hAnsi="Times New Roman" w:eastAsia="方正仿宋_GBK" w:cs="Times New Roman"/>
          <w:b/>
          <w:bCs/>
          <w:sz w:val="31"/>
          <w:szCs w:val="31"/>
          <w:lang w:eastAsia="zh-CN"/>
        </w:rPr>
        <w:t>.</w:t>
      </w:r>
      <w:r>
        <w:rPr>
          <w:rFonts w:hint="default" w:ascii="Times New Roman" w:hAnsi="Times New Roman" w:eastAsia="方正仿宋_GBK" w:cs="Times New Roman"/>
          <w:b/>
          <w:bCs/>
          <w:sz w:val="31"/>
          <w:szCs w:val="31"/>
        </w:rPr>
        <w:t>更换动力电池需提供：</w:t>
      </w:r>
    </w:p>
    <w:p w14:paraId="79DA7542">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更换动力电池车辆的车辆识别代号、旧动力电池包数量、旧动力电池包编码，更换后的动力电池包数量、动力电池包编码、生产日期等信息，以及动力电池更换合同（含动力电池安全合规性要求）、发票、收付款凭证和验收证明等佐证材料。</w:t>
      </w:r>
    </w:p>
    <w:p w14:paraId="0405FB42">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b/>
          <w:bCs/>
          <w:sz w:val="31"/>
          <w:szCs w:val="31"/>
        </w:rPr>
        <w:t>特别提示：</w:t>
      </w:r>
      <w:r>
        <w:rPr>
          <w:rFonts w:hint="default" w:ascii="Times New Roman" w:hAnsi="Times New Roman" w:eastAsia="方正仿宋_GBK" w:cs="Times New Roman"/>
          <w:sz w:val="31"/>
          <w:szCs w:val="31"/>
        </w:rPr>
        <w:t>对于更换仍在质保期但已不满足安全运营条件的新能源城市公交车动力电池的，还应提供由客车生产企业、动力电池生产企业或依法取得相关资质认定的检验检测机构出具的动力电池状态评估证明。</w:t>
      </w:r>
    </w:p>
    <w:p w14:paraId="4CD8DE44">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sz w:val="31"/>
          <w:szCs w:val="31"/>
          <w:lang w:eastAsia="zh-CN"/>
        </w:rPr>
      </w:pPr>
      <w:r>
        <w:rPr>
          <w:rFonts w:hint="default" w:ascii="Times New Roman" w:hAnsi="Times New Roman" w:eastAsia="方正仿宋_GBK" w:cs="Times New Roman"/>
          <w:b/>
          <w:bCs/>
          <w:sz w:val="31"/>
          <w:szCs w:val="31"/>
        </w:rPr>
        <w:t>证明材料取得时间要求：</w:t>
      </w:r>
    </w:p>
    <w:p w14:paraId="16E16B8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上述《报废机动车回收证明》《机动车注销证明》《机动车销售统一发票》《机动车登记证书》，以及更换动力电池验收证明应于2026年1月1日至2026年12月31日期间取得。</w:t>
      </w:r>
    </w:p>
    <w:p w14:paraId="06BF54FB">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《报废机动车回收证明》的取得时间是指载明的交车日期；</w:t>
      </w:r>
    </w:p>
    <w:p w14:paraId="522FCA2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《机动车注销证明》的取得时间是指载明的注销日期；</w:t>
      </w:r>
    </w:p>
    <w:p w14:paraId="0248617B">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《机动车销售统一发票》的取得时间是指载明的开票日期；</w:t>
      </w:r>
    </w:p>
    <w:p w14:paraId="12CF9467">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《机动车登记证书》的取得时间是指载明的注册日期；</w:t>
      </w:r>
    </w:p>
    <w:p w14:paraId="60A0C896">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eastAsia" w:ascii="Times New Roman" w:hAnsi="Times New Roman" w:eastAsia="方正仿宋_GBK" w:cs="Times New Roman"/>
          <w:sz w:val="31"/>
          <w:szCs w:val="31"/>
          <w:lang w:eastAsia="zh-CN"/>
        </w:rPr>
        <w:t>·</w:t>
      </w:r>
      <w:r>
        <w:rPr>
          <w:rFonts w:hint="default" w:ascii="Times New Roman" w:hAnsi="Times New Roman" w:eastAsia="方正仿宋_GBK" w:cs="Times New Roman"/>
          <w:sz w:val="31"/>
          <w:szCs w:val="31"/>
        </w:rPr>
        <w:t>更换动力电池验收证明的取得时间是指证明开具日期。</w:t>
      </w:r>
    </w:p>
    <w:p w14:paraId="54F76BC0">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黑体_GBK" w:hAnsi="方正黑体_GBK" w:eastAsia="方正黑体_GBK" w:cs="方正黑体_GBK"/>
          <w:sz w:val="31"/>
          <w:szCs w:val="31"/>
        </w:rPr>
      </w:pPr>
      <w:r>
        <w:rPr>
          <w:rFonts w:hint="eastAsia" w:ascii="方正黑体_GBK" w:hAnsi="方正黑体_GBK" w:eastAsia="方正黑体_GBK" w:cs="方正黑体_GBK"/>
          <w:sz w:val="31"/>
          <w:szCs w:val="31"/>
        </w:rPr>
        <w:t>三、特别提醒</w:t>
      </w:r>
    </w:p>
    <w:p w14:paraId="2459DCB9">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楷体_GBK" w:hAnsi="方正楷体_GBK" w:eastAsia="方正楷体_GBK" w:cs="方正楷体_GBK"/>
          <w:sz w:val="31"/>
          <w:szCs w:val="31"/>
        </w:rPr>
      </w:pPr>
      <w:r>
        <w:rPr>
          <w:rFonts w:hint="eastAsia" w:ascii="方正楷体_GBK" w:hAnsi="方正楷体_GBK" w:eastAsia="方正楷体_GBK" w:cs="方正楷体_GBK"/>
          <w:sz w:val="31"/>
          <w:szCs w:val="31"/>
        </w:rPr>
        <w:t>（一）补贴资金先到先得</w:t>
      </w:r>
    </w:p>
    <w:p w14:paraId="1CD7051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lang w:eastAsia="zh-CN"/>
        </w:rPr>
      </w:pPr>
      <w:r>
        <w:rPr>
          <w:rFonts w:hint="default" w:ascii="Times New Roman" w:hAnsi="Times New Roman" w:eastAsia="方正仿宋_GBK" w:cs="Times New Roman"/>
          <w:sz w:val="31"/>
          <w:szCs w:val="31"/>
        </w:rPr>
        <w:t>2026年补贴资金根据审核通过的先后顺序及资金预算情况，依序拨付，先到先得。请符合条件的申请人尽早申报，避免因资金用完无法获得补贴。</w:t>
      </w:r>
    </w:p>
    <w:p w14:paraId="1C7C4A93">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方正楷体_GBK" w:hAnsi="方正楷体_GBK" w:eastAsia="方正楷体_GBK" w:cs="方正楷体_GBK"/>
          <w:sz w:val="31"/>
          <w:szCs w:val="31"/>
        </w:rPr>
      </w:pPr>
      <w:r>
        <w:rPr>
          <w:rFonts w:hint="default" w:ascii="方正楷体_GBK" w:hAnsi="方正楷体_GBK" w:eastAsia="方正楷体_GBK" w:cs="方正楷体_GBK"/>
          <w:sz w:val="31"/>
          <w:szCs w:val="31"/>
        </w:rPr>
        <w:t>（二）补贴方式为线上申报</w:t>
      </w:r>
    </w:p>
    <w:p w14:paraId="5BA106BF">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2026年补贴申报采取线上系统申报和线下</w:t>
      </w:r>
      <w:r>
        <w:rPr>
          <w:rFonts w:hint="eastAsia" w:ascii="Times New Roman" w:hAnsi="Times New Roman" w:eastAsia="方正仿宋_GBK" w:cs="Times New Roman"/>
          <w:sz w:val="31"/>
          <w:szCs w:val="31"/>
          <w:lang w:eastAsia="zh-CN"/>
        </w:rPr>
        <w:t>核实</w:t>
      </w:r>
      <w:r>
        <w:rPr>
          <w:rFonts w:hint="default" w:ascii="Times New Roman" w:hAnsi="Times New Roman" w:eastAsia="方正仿宋_GBK" w:cs="Times New Roman"/>
          <w:sz w:val="31"/>
          <w:szCs w:val="31"/>
        </w:rPr>
        <w:t>相结合的方式，申请人须先通过线上系统申报，审核通过后再线下提交纸质材料</w:t>
      </w:r>
      <w:r>
        <w:rPr>
          <w:rFonts w:hint="eastAsia" w:ascii="Times New Roman" w:hAnsi="Times New Roman" w:eastAsia="方正仿宋_GBK" w:cs="Times New Roman"/>
          <w:sz w:val="31"/>
          <w:szCs w:val="31"/>
          <w:lang w:eastAsia="zh-CN"/>
        </w:rPr>
        <w:t>核对</w:t>
      </w:r>
      <w:r>
        <w:rPr>
          <w:rFonts w:hint="default" w:ascii="Times New Roman" w:hAnsi="Times New Roman" w:eastAsia="方正仿宋_GBK" w:cs="Times New Roman"/>
          <w:sz w:val="31"/>
          <w:szCs w:val="31"/>
        </w:rPr>
        <w:t>确认。请提前熟悉申报流程。</w:t>
      </w:r>
    </w:p>
    <w:p w14:paraId="1B43AB5E">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方正楷体_GBK" w:hAnsi="方正楷体_GBK" w:eastAsia="方正楷体_GBK" w:cs="方正楷体_GBK"/>
          <w:sz w:val="31"/>
          <w:szCs w:val="31"/>
        </w:rPr>
      </w:pPr>
      <w:r>
        <w:rPr>
          <w:rFonts w:hint="default" w:ascii="方正楷体_GBK" w:hAnsi="方正楷体_GBK" w:eastAsia="方正楷体_GBK" w:cs="方正楷体_GBK"/>
          <w:sz w:val="31"/>
          <w:szCs w:val="31"/>
        </w:rPr>
        <w:t>（三）不得指定回收企业</w:t>
      </w:r>
    </w:p>
    <w:p w14:paraId="18F726D7">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各</w:t>
      </w:r>
      <w:r>
        <w:rPr>
          <w:rFonts w:hint="eastAsia" w:ascii="Times New Roman" w:hAnsi="Times New Roman" w:eastAsia="方正仿宋_GBK" w:cs="Times New Roman"/>
          <w:sz w:val="31"/>
          <w:szCs w:val="31"/>
          <w:lang w:eastAsia="zh-CN"/>
        </w:rPr>
        <w:t>县市</w:t>
      </w:r>
      <w:r>
        <w:rPr>
          <w:rFonts w:hint="default" w:ascii="Times New Roman" w:hAnsi="Times New Roman" w:eastAsia="方正仿宋_GBK" w:cs="Times New Roman"/>
          <w:sz w:val="31"/>
          <w:szCs w:val="31"/>
        </w:rPr>
        <w:t>不得要求将报废公交车和报废动力电池交售给指定企业，不得另行设定具有地域性、技术产品指向性的补贴目录或企业名单。</w:t>
      </w:r>
    </w:p>
    <w:p w14:paraId="306FBC71">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黑体_GBK" w:hAnsi="方正黑体_GBK" w:eastAsia="方正黑体_GBK" w:cs="方正黑体_GBK"/>
          <w:sz w:val="31"/>
          <w:szCs w:val="31"/>
        </w:rPr>
      </w:pPr>
      <w:r>
        <w:rPr>
          <w:rFonts w:hint="eastAsia" w:ascii="方正黑体_GBK" w:hAnsi="方正黑体_GBK" w:eastAsia="方正黑体_GBK" w:cs="方正黑体_GBK"/>
          <w:sz w:val="31"/>
          <w:szCs w:val="31"/>
        </w:rPr>
        <w:t>四、咨询、办理地点及联系电话</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636"/>
        <w:gridCol w:w="4427"/>
        <w:gridCol w:w="2294"/>
      </w:tblGrid>
      <w:tr w14:paraId="0D5E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A5E31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pacing w:val="-11"/>
                <w:sz w:val="31"/>
                <w:szCs w:val="31"/>
              </w:rPr>
              <w:t>序号</w:t>
            </w:r>
          </w:p>
        </w:tc>
        <w:tc>
          <w:tcPr>
            <w:tcW w:w="1636" w:type="dxa"/>
          </w:tcPr>
          <w:p w14:paraId="7C7300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县（市）</w:t>
            </w:r>
          </w:p>
        </w:tc>
        <w:tc>
          <w:tcPr>
            <w:tcW w:w="4427" w:type="dxa"/>
          </w:tcPr>
          <w:p w14:paraId="574160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办理地点</w:t>
            </w:r>
          </w:p>
        </w:tc>
        <w:tc>
          <w:tcPr>
            <w:tcW w:w="2294" w:type="dxa"/>
          </w:tcPr>
          <w:p w14:paraId="59BA8D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bCs/>
                <w:sz w:val="31"/>
                <w:szCs w:val="31"/>
                <w:vertAlign w:val="baseline"/>
              </w:rPr>
            </w:pPr>
            <w:r>
              <w:rPr>
                <w:rFonts w:hint="default" w:ascii="Times New Roman" w:hAnsi="Times New Roman" w:eastAsia="方正仿宋_GBK" w:cs="Times New Roman"/>
                <w:b/>
                <w:bCs/>
                <w:sz w:val="31"/>
                <w:szCs w:val="31"/>
              </w:rPr>
              <w:t>联系电话</w:t>
            </w:r>
          </w:p>
        </w:tc>
      </w:tr>
      <w:tr w14:paraId="3163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6CCCB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1</w:t>
            </w:r>
          </w:p>
        </w:tc>
        <w:tc>
          <w:tcPr>
            <w:tcW w:w="1636" w:type="dxa"/>
          </w:tcPr>
          <w:p w14:paraId="1E62AA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库尔勒市</w:t>
            </w:r>
          </w:p>
        </w:tc>
        <w:tc>
          <w:tcPr>
            <w:tcW w:w="4427" w:type="dxa"/>
          </w:tcPr>
          <w:p w14:paraId="5B821A1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库尔勒市延安路库尔勒市交通运输局裙楼215办公室</w:t>
            </w:r>
          </w:p>
        </w:tc>
        <w:tc>
          <w:tcPr>
            <w:tcW w:w="2294" w:type="dxa"/>
          </w:tcPr>
          <w:p w14:paraId="6FB9D6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0996-2154888</w:t>
            </w:r>
          </w:p>
        </w:tc>
      </w:tr>
      <w:tr w14:paraId="18D2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5A174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2</w:t>
            </w:r>
          </w:p>
        </w:tc>
        <w:tc>
          <w:tcPr>
            <w:tcW w:w="1636" w:type="dxa"/>
          </w:tcPr>
          <w:p w14:paraId="6F3D6AF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轮台县</w:t>
            </w:r>
          </w:p>
        </w:tc>
        <w:tc>
          <w:tcPr>
            <w:tcW w:w="4427" w:type="dxa"/>
          </w:tcPr>
          <w:p w14:paraId="7695F21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轮台县青年路第四综合办公楼交通运输局440办公室</w:t>
            </w:r>
          </w:p>
        </w:tc>
        <w:tc>
          <w:tcPr>
            <w:tcW w:w="2294" w:type="dxa"/>
          </w:tcPr>
          <w:p w14:paraId="16E891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0996-4680339</w:t>
            </w:r>
          </w:p>
        </w:tc>
      </w:tr>
      <w:tr w14:paraId="36FE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F0CDF0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3</w:t>
            </w:r>
          </w:p>
        </w:tc>
        <w:tc>
          <w:tcPr>
            <w:tcW w:w="1636" w:type="dxa"/>
          </w:tcPr>
          <w:p w14:paraId="0D0032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尉犁县</w:t>
            </w:r>
          </w:p>
        </w:tc>
        <w:tc>
          <w:tcPr>
            <w:tcW w:w="4427" w:type="dxa"/>
          </w:tcPr>
          <w:p w14:paraId="46D8251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尉犁县建设东路53号政务服务大厅1楼交通运输局服务窗口</w:t>
            </w:r>
          </w:p>
        </w:tc>
        <w:tc>
          <w:tcPr>
            <w:tcW w:w="2294" w:type="dxa"/>
          </w:tcPr>
          <w:p w14:paraId="569C32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0996-4022411</w:t>
            </w:r>
          </w:p>
        </w:tc>
      </w:tr>
      <w:tr w14:paraId="6BCA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8F94B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4</w:t>
            </w:r>
          </w:p>
        </w:tc>
        <w:tc>
          <w:tcPr>
            <w:tcW w:w="1636" w:type="dxa"/>
          </w:tcPr>
          <w:p w14:paraId="7CDD98E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若羌县</w:t>
            </w:r>
          </w:p>
        </w:tc>
        <w:tc>
          <w:tcPr>
            <w:tcW w:w="4427" w:type="dxa"/>
          </w:tcPr>
          <w:p w14:paraId="2EBE3C4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若羌县人民政府楼东侧楼（原政务服务大厅三楼）县交通运输综合行政执法大队</w:t>
            </w:r>
          </w:p>
        </w:tc>
        <w:tc>
          <w:tcPr>
            <w:tcW w:w="2294" w:type="dxa"/>
          </w:tcPr>
          <w:p w14:paraId="462620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0996-7103786</w:t>
            </w:r>
          </w:p>
        </w:tc>
      </w:tr>
      <w:tr w14:paraId="24E6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0B69F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5</w:t>
            </w:r>
          </w:p>
        </w:tc>
        <w:tc>
          <w:tcPr>
            <w:tcW w:w="1636" w:type="dxa"/>
          </w:tcPr>
          <w:p w14:paraId="054CB9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且末县</w:t>
            </w:r>
          </w:p>
        </w:tc>
        <w:tc>
          <w:tcPr>
            <w:tcW w:w="4427" w:type="dxa"/>
          </w:tcPr>
          <w:p w14:paraId="140B84D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且末县教科大楼四楼县交通运输局财务办公室</w:t>
            </w:r>
          </w:p>
        </w:tc>
        <w:tc>
          <w:tcPr>
            <w:tcW w:w="2294" w:type="dxa"/>
          </w:tcPr>
          <w:p w14:paraId="206570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0996-7626232</w:t>
            </w:r>
          </w:p>
        </w:tc>
      </w:tr>
      <w:tr w14:paraId="393A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C5388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6</w:t>
            </w:r>
          </w:p>
        </w:tc>
        <w:tc>
          <w:tcPr>
            <w:tcW w:w="1636" w:type="dxa"/>
          </w:tcPr>
          <w:p w14:paraId="13CEC0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焉耆县</w:t>
            </w:r>
          </w:p>
        </w:tc>
        <w:tc>
          <w:tcPr>
            <w:tcW w:w="4427" w:type="dxa"/>
          </w:tcPr>
          <w:p w14:paraId="780A214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焉耆县和平路771号县交通运输局三楼执法大队</w:t>
            </w:r>
          </w:p>
        </w:tc>
        <w:tc>
          <w:tcPr>
            <w:tcW w:w="2294" w:type="dxa"/>
          </w:tcPr>
          <w:p w14:paraId="6DA18D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0996-6020355</w:t>
            </w:r>
          </w:p>
        </w:tc>
      </w:tr>
      <w:tr w14:paraId="42F6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F0944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7</w:t>
            </w:r>
          </w:p>
        </w:tc>
        <w:tc>
          <w:tcPr>
            <w:tcW w:w="1636" w:type="dxa"/>
          </w:tcPr>
          <w:p w14:paraId="329607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和静县</w:t>
            </w:r>
          </w:p>
        </w:tc>
        <w:tc>
          <w:tcPr>
            <w:tcW w:w="4427" w:type="dxa"/>
          </w:tcPr>
          <w:p w14:paraId="0FCCBA4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和静县东归大道（新客运站旁）县交通运输局业务大厅</w:t>
            </w:r>
          </w:p>
        </w:tc>
        <w:tc>
          <w:tcPr>
            <w:tcW w:w="2294" w:type="dxa"/>
          </w:tcPr>
          <w:p w14:paraId="298987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0996-5022521</w:t>
            </w:r>
          </w:p>
        </w:tc>
      </w:tr>
      <w:tr w14:paraId="7BF7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A9B23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8</w:t>
            </w:r>
          </w:p>
        </w:tc>
        <w:tc>
          <w:tcPr>
            <w:tcW w:w="1636" w:type="dxa"/>
          </w:tcPr>
          <w:p w14:paraId="399797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和硕县</w:t>
            </w:r>
          </w:p>
        </w:tc>
        <w:tc>
          <w:tcPr>
            <w:tcW w:w="4427" w:type="dxa"/>
          </w:tcPr>
          <w:p w14:paraId="73C05C6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和硕县水磨街448号县交通运输局100办公室</w:t>
            </w:r>
          </w:p>
        </w:tc>
        <w:tc>
          <w:tcPr>
            <w:tcW w:w="2294" w:type="dxa"/>
          </w:tcPr>
          <w:p w14:paraId="18E1EE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vertAlign w:val="baseline"/>
              </w:rPr>
            </w:pPr>
            <w:r>
              <w:rPr>
                <w:rFonts w:hint="default" w:ascii="Times New Roman" w:hAnsi="Times New Roman" w:eastAsia="方正仿宋_GBK" w:cs="Times New Roman"/>
                <w:sz w:val="31"/>
                <w:szCs w:val="31"/>
              </w:rPr>
              <w:t>0996-5622624</w:t>
            </w:r>
          </w:p>
        </w:tc>
      </w:tr>
      <w:tr w14:paraId="0CAD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A17A6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1"/>
                <w:szCs w:val="31"/>
                <w:vertAlign w:val="baseline"/>
                <w:lang w:val="en-US" w:eastAsia="zh-CN"/>
              </w:rPr>
            </w:pPr>
            <w:r>
              <w:rPr>
                <w:rFonts w:hint="eastAsia" w:ascii="Times New Roman" w:hAnsi="Times New Roman" w:eastAsia="方正仿宋_GBK" w:cs="Times New Roman"/>
                <w:sz w:val="31"/>
                <w:szCs w:val="31"/>
                <w:vertAlign w:val="baseline"/>
                <w:lang w:val="en-US" w:eastAsia="zh-CN"/>
              </w:rPr>
              <w:t>9</w:t>
            </w:r>
          </w:p>
        </w:tc>
        <w:tc>
          <w:tcPr>
            <w:tcW w:w="1636" w:type="dxa"/>
          </w:tcPr>
          <w:p w14:paraId="2C5586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博湖县</w:t>
            </w:r>
          </w:p>
        </w:tc>
        <w:tc>
          <w:tcPr>
            <w:tcW w:w="4427" w:type="dxa"/>
          </w:tcPr>
          <w:p w14:paraId="06C205B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pacing w:val="-11"/>
                <w:sz w:val="31"/>
                <w:szCs w:val="31"/>
              </w:rPr>
              <w:t>博湖县光华南路80号农商银行综合大楼二楼政务服务中心办事大厅B厅交通运输局服务窗口</w:t>
            </w:r>
          </w:p>
        </w:tc>
        <w:tc>
          <w:tcPr>
            <w:tcW w:w="2294" w:type="dxa"/>
          </w:tcPr>
          <w:p w14:paraId="051B36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0996-6624648</w:t>
            </w:r>
          </w:p>
        </w:tc>
      </w:tr>
    </w:tbl>
    <w:p w14:paraId="725D39E6">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办公时间：周一至周五10:00-14:00，16:00-20:00（夏季时间）；</w:t>
      </w:r>
      <w:r>
        <w:rPr>
          <w:rFonts w:hint="default" w:ascii="Times New Roman" w:hAnsi="Times New Roman" w:eastAsia="方正仿宋_GBK" w:cs="Times New Roman"/>
          <w:spacing w:val="-6"/>
          <w:sz w:val="31"/>
          <w:szCs w:val="31"/>
        </w:rPr>
        <w:t>周一至周五10:00-14:00，15:30-19:30（冬季时间），法定节假日除外。</w:t>
      </w:r>
    </w:p>
    <w:p w14:paraId="774CD66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1"/>
          <w:szCs w:val="31"/>
        </w:rPr>
      </w:pPr>
    </w:p>
    <w:p w14:paraId="50B71A6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1"/>
          <w:szCs w:val="31"/>
        </w:rPr>
      </w:pPr>
    </w:p>
    <w:p w14:paraId="288A7D73">
      <w:pPr>
        <w:keepNext w:val="0"/>
        <w:keepLines w:val="0"/>
        <w:pageBreakBefore w:val="0"/>
        <w:widowControl w:val="0"/>
        <w:kinsoku/>
        <w:wordWrap/>
        <w:overflowPunct/>
        <w:topLinePunct w:val="0"/>
        <w:autoSpaceDE/>
        <w:autoSpaceDN/>
        <w:bidi w:val="0"/>
        <w:adjustRightInd/>
        <w:snapToGrid/>
        <w:spacing w:line="560" w:lineRule="exact"/>
        <w:ind w:firstLine="4650" w:firstLineChars="15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巴州交通运输局</w:t>
      </w:r>
    </w:p>
    <w:p w14:paraId="11B775C7">
      <w:pPr>
        <w:keepNext w:val="0"/>
        <w:keepLines w:val="0"/>
        <w:pageBreakBefore w:val="0"/>
        <w:widowControl w:val="0"/>
        <w:kinsoku/>
        <w:wordWrap/>
        <w:overflowPunct/>
        <w:topLinePunct w:val="0"/>
        <w:autoSpaceDE/>
        <w:autoSpaceDN/>
        <w:bidi w:val="0"/>
        <w:adjustRightInd/>
        <w:snapToGrid/>
        <w:spacing w:line="560" w:lineRule="exact"/>
        <w:ind w:firstLine="4650" w:firstLineChars="1500"/>
        <w:textAlignment w:val="auto"/>
        <w:rPr>
          <w:rFonts w:hint="default" w:ascii="Times New Roman" w:hAnsi="Times New Roman" w:eastAsia="方正仿宋_GBK" w:cs="Times New Roman"/>
          <w:sz w:val="31"/>
          <w:szCs w:val="31"/>
        </w:rPr>
      </w:pPr>
      <w:r>
        <w:rPr>
          <w:rFonts w:hint="default" w:ascii="Times New Roman" w:hAnsi="Times New Roman" w:eastAsia="方正仿宋_GBK" w:cs="Times New Roman"/>
          <w:sz w:val="31"/>
          <w:szCs w:val="31"/>
        </w:rPr>
        <w:t>2026年8月</w:t>
      </w:r>
      <w:r>
        <w:rPr>
          <w:rFonts w:hint="eastAsia" w:ascii="Times New Roman" w:hAnsi="Times New Roman" w:eastAsia="方正仿宋_GBK" w:cs="Times New Roman"/>
          <w:sz w:val="31"/>
          <w:szCs w:val="31"/>
          <w:lang w:val="en-US" w:eastAsia="zh-CN"/>
        </w:rPr>
        <w:t>27</w:t>
      </w:r>
      <w:bookmarkStart w:id="0" w:name="_GoBack"/>
      <w:bookmarkEnd w:id="0"/>
      <w:r>
        <w:rPr>
          <w:rFonts w:hint="default" w:ascii="Times New Roman" w:hAnsi="Times New Roman" w:eastAsia="方正仿宋_GBK" w:cs="Times New Roman"/>
          <w:sz w:val="31"/>
          <w:szCs w:val="31"/>
        </w:rPr>
        <w:t>日</w:t>
      </w:r>
    </w:p>
    <w:sectPr>
      <w:footerReference r:id="rId3" w:type="default"/>
      <w:pgSz w:w="11906" w:h="16838"/>
      <w:pgMar w:top="1928" w:right="1474" w:bottom="136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FE6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120650</wp:posOffset>
              </wp:positionV>
              <wp:extent cx="506095" cy="2959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095"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65EC6">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5pt;height:23.3pt;width:39.85pt;mso-position-horizontal:right;mso-position-horizontal-relative:margin;z-index:251659264;mso-width-relative:page;mso-height-relative:page;" filled="f" stroked="f" coordsize="21600,21600" o:gfxdata="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dMs/L1QAAAAUBAAAPAAAAAAAAAAEAIAAAACIAAABkcnMvZG93bnJldi54&#10;bWxQSwECFAAUAAAACACHTuJAPt4qbzYCAABhBAAADgAAAAAAAAABACAAAAAkAQAAZHJzL2Uyb0Rv&#10;Yy54bWxQSwUGAAAAAAYABgBZAQAAzAUAAAAA&#10;">
              <v:fill on="f" focussize="0,0"/>
              <v:stroke on="f" weight="0.5pt"/>
              <v:imagedata o:title=""/>
              <o:lock v:ext="edit" aspectratio="f"/>
              <v:textbox inset="0mm,0mm,0mm,0mm">
                <w:txbxContent>
                  <w:p w14:paraId="5F865EC6">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248C5"/>
    <w:rsid w:val="0E103C59"/>
    <w:rsid w:val="1B28788F"/>
    <w:rsid w:val="416B7C26"/>
    <w:rsid w:val="49357B0A"/>
    <w:rsid w:val="4F0B13E0"/>
    <w:rsid w:val="56EC7829"/>
    <w:rsid w:val="660248C5"/>
    <w:rsid w:val="74A013B9"/>
    <w:rsid w:val="7A2E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4382</Words>
  <Characters>4765</Characters>
  <Lines>0</Lines>
  <Paragraphs>0</Paragraphs>
  <TotalTime>53</TotalTime>
  <ScaleCrop>false</ScaleCrop>
  <LinksUpToDate>false</LinksUpToDate>
  <CharactersWithSpaces>4773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2026-08-18T11:25:00Z</dcterms:created>
  <dc:creator>%E5%B7%B4%E5%9B%BE</dc:creator>
  <cp:lastModifiedBy>%E5%B7%B4%E5%9B%BE</cp:lastModifiedBy>
  <dcterms:modified xsi:type="dcterms:W3CDTF">2026-08-27T11:41:33Z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3C937D26DAAF44758D84F109C6AC569E_11</vt:lpwstr>
  </property>
  <property fmtid="{D5CDD505-2E9C-101B-9397-08002B2CF9AE}" pid="4" name="KSOTemplateDocerSaveRecord">
    <vt:lpwstr>eyJoZGlkIjoiNThkNjY1MzE1NjFlOWIzZTQzYTI0ZjVmMWQ3NzlkOTEiLCJ1c2VySWQiOiIyNjIwNzk1NDUifQ==</vt:lpwstr>
  </property>
</Properties>
</file>