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9218673">
      <w:pP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</w:pP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 xml:space="preserve">附件2 </w:t>
      </w:r>
    </w:p>
    <w:p w14:paraId="435DA8C1">
      <w:pPr>
        <w:pStyle w:val="6"/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left="0" w:right="0" w:firstLine="0"/>
        <w:jc w:val="center"/>
        <w:textAlignment w:val="auto"/>
        <w:rPr>
          <w:rFonts w:hint="eastAsia" w:ascii="Times New Roman" w:hAnsi="Times New Roman" w:eastAsia="方正仿宋_GBK" w:cs="Times New Roman"/>
          <w:sz w:val="44"/>
          <w:szCs w:val="44"/>
          <w:lang w:val="en-US" w:eastAsia="zh-CN"/>
        </w:rPr>
      </w:pPr>
    </w:p>
    <w:p w14:paraId="7A53E182">
      <w:pPr>
        <w:pStyle w:val="6"/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left="0" w:right="0" w:firstLine="0"/>
        <w:jc w:val="center"/>
        <w:textAlignment w:val="auto"/>
        <w:rPr>
          <w:rFonts w:hint="eastAsia" w:eastAsia="方正小标宋_GBK"/>
          <w:sz w:val="44"/>
          <w:szCs w:val="44"/>
          <w:lang w:val="en-US" w:eastAsia="zh-CN"/>
        </w:rPr>
      </w:pPr>
      <w:r>
        <w:rPr>
          <w:rFonts w:hint="eastAsia" w:ascii="Times New Roman" w:hAnsi="Times New Roman" w:eastAsia="方正仿宋_GBK" w:cs="Times New Roman"/>
          <w:sz w:val="44"/>
          <w:szCs w:val="44"/>
          <w:lang w:val="en-US" w:eastAsia="zh-CN"/>
        </w:rPr>
        <w:t xml:space="preserve"> </w:t>
      </w:r>
      <w:r>
        <w:rPr>
          <w:rFonts w:hint="eastAsia" w:ascii="方正小标宋_GBK" w:hAnsi="方正小标宋_GBK" w:eastAsia="方正小标宋_GBK" w:cs="方正小标宋_GBK"/>
          <w:i w:val="0"/>
          <w:iCs w:val="0"/>
          <w:caps w:val="0"/>
          <w:spacing w:val="0"/>
          <w:sz w:val="44"/>
          <w:szCs w:val="44"/>
        </w:rPr>
        <w:t>《巴音郭楞蒙古自治州</w:t>
      </w:r>
      <w:r>
        <w:rPr>
          <w:rFonts w:hint="eastAsia" w:ascii="方正小标宋_GBK" w:hAnsi="方正小标宋_GBK" w:eastAsia="方正小标宋_GBK" w:cs="方正小标宋_GBK"/>
          <w:i w:val="0"/>
          <w:iCs w:val="0"/>
          <w:caps w:val="0"/>
          <w:spacing w:val="0"/>
          <w:sz w:val="44"/>
          <w:szCs w:val="44"/>
          <w:lang w:eastAsia="zh-CN"/>
        </w:rPr>
        <w:t>“</w:t>
      </w:r>
      <w:r>
        <w:rPr>
          <w:rFonts w:hint="eastAsia" w:ascii="方正小标宋_GBK" w:hAnsi="方正小标宋_GBK" w:eastAsia="方正小标宋_GBK" w:cs="方正小标宋_GBK"/>
          <w:i w:val="0"/>
          <w:iCs w:val="0"/>
          <w:caps w:val="0"/>
          <w:spacing w:val="0"/>
          <w:sz w:val="44"/>
          <w:szCs w:val="44"/>
          <w:lang w:val="en-US" w:eastAsia="zh-CN"/>
        </w:rPr>
        <w:t>十五五</w:t>
      </w:r>
      <w:r>
        <w:rPr>
          <w:rFonts w:hint="eastAsia" w:ascii="方正小标宋_GBK" w:hAnsi="方正小标宋_GBK" w:eastAsia="方正小标宋_GBK" w:cs="方正小标宋_GBK"/>
          <w:i w:val="0"/>
          <w:iCs w:val="0"/>
          <w:caps w:val="0"/>
          <w:spacing w:val="0"/>
          <w:sz w:val="44"/>
          <w:szCs w:val="44"/>
          <w:lang w:eastAsia="zh-CN"/>
        </w:rPr>
        <w:t>”</w:t>
      </w:r>
      <w:r>
        <w:rPr>
          <w:rFonts w:hint="eastAsia" w:ascii="方正小标宋_GBK" w:hAnsi="方正小标宋_GBK" w:eastAsia="方正小标宋_GBK" w:cs="方正小标宋_GBK"/>
          <w:i w:val="0"/>
          <w:iCs w:val="0"/>
          <w:caps w:val="0"/>
          <w:spacing w:val="0"/>
          <w:sz w:val="44"/>
          <w:szCs w:val="44"/>
        </w:rPr>
        <w:t>文化和旅游暨产业集群发展规划》</w:t>
      </w:r>
      <w:r>
        <w:rPr>
          <w:rFonts w:hint="eastAsia" w:ascii="方正小标宋_GBK" w:hAnsi="方正小标宋_GBK" w:eastAsia="方正小标宋_GBK" w:cs="方正小标宋_GBK"/>
          <w:i w:val="0"/>
          <w:iCs w:val="0"/>
          <w:caps w:val="0"/>
          <w:spacing w:val="0"/>
          <w:sz w:val="44"/>
          <w:szCs w:val="44"/>
          <w:lang w:val="en-US" w:eastAsia="zh-CN"/>
        </w:rPr>
        <w:t>起草说明</w:t>
      </w:r>
    </w:p>
    <w:p w14:paraId="491EEE6F">
      <w:pPr>
        <w:keepNext w:val="0"/>
        <w:keepLines w:val="0"/>
        <w:pageBreakBefore w:val="0"/>
        <w:widowControl w:val="0"/>
        <w:kinsoku/>
        <w:wordWrap/>
        <w:overflowPunct w:val="0"/>
        <w:topLinePunct/>
        <w:autoSpaceDE/>
        <w:autoSpaceDN/>
        <w:bidi w:val="0"/>
        <w:snapToGrid/>
        <w:spacing w:line="560" w:lineRule="exact"/>
        <w:ind w:firstLine="444" w:firstLineChars="200"/>
        <w:textAlignment w:val="auto"/>
        <w:rPr>
          <w:rFonts w:hint="eastAsia" w:ascii="Times New Roman" w:hAnsi="Times New Roman"/>
          <w:spacing w:val="6"/>
          <w:lang w:val="en-US" w:eastAsia="zh-CN"/>
        </w:rPr>
      </w:pPr>
    </w:p>
    <w:p w14:paraId="1A8281E7">
      <w:pPr>
        <w:keepNext w:val="0"/>
        <w:keepLines w:val="0"/>
        <w:pageBreakBefore w:val="0"/>
        <w:widowControl w:val="0"/>
        <w:kinsoku/>
        <w:wordWrap/>
        <w:overflowPunct w:val="0"/>
        <w:topLinePunct/>
        <w:autoSpaceDE/>
        <w:autoSpaceDN/>
        <w:bidi w:val="0"/>
        <w:snapToGrid/>
        <w:spacing w:line="560" w:lineRule="exact"/>
        <w:ind w:firstLine="664" w:firstLineChars="200"/>
        <w:textAlignment w:val="auto"/>
        <w:rPr>
          <w:rFonts w:hint="default" w:ascii="方正黑体_GBK" w:hAnsi="方正黑体_GBK" w:eastAsia="方正黑体_GBK" w:cs="方正黑体_GBK"/>
          <w:spacing w:val="6"/>
          <w:sz w:val="32"/>
          <w:szCs w:val="32"/>
          <w:lang w:val="en-US" w:eastAsia="zh-CN"/>
        </w:rPr>
      </w:pPr>
      <w:r>
        <w:rPr>
          <w:rFonts w:hint="eastAsia" w:ascii="方正黑体_GBK" w:hAnsi="方正黑体_GBK" w:eastAsia="方正黑体_GBK" w:cs="方正黑体_GBK"/>
          <w:spacing w:val="6"/>
          <w:sz w:val="32"/>
          <w:szCs w:val="32"/>
          <w:lang w:val="en-US" w:eastAsia="zh-CN"/>
        </w:rPr>
        <w:t>一、起草背景和意义</w:t>
      </w:r>
    </w:p>
    <w:p w14:paraId="6433C5C9">
      <w:pPr>
        <w:keepNext w:val="0"/>
        <w:keepLines w:val="0"/>
        <w:pageBreakBefore w:val="0"/>
        <w:widowControl w:val="0"/>
        <w:kinsoku/>
        <w:wordWrap/>
        <w:overflowPunct w:val="0"/>
        <w:topLinePunct/>
        <w:autoSpaceDE/>
        <w:autoSpaceDN/>
        <w:bidi w:val="0"/>
        <w:snapToGrid/>
        <w:spacing w:line="560" w:lineRule="exact"/>
        <w:ind w:firstLine="664" w:firstLineChars="200"/>
        <w:textAlignment w:val="auto"/>
        <w:rPr>
          <w:rFonts w:hint="eastAsia" w:ascii="方正仿宋_GBK" w:hAnsi="方正仿宋_GBK" w:eastAsia="方正仿宋_GBK" w:cs="方正仿宋_GBK"/>
          <w:spacing w:val="6"/>
          <w:sz w:val="32"/>
          <w:szCs w:val="32"/>
          <w:lang w:val="en-US" w:eastAsia="zh-CN"/>
        </w:rPr>
      </w:pPr>
      <w:r>
        <w:rPr>
          <w:rFonts w:hint="eastAsia" w:ascii="方正仿宋_GBK" w:hAnsi="方正仿宋_GBK" w:eastAsia="方正仿宋_GBK" w:cs="方正仿宋_GBK"/>
          <w:spacing w:val="6"/>
          <w:sz w:val="32"/>
          <w:szCs w:val="32"/>
          <w:lang w:val="en-US" w:eastAsia="zh-CN"/>
        </w:rPr>
        <w:t>“十五五”时期是我国基本实现社会主义现代化夯实基础、全面发力的关键时期，是巴州</w:t>
      </w:r>
      <w:r>
        <w:rPr>
          <w:rFonts w:hint="eastAsia" w:ascii="方正仿宋_GBK" w:hAnsi="方正仿宋_GBK" w:eastAsia="方正仿宋_GBK" w:cs="方正仿宋_GBK"/>
          <w:spacing w:val="6"/>
          <w:sz w:val="32"/>
          <w:szCs w:val="32"/>
          <w:lang w:val="en-US" w:eastAsia="zh-CN"/>
        </w:rPr>
        <w:fldChar w:fldCharType="begin"/>
      </w:r>
      <w:r>
        <w:rPr>
          <w:rFonts w:hint="eastAsia" w:ascii="方正仿宋_GBK" w:hAnsi="方正仿宋_GBK" w:eastAsia="方正仿宋_GBK" w:cs="方正仿宋_GBK"/>
          <w:spacing w:val="6"/>
          <w:sz w:val="32"/>
          <w:szCs w:val="32"/>
          <w:lang w:val="en-US" w:eastAsia="zh-CN"/>
        </w:rPr>
        <w:instrText xml:space="preserve"> HYPERLINK "https://www.cac.gov.cn/2025-10/28/c_1763423650521464.htm" \t "https://chat.deepseek.com/a/chat/s/_blank" </w:instrText>
      </w:r>
      <w:r>
        <w:rPr>
          <w:rFonts w:hint="eastAsia" w:ascii="方正仿宋_GBK" w:hAnsi="方正仿宋_GBK" w:eastAsia="方正仿宋_GBK" w:cs="方正仿宋_GBK"/>
          <w:spacing w:val="6"/>
          <w:sz w:val="32"/>
          <w:szCs w:val="32"/>
          <w:lang w:val="en-US" w:eastAsia="zh-CN"/>
        </w:rPr>
        <w:fldChar w:fldCharType="separate"/>
      </w:r>
      <w:r>
        <w:rPr>
          <w:rFonts w:hint="eastAsia" w:ascii="方正仿宋_GBK" w:hAnsi="方正仿宋_GBK" w:eastAsia="方正仿宋_GBK" w:cs="方正仿宋_GBK"/>
          <w:spacing w:val="6"/>
          <w:sz w:val="32"/>
          <w:szCs w:val="32"/>
          <w:lang w:val="en-US" w:eastAsia="zh-CN"/>
        </w:rPr>
        <w:fldChar w:fldCharType="end"/>
      </w:r>
      <w:r>
        <w:rPr>
          <w:rFonts w:hint="eastAsia" w:ascii="方正仿宋_GBK" w:hAnsi="方正仿宋_GBK" w:eastAsia="方正仿宋_GBK" w:cs="方正仿宋_GBK"/>
          <w:spacing w:val="6"/>
          <w:sz w:val="32"/>
          <w:szCs w:val="32"/>
          <w:lang w:val="en-US" w:eastAsia="zh-CN"/>
        </w:rPr>
        <w:t>完整准确全面贯彻新发展理念和新时代党的治疆方略，全面推进文化润疆、旅游兴疆的关键五年。科学编制并有效实施《巴音郭楞蒙古自治州“十五五”文化和旅游暨产业集群发展规划》（以下简称《规划》），是扎实推进新时期文化强州、旅游强州建设、深化文旅融合发展、做强“丝路山水·壮美巴州”品牌的关键举措，对于更好发挥文化和旅游在增强人民精神力量、提高人民生活品质、推动全州文旅高质量发展，助力经济社会发展和各民族交往交流交融方面具有重要意义。</w:t>
      </w:r>
    </w:p>
    <w:p w14:paraId="40687FAF">
      <w:pPr>
        <w:pStyle w:val="2"/>
        <w:keepNext w:val="0"/>
        <w:keepLines w:val="0"/>
        <w:pageBreakBefore w:val="0"/>
        <w:widowControl w:val="0"/>
        <w:kinsoku/>
        <w:wordWrap/>
        <w:autoSpaceDE/>
        <w:autoSpaceDN/>
        <w:bidi w:val="0"/>
        <w:snapToGrid/>
        <w:spacing w:line="560" w:lineRule="exact"/>
        <w:textAlignment w:val="auto"/>
        <w:rPr>
          <w:rFonts w:hint="default" w:ascii="方正仿宋_GBK" w:hAnsi="方正仿宋_GBK" w:eastAsia="方正仿宋_GBK" w:cs="方正仿宋_GBK"/>
          <w:lang w:val="en-US" w:eastAsia="zh-CN"/>
        </w:rPr>
      </w:pPr>
      <w:r>
        <w:rPr>
          <w:rFonts w:hint="eastAsia" w:ascii="方正仿宋_GBK" w:hAnsi="方正仿宋_GBK" w:cs="方正仿宋_GBK"/>
          <w:spacing w:val="6"/>
          <w:sz w:val="32"/>
          <w:szCs w:val="32"/>
          <w:lang w:val="en-US" w:eastAsia="zh-CN"/>
        </w:rPr>
        <w:t xml:space="preserve"> 本《规划》主要根据</w:t>
      </w:r>
      <w:r>
        <w:rPr>
          <w:rFonts w:hint="eastAsia" w:ascii="方正仿宋_GBK" w:hAnsi="方正仿宋_GBK" w:eastAsia="方正仿宋_GBK" w:cs="方正仿宋_GBK"/>
          <w:spacing w:val="6"/>
          <w:sz w:val="32"/>
          <w:szCs w:val="32"/>
          <w:lang w:val="en-US" w:eastAsia="zh-CN"/>
        </w:rPr>
        <w:t>《旅游强国建设“十五五”规划》《新疆维吾尔自治区文化和旅游产业集</w:t>
      </w:r>
      <w:r>
        <w:rPr>
          <w:rFonts w:hint="default" w:ascii="Times New Roman" w:hAnsi="Times New Roman" w:eastAsia="方正仿宋_GBK" w:cs="Times New Roman"/>
          <w:spacing w:val="6"/>
          <w:sz w:val="32"/>
          <w:szCs w:val="32"/>
          <w:lang w:val="en-US" w:eastAsia="zh-CN"/>
        </w:rPr>
        <w:t>群发展规划（2025—2030年）</w:t>
      </w:r>
      <w:r>
        <w:rPr>
          <w:rFonts w:hint="eastAsia" w:ascii="方正仿宋_GBK" w:hAnsi="方正仿宋_GBK" w:eastAsia="方正仿宋_GBK" w:cs="方正仿宋_GBK"/>
          <w:spacing w:val="6"/>
          <w:sz w:val="32"/>
          <w:szCs w:val="32"/>
          <w:lang w:val="en-US" w:eastAsia="zh-CN"/>
        </w:rPr>
        <w:t>》《新疆维吾尔自治区“十五五”文化和旅游发展规划》</w:t>
      </w:r>
      <w:r>
        <w:rPr>
          <w:rFonts w:hint="eastAsia" w:ascii="方正仿宋_GBK" w:hAnsi="方正仿宋_GBK" w:cs="方正仿宋_GBK"/>
          <w:spacing w:val="6"/>
          <w:sz w:val="32"/>
          <w:szCs w:val="32"/>
          <w:lang w:val="en-US" w:eastAsia="zh-CN"/>
        </w:rPr>
        <w:t>和《巴音郭楞蒙古自治州国民经济和社会发展第十五个五年规划纲要》编制。立足巴州文化和旅游发展实际，总结发展成就，研判新阶段面临的机遇与挑战，明确“十五五”时期巴州文化和旅游发展的方向目标、任务举措与保障措施，是推动巴州文化事业、文化产业和旅游业在“十五五”时期高质量发展的纲领性指导文件。</w:t>
      </w:r>
    </w:p>
    <w:p w14:paraId="5FBCABD5">
      <w:pPr>
        <w:keepNext w:val="0"/>
        <w:keepLines w:val="0"/>
        <w:pageBreakBefore w:val="0"/>
        <w:widowControl w:val="0"/>
        <w:kinsoku/>
        <w:wordWrap/>
        <w:overflowPunct w:val="0"/>
        <w:topLinePunct/>
        <w:autoSpaceDE/>
        <w:autoSpaceDN/>
        <w:bidi w:val="0"/>
        <w:snapToGrid/>
        <w:spacing w:line="560" w:lineRule="exact"/>
        <w:ind w:firstLine="664" w:firstLineChars="200"/>
        <w:textAlignment w:val="auto"/>
        <w:rPr>
          <w:rFonts w:hint="default" w:ascii="方正黑体_GBK" w:hAnsi="方正黑体_GBK" w:eastAsia="方正黑体_GBK" w:cs="方正黑体_GBK"/>
          <w:spacing w:val="6"/>
          <w:sz w:val="32"/>
          <w:szCs w:val="32"/>
          <w:lang w:val="en-US" w:eastAsia="zh-CN"/>
        </w:rPr>
      </w:pPr>
      <w:r>
        <w:rPr>
          <w:rFonts w:hint="eastAsia" w:ascii="方正黑体_GBK" w:hAnsi="方正黑体_GBK" w:eastAsia="方正黑体_GBK" w:cs="方正黑体_GBK"/>
          <w:spacing w:val="6"/>
          <w:sz w:val="32"/>
          <w:szCs w:val="32"/>
          <w:lang w:val="en-US" w:eastAsia="zh-CN"/>
        </w:rPr>
        <w:t>二</w:t>
      </w:r>
      <w:r>
        <w:rPr>
          <w:rFonts w:hint="default" w:ascii="方正黑体_GBK" w:hAnsi="方正黑体_GBK" w:eastAsia="方正黑体_GBK" w:cs="方正黑体_GBK"/>
          <w:spacing w:val="6"/>
          <w:sz w:val="32"/>
          <w:szCs w:val="32"/>
          <w:lang w:val="en-US" w:eastAsia="zh-CN"/>
        </w:rPr>
        <w:t>、起草过程</w:t>
      </w:r>
    </w:p>
    <w:p w14:paraId="45EF296F">
      <w:pPr>
        <w:keepNext w:val="0"/>
        <w:keepLines w:val="0"/>
        <w:pageBreakBefore w:val="0"/>
        <w:widowControl w:val="0"/>
        <w:kinsoku/>
        <w:wordWrap/>
        <w:overflowPunct w:val="0"/>
        <w:topLinePunct/>
        <w:autoSpaceDE/>
        <w:autoSpaceDN/>
        <w:bidi w:val="0"/>
        <w:snapToGrid/>
        <w:spacing w:line="560" w:lineRule="exact"/>
        <w:ind w:firstLine="667" w:firstLineChars="200"/>
        <w:textAlignment w:val="auto"/>
        <w:rPr>
          <w:rFonts w:hint="default"/>
          <w:lang w:val="en-US" w:eastAsia="zh-CN"/>
        </w:rPr>
      </w:pPr>
      <w:r>
        <w:rPr>
          <w:rFonts w:hint="default" w:ascii="Times New Roman" w:hAnsi="Times New Roman" w:eastAsia="方正仿宋_GBK" w:cs="Times New Roman"/>
          <w:b/>
          <w:bCs/>
          <w:spacing w:val="6"/>
          <w:sz w:val="32"/>
          <w:szCs w:val="32"/>
          <w:lang w:val="en-US" w:eastAsia="zh-CN"/>
        </w:rPr>
        <w:t>一是强化专班统筹推进。</w:t>
      </w:r>
      <w:r>
        <w:rPr>
          <w:rFonts w:hint="eastAsia" w:ascii="Times New Roman" w:hAnsi="Times New Roman" w:eastAsia="方正仿宋_GBK" w:cs="Times New Roman"/>
          <w:b w:val="0"/>
          <w:bCs w:val="0"/>
          <w:spacing w:val="6"/>
          <w:sz w:val="32"/>
          <w:szCs w:val="32"/>
          <w:lang w:val="en-US" w:eastAsia="zh-CN"/>
        </w:rPr>
        <w:t>州文旅局于2025年8月启动编制工作，</w:t>
      </w:r>
      <w:r>
        <w:rPr>
          <w:rFonts w:hint="default" w:ascii="Times New Roman" w:hAnsi="Times New Roman" w:eastAsia="方正仿宋_GBK" w:cs="Times New Roman"/>
          <w:spacing w:val="6"/>
          <w:sz w:val="32"/>
          <w:szCs w:val="32"/>
          <w:lang w:val="en-US" w:eastAsia="zh-CN"/>
        </w:rPr>
        <w:t>成立局主要领导牵头的规划编制专班</w:t>
      </w:r>
      <w:r>
        <w:rPr>
          <w:rFonts w:hint="eastAsia" w:ascii="Times New Roman" w:hAnsi="Times New Roman" w:eastAsia="方正仿宋_GBK" w:cs="Times New Roman"/>
          <w:spacing w:val="6"/>
          <w:sz w:val="32"/>
          <w:szCs w:val="32"/>
          <w:lang w:val="en-US" w:eastAsia="zh-CN"/>
        </w:rPr>
        <w:t>，</w:t>
      </w:r>
      <w:r>
        <w:rPr>
          <w:rFonts w:hint="default" w:ascii="Times New Roman" w:hAnsi="Times New Roman" w:eastAsia="方正仿宋_GBK" w:cs="Times New Roman"/>
          <w:spacing w:val="6"/>
          <w:sz w:val="32"/>
          <w:szCs w:val="32"/>
          <w:lang w:val="en-US" w:eastAsia="zh-CN"/>
        </w:rPr>
        <w:t>细化工作分工、明确时间节点</w:t>
      </w:r>
      <w:r>
        <w:rPr>
          <w:rFonts w:hint="eastAsia" w:ascii="Times New Roman" w:hAnsi="Times New Roman" w:eastAsia="方正仿宋_GBK" w:cs="Times New Roman"/>
          <w:spacing w:val="6"/>
          <w:sz w:val="32"/>
          <w:szCs w:val="32"/>
          <w:lang w:val="en-US" w:eastAsia="zh-CN"/>
        </w:rPr>
        <w:t>，先后主持召开“十五五”规划编制专题会议4次，实时听取进展汇报，</w:t>
      </w:r>
      <w:r>
        <w:rPr>
          <w:rFonts w:hint="default" w:ascii="Times New Roman" w:hAnsi="Times New Roman" w:eastAsia="方正仿宋_GBK" w:cs="Times New Roman"/>
          <w:spacing w:val="6"/>
          <w:sz w:val="32"/>
          <w:szCs w:val="32"/>
          <w:lang w:val="en-US" w:eastAsia="zh-CN"/>
        </w:rPr>
        <w:t>确保编制方向、进度、质量可控。</w:t>
      </w:r>
    </w:p>
    <w:p w14:paraId="3589920F">
      <w:pPr>
        <w:keepNext w:val="0"/>
        <w:keepLines w:val="0"/>
        <w:pageBreakBefore w:val="0"/>
        <w:widowControl w:val="0"/>
        <w:kinsoku/>
        <w:wordWrap/>
        <w:overflowPunct w:val="0"/>
        <w:topLinePunct/>
        <w:autoSpaceDE/>
        <w:autoSpaceDN/>
        <w:bidi w:val="0"/>
        <w:snapToGrid/>
        <w:spacing w:line="560" w:lineRule="exact"/>
        <w:ind w:firstLine="667" w:firstLineChars="200"/>
        <w:textAlignment w:val="auto"/>
        <w:rPr>
          <w:rFonts w:hint="default" w:ascii="Times New Roman" w:hAnsi="Times New Roman" w:eastAsia="方正仿宋_GBK" w:cs="Times New Roman"/>
          <w:spacing w:val="6"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仿宋_GBK" w:cs="Times New Roman"/>
          <w:b/>
          <w:bCs/>
          <w:spacing w:val="6"/>
          <w:sz w:val="32"/>
          <w:szCs w:val="32"/>
          <w:lang w:val="en-US" w:eastAsia="zh-CN"/>
        </w:rPr>
        <w:t>二是扎实开展调研工作。</w:t>
      </w:r>
      <w:r>
        <w:rPr>
          <w:rFonts w:hint="default" w:ascii="Times New Roman" w:hAnsi="Times New Roman" w:eastAsia="方正仿宋_GBK" w:cs="Times New Roman"/>
          <w:spacing w:val="6"/>
          <w:sz w:val="32"/>
          <w:szCs w:val="32"/>
          <w:lang w:val="en-US" w:eastAsia="zh-CN"/>
        </w:rPr>
        <w:t>由州文旅局带队</w:t>
      </w:r>
      <w:r>
        <w:rPr>
          <w:rFonts w:hint="eastAsia" w:ascii="Times New Roman" w:hAnsi="Times New Roman" w:eastAsia="方正仿宋_GBK" w:cs="Times New Roman"/>
          <w:spacing w:val="6"/>
          <w:sz w:val="32"/>
          <w:szCs w:val="32"/>
          <w:lang w:val="en-US" w:eastAsia="zh-CN"/>
        </w:rPr>
        <w:t>，</w:t>
      </w:r>
      <w:r>
        <w:rPr>
          <w:rFonts w:hint="default" w:ascii="Times New Roman" w:hAnsi="Times New Roman" w:eastAsia="方正仿宋_GBK" w:cs="Times New Roman"/>
          <w:spacing w:val="6"/>
          <w:sz w:val="32"/>
          <w:szCs w:val="32"/>
          <w:lang w:val="en-US" w:eastAsia="zh-CN"/>
        </w:rPr>
        <w:t>规划编制专班参与</w:t>
      </w:r>
      <w:r>
        <w:rPr>
          <w:rFonts w:hint="eastAsia" w:ascii="Times New Roman" w:hAnsi="Times New Roman" w:eastAsia="方正仿宋_GBK" w:cs="Times New Roman"/>
          <w:spacing w:val="6"/>
          <w:sz w:val="32"/>
          <w:szCs w:val="32"/>
          <w:lang w:val="en-US" w:eastAsia="zh-CN"/>
        </w:rPr>
        <w:t>，</w:t>
      </w:r>
      <w:r>
        <w:rPr>
          <w:rFonts w:hint="default" w:ascii="Times New Roman" w:hAnsi="Times New Roman" w:eastAsia="方正仿宋_GBK" w:cs="Times New Roman"/>
          <w:spacing w:val="6"/>
          <w:sz w:val="32"/>
          <w:szCs w:val="32"/>
          <w:lang w:val="en-US" w:eastAsia="zh-CN"/>
        </w:rPr>
        <w:t>历时16天</w:t>
      </w:r>
      <w:r>
        <w:rPr>
          <w:rFonts w:hint="eastAsia" w:ascii="Times New Roman" w:hAnsi="Times New Roman" w:eastAsia="方正仿宋_GBK" w:cs="Times New Roman"/>
          <w:spacing w:val="6"/>
          <w:sz w:val="32"/>
          <w:szCs w:val="32"/>
          <w:lang w:val="en-US" w:eastAsia="zh-CN"/>
        </w:rPr>
        <w:t>、</w:t>
      </w:r>
      <w:r>
        <w:rPr>
          <w:rFonts w:hint="default" w:ascii="Times New Roman" w:hAnsi="Times New Roman" w:eastAsia="方正仿宋_GBK" w:cs="Times New Roman"/>
          <w:spacing w:val="6"/>
          <w:sz w:val="32"/>
          <w:szCs w:val="32"/>
          <w:lang w:val="en-US" w:eastAsia="zh-CN"/>
        </w:rPr>
        <w:t>行程5040公里</w:t>
      </w:r>
      <w:r>
        <w:rPr>
          <w:rFonts w:hint="eastAsia" w:ascii="Times New Roman" w:hAnsi="Times New Roman" w:eastAsia="方正仿宋_GBK" w:cs="Times New Roman"/>
          <w:spacing w:val="6"/>
          <w:sz w:val="32"/>
          <w:szCs w:val="32"/>
          <w:lang w:val="en-US" w:eastAsia="zh-CN"/>
        </w:rPr>
        <w:t>，</w:t>
      </w:r>
      <w:r>
        <w:rPr>
          <w:rFonts w:hint="default" w:ascii="Times New Roman" w:hAnsi="Times New Roman" w:eastAsia="方正仿宋_GBK" w:cs="Times New Roman"/>
          <w:spacing w:val="6"/>
          <w:sz w:val="32"/>
          <w:szCs w:val="32"/>
          <w:lang w:val="en-US" w:eastAsia="zh-CN"/>
        </w:rPr>
        <w:t>深入全州实地调研景区景点、文博场馆</w:t>
      </w:r>
      <w:r>
        <w:rPr>
          <w:rFonts w:hint="eastAsia" w:ascii="Times New Roman" w:hAnsi="Times New Roman" w:eastAsia="方正仿宋_GBK" w:cs="Times New Roman"/>
          <w:spacing w:val="6"/>
          <w:sz w:val="32"/>
          <w:szCs w:val="32"/>
          <w:lang w:val="en-US" w:eastAsia="zh-CN"/>
        </w:rPr>
        <w:t>、乡村旅游点、文旅企业</w:t>
      </w:r>
      <w:r>
        <w:rPr>
          <w:rFonts w:hint="default" w:ascii="Times New Roman" w:hAnsi="Times New Roman" w:eastAsia="方正仿宋_GBK" w:cs="Times New Roman"/>
          <w:spacing w:val="6"/>
          <w:sz w:val="32"/>
          <w:szCs w:val="32"/>
          <w:lang w:val="en-US" w:eastAsia="zh-CN"/>
        </w:rPr>
        <w:t>及重点项目</w:t>
      </w:r>
      <w:r>
        <w:rPr>
          <w:rFonts w:hint="eastAsia" w:ascii="Times New Roman" w:hAnsi="Times New Roman" w:eastAsia="方正仿宋_GBK" w:cs="Times New Roman"/>
          <w:spacing w:val="6"/>
          <w:sz w:val="32"/>
          <w:szCs w:val="32"/>
          <w:lang w:val="en-US" w:eastAsia="zh-CN"/>
        </w:rPr>
        <w:t>，</w:t>
      </w:r>
      <w:r>
        <w:rPr>
          <w:rFonts w:hint="default" w:ascii="Times New Roman" w:hAnsi="Times New Roman" w:eastAsia="方正仿宋_GBK" w:cs="Times New Roman"/>
          <w:spacing w:val="6"/>
          <w:sz w:val="32"/>
          <w:szCs w:val="32"/>
          <w:lang w:val="en-US" w:eastAsia="zh-CN"/>
        </w:rPr>
        <w:t>召</w:t>
      </w:r>
      <w:r>
        <w:rPr>
          <w:rFonts w:hint="eastAsia" w:ascii="Times New Roman" w:hAnsi="Times New Roman" w:eastAsia="方正仿宋_GBK" w:cs="Times New Roman"/>
          <w:spacing w:val="6"/>
          <w:sz w:val="32"/>
          <w:szCs w:val="32"/>
          <w:lang w:val="en-US" w:eastAsia="zh-CN"/>
        </w:rPr>
        <w:t>开多</w:t>
      </w:r>
      <w:r>
        <w:rPr>
          <w:rFonts w:hint="default" w:ascii="Times New Roman" w:hAnsi="Times New Roman" w:eastAsia="方正仿宋_GBK" w:cs="Times New Roman"/>
          <w:spacing w:val="6"/>
          <w:sz w:val="32"/>
          <w:szCs w:val="32"/>
          <w:lang w:val="en-US" w:eastAsia="zh-CN"/>
        </w:rPr>
        <w:t>层级座</w:t>
      </w:r>
      <w:r>
        <w:rPr>
          <w:rFonts w:hint="eastAsia" w:ascii="Times New Roman" w:hAnsi="Times New Roman" w:eastAsia="方正仿宋_GBK" w:cs="Times New Roman"/>
          <w:spacing w:val="6"/>
          <w:sz w:val="32"/>
          <w:szCs w:val="32"/>
          <w:lang w:val="en-US" w:eastAsia="zh-CN"/>
        </w:rPr>
        <w:t>谈</w:t>
      </w:r>
      <w:r>
        <w:rPr>
          <w:rFonts w:hint="default" w:ascii="Times New Roman" w:hAnsi="Times New Roman" w:eastAsia="方正仿宋_GBK" w:cs="Times New Roman"/>
          <w:spacing w:val="6"/>
          <w:sz w:val="32"/>
          <w:szCs w:val="32"/>
          <w:lang w:val="en-US" w:eastAsia="zh-CN"/>
        </w:rPr>
        <w:t>会</w:t>
      </w:r>
      <w:r>
        <w:rPr>
          <w:rFonts w:hint="eastAsia" w:ascii="Times New Roman" w:hAnsi="Times New Roman" w:eastAsia="方正仿宋_GBK" w:cs="Times New Roman"/>
          <w:spacing w:val="6"/>
          <w:sz w:val="32"/>
          <w:szCs w:val="32"/>
          <w:lang w:val="en-US" w:eastAsia="zh-CN"/>
        </w:rPr>
        <w:t>，完</w:t>
      </w:r>
      <w:r>
        <w:rPr>
          <w:rFonts w:hint="default" w:ascii="Times New Roman" w:hAnsi="Times New Roman" w:eastAsia="方正仿宋_GBK" w:cs="Times New Roman"/>
          <w:spacing w:val="6"/>
          <w:sz w:val="32"/>
          <w:szCs w:val="32"/>
          <w:lang w:val="en-US" w:eastAsia="zh-CN"/>
        </w:rPr>
        <w:t>成资料</w:t>
      </w:r>
      <w:r>
        <w:rPr>
          <w:rFonts w:hint="eastAsia" w:ascii="Times New Roman" w:hAnsi="Times New Roman" w:eastAsia="方正仿宋_GBK" w:cs="Times New Roman"/>
          <w:spacing w:val="6"/>
          <w:sz w:val="32"/>
          <w:szCs w:val="32"/>
          <w:lang w:val="en-US" w:eastAsia="zh-CN"/>
        </w:rPr>
        <w:t>收集。2025年10月21日</w:t>
      </w:r>
      <w:r>
        <w:rPr>
          <w:rFonts w:hint="default" w:ascii="Times New Roman" w:hAnsi="Times New Roman" w:eastAsia="方正仿宋_GBK" w:cs="Times New Roman"/>
          <w:spacing w:val="6"/>
          <w:sz w:val="32"/>
          <w:szCs w:val="32"/>
          <w:lang w:val="en-US" w:eastAsia="zh-CN"/>
        </w:rPr>
        <w:t>州分管</w:t>
      </w:r>
      <w:r>
        <w:rPr>
          <w:rFonts w:hint="eastAsia" w:ascii="Times New Roman" w:hAnsi="Times New Roman" w:eastAsia="方正仿宋_GBK" w:cs="Times New Roman"/>
          <w:spacing w:val="6"/>
          <w:sz w:val="32"/>
          <w:szCs w:val="32"/>
          <w:lang w:val="en-US" w:eastAsia="zh-CN"/>
        </w:rPr>
        <w:t>领导主持召开规划思路汇报会，</w:t>
      </w:r>
      <w:r>
        <w:rPr>
          <w:rFonts w:hint="default" w:ascii="Times New Roman" w:hAnsi="Times New Roman" w:eastAsia="方正仿宋_GBK" w:cs="Times New Roman"/>
          <w:spacing w:val="6"/>
          <w:sz w:val="32"/>
          <w:szCs w:val="32"/>
          <w:lang w:val="en-US" w:eastAsia="zh-CN"/>
        </w:rPr>
        <w:t>听取调研情况与初步思路</w:t>
      </w:r>
      <w:r>
        <w:rPr>
          <w:rFonts w:hint="eastAsia" w:ascii="Times New Roman" w:hAnsi="Times New Roman" w:eastAsia="方正仿宋_GBK" w:cs="Times New Roman"/>
          <w:spacing w:val="6"/>
          <w:sz w:val="32"/>
          <w:szCs w:val="32"/>
          <w:lang w:val="en-US" w:eastAsia="zh-CN"/>
        </w:rPr>
        <w:t>，</w:t>
      </w:r>
      <w:r>
        <w:rPr>
          <w:rFonts w:hint="default" w:ascii="Times New Roman" w:hAnsi="Times New Roman" w:eastAsia="方正仿宋_GBK" w:cs="Times New Roman"/>
          <w:spacing w:val="6"/>
          <w:sz w:val="32"/>
          <w:szCs w:val="32"/>
          <w:lang w:val="en-US" w:eastAsia="zh-CN"/>
        </w:rPr>
        <w:t>州直部门提出建议、明确方向与重点任</w:t>
      </w:r>
      <w:bookmarkStart w:id="0" w:name="_GoBack"/>
      <w:bookmarkEnd w:id="0"/>
      <w:r>
        <w:rPr>
          <w:rFonts w:hint="default" w:ascii="Times New Roman" w:hAnsi="Times New Roman" w:eastAsia="方正仿宋_GBK" w:cs="Times New Roman"/>
          <w:spacing w:val="6"/>
          <w:sz w:val="32"/>
          <w:szCs w:val="32"/>
          <w:lang w:val="en-US" w:eastAsia="zh-CN"/>
        </w:rPr>
        <w:t>务。</w:t>
      </w:r>
    </w:p>
    <w:p w14:paraId="656C8415">
      <w:pPr>
        <w:keepNext w:val="0"/>
        <w:keepLines w:val="0"/>
        <w:pageBreakBefore w:val="0"/>
        <w:widowControl w:val="0"/>
        <w:kinsoku/>
        <w:wordWrap/>
        <w:overflowPunct w:val="0"/>
        <w:topLinePunct/>
        <w:autoSpaceDE/>
        <w:autoSpaceDN/>
        <w:bidi w:val="0"/>
        <w:snapToGrid/>
        <w:spacing w:line="560" w:lineRule="exact"/>
        <w:ind w:firstLine="667" w:firstLineChars="200"/>
        <w:textAlignment w:val="auto"/>
        <w:rPr>
          <w:rFonts w:hint="default" w:ascii="Times New Roman" w:hAnsi="Times New Roman" w:eastAsia="方正仿宋_GBK" w:cs="Times New Roman"/>
          <w:spacing w:val="6"/>
          <w:sz w:val="32"/>
          <w:szCs w:val="32"/>
          <w:lang w:val="en-US" w:eastAsia="zh-CN"/>
        </w:rPr>
      </w:pPr>
      <w:r>
        <w:rPr>
          <w:rFonts w:hint="eastAsia" w:ascii="Times New Roman" w:hAnsi="Times New Roman" w:eastAsia="方正仿宋_GBK" w:cs="Times New Roman"/>
          <w:b/>
          <w:bCs/>
          <w:spacing w:val="6"/>
          <w:sz w:val="32"/>
          <w:szCs w:val="32"/>
          <w:lang w:val="en-US" w:eastAsia="zh-CN"/>
        </w:rPr>
        <w:t>三是广泛征求各方意见。</w:t>
      </w:r>
      <w:r>
        <w:rPr>
          <w:rFonts w:hint="default" w:ascii="Times New Roman" w:hAnsi="Times New Roman" w:eastAsia="方正仿宋_GBK" w:cs="Times New Roman"/>
          <w:spacing w:val="6"/>
          <w:sz w:val="32"/>
          <w:szCs w:val="32"/>
          <w:lang w:val="en-US" w:eastAsia="zh-CN"/>
        </w:rPr>
        <w:t>先后4次书面征求各县市人民政府、州直相关部门及部分文旅企业意见，共收到反馈意见180条，采纳157条，部分采纳17条，未采纳6条并说明了理由。</w:t>
      </w:r>
      <w:r>
        <w:rPr>
          <w:rFonts w:hint="eastAsia" w:ascii="Times New Roman" w:hAnsi="Times New Roman" w:eastAsia="方正仿宋_GBK" w:cs="Times New Roman"/>
          <w:spacing w:val="6"/>
          <w:sz w:val="32"/>
          <w:szCs w:val="32"/>
          <w:lang w:val="en-US" w:eastAsia="zh-CN"/>
        </w:rPr>
        <w:t xml:space="preserve"> 同步对接自治区文旅厅相关处室，做好上位规划衔接，</w:t>
      </w:r>
      <w:r>
        <w:rPr>
          <w:rFonts w:hint="eastAsia" w:ascii="Times New Roman" w:hAnsi="Times New Roman" w:eastAsia="方正仿宋_GBK" w:cs="Times New Roman"/>
          <w:color w:val="auto"/>
          <w:spacing w:val="6"/>
          <w:sz w:val="32"/>
          <w:szCs w:val="32"/>
          <w:lang w:val="en-US" w:eastAsia="zh-CN"/>
        </w:rPr>
        <w:t>2026年8月4日州党委、政府分管领导听取规划编制情况汇报，提出修改建议，确保规划内容合规可行、贴合实际。</w:t>
      </w:r>
    </w:p>
    <w:p w14:paraId="0C45CB22">
      <w:pPr>
        <w:pStyle w:val="2"/>
        <w:keepNext w:val="0"/>
        <w:keepLines w:val="0"/>
        <w:pageBreakBefore w:val="0"/>
        <w:widowControl w:val="0"/>
        <w:kinsoku/>
        <w:wordWrap/>
        <w:autoSpaceDE/>
        <w:autoSpaceDN/>
        <w:bidi w:val="0"/>
        <w:snapToGrid/>
        <w:spacing w:line="560" w:lineRule="exact"/>
        <w:textAlignment w:val="auto"/>
        <w:rPr>
          <w:rFonts w:hint="eastAsia" w:ascii="方正黑体_GBK" w:hAnsi="方正黑体_GBK" w:eastAsia="方正黑体_GBK" w:cs="方正黑体_GBK"/>
          <w:lang w:val="en-US" w:eastAsia="zh-CN"/>
        </w:rPr>
      </w:pPr>
      <w:r>
        <w:rPr>
          <w:rFonts w:hint="eastAsia" w:ascii="方正黑体_GBK" w:hAnsi="方正黑体_GBK" w:eastAsia="方正黑体_GBK" w:cs="方正黑体_GBK"/>
          <w:spacing w:val="6"/>
          <w:sz w:val="32"/>
          <w:szCs w:val="32"/>
          <w:lang w:val="en-US" w:eastAsia="zh-CN"/>
        </w:rPr>
        <w:t>三、主要内容</w:t>
      </w:r>
    </w:p>
    <w:p w14:paraId="4F9A0530">
      <w:pPr>
        <w:keepNext w:val="0"/>
        <w:keepLines w:val="0"/>
        <w:pageBreakBefore w:val="0"/>
        <w:widowControl w:val="0"/>
        <w:kinsoku/>
        <w:wordWrap/>
        <w:overflowPunct w:val="0"/>
        <w:topLinePunct/>
        <w:autoSpaceDE/>
        <w:autoSpaceDN/>
        <w:bidi w:val="0"/>
        <w:snapToGrid/>
        <w:spacing w:line="560" w:lineRule="exact"/>
        <w:ind w:firstLine="664" w:firstLineChars="200"/>
        <w:textAlignment w:val="auto"/>
        <w:rPr>
          <w:rFonts w:hint="default" w:ascii="Times New Roman" w:hAnsi="Times New Roman" w:eastAsia="方正仿宋_GBK" w:cs="Times New Roman"/>
          <w:spacing w:val="6"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仿宋_GBK" w:cs="Times New Roman"/>
          <w:spacing w:val="6"/>
          <w:sz w:val="32"/>
          <w:szCs w:val="32"/>
          <w:lang w:val="en-US" w:eastAsia="zh-CN"/>
        </w:rPr>
        <w:t>《规划》共</w:t>
      </w:r>
      <w:r>
        <w:rPr>
          <w:rFonts w:hint="eastAsia" w:ascii="Times New Roman" w:hAnsi="Times New Roman" w:eastAsia="方正仿宋_GBK" w:cs="Times New Roman"/>
          <w:spacing w:val="6"/>
          <w:sz w:val="32"/>
          <w:szCs w:val="32"/>
          <w:lang w:val="en-US" w:eastAsia="zh-CN"/>
        </w:rPr>
        <w:t>四</w:t>
      </w:r>
      <w:r>
        <w:rPr>
          <w:rFonts w:hint="default" w:ascii="Times New Roman" w:hAnsi="Times New Roman" w:eastAsia="方正仿宋_GBK" w:cs="Times New Roman"/>
          <w:spacing w:val="6"/>
          <w:sz w:val="32"/>
          <w:szCs w:val="32"/>
          <w:lang w:val="en-US" w:eastAsia="zh-CN"/>
        </w:rPr>
        <w:t>部分、</w:t>
      </w:r>
      <w:r>
        <w:rPr>
          <w:rFonts w:hint="eastAsia" w:ascii="Times New Roman" w:hAnsi="Times New Roman" w:eastAsia="方正仿宋_GBK" w:cs="Times New Roman"/>
          <w:spacing w:val="6"/>
          <w:sz w:val="32"/>
          <w:szCs w:val="32"/>
          <w:lang w:val="en-US" w:eastAsia="zh-CN"/>
        </w:rPr>
        <w:t>十九</w:t>
      </w:r>
      <w:r>
        <w:rPr>
          <w:rFonts w:hint="default" w:ascii="Times New Roman" w:hAnsi="Times New Roman" w:eastAsia="方正仿宋_GBK" w:cs="Times New Roman"/>
          <w:spacing w:val="6"/>
          <w:sz w:val="32"/>
          <w:szCs w:val="32"/>
          <w:lang w:val="en-US" w:eastAsia="zh-CN"/>
        </w:rPr>
        <w:t>节。</w:t>
      </w:r>
      <w:r>
        <w:rPr>
          <w:rFonts w:hint="eastAsia" w:ascii="Times New Roman" w:hAnsi="Times New Roman" w:eastAsia="方正仿宋_GBK" w:cs="Times New Roman"/>
          <w:b/>
          <w:bCs/>
          <w:spacing w:val="6"/>
          <w:sz w:val="32"/>
          <w:szCs w:val="32"/>
          <w:lang w:val="en-US" w:eastAsia="zh-CN"/>
        </w:rPr>
        <w:t>第一章</w:t>
      </w:r>
      <w:r>
        <w:rPr>
          <w:rFonts w:hint="eastAsia" w:ascii="Times New Roman" w:hAnsi="Times New Roman" w:eastAsia="方正仿宋_GBK" w:cs="Times New Roman"/>
          <w:b w:val="0"/>
          <w:bCs w:val="0"/>
          <w:spacing w:val="6"/>
          <w:sz w:val="32"/>
          <w:szCs w:val="32"/>
          <w:lang w:val="en-US" w:eastAsia="zh-CN"/>
        </w:rPr>
        <w:t>为</w:t>
      </w:r>
      <w:r>
        <w:rPr>
          <w:rFonts w:hint="default" w:ascii="Times New Roman" w:hAnsi="Times New Roman" w:eastAsia="方正仿宋_GBK" w:cs="Times New Roman"/>
          <w:spacing w:val="6"/>
          <w:sz w:val="32"/>
          <w:szCs w:val="32"/>
          <w:lang w:val="en-US" w:eastAsia="zh-CN"/>
        </w:rPr>
        <w:t>发展环境</w:t>
      </w:r>
      <w:r>
        <w:rPr>
          <w:rFonts w:hint="eastAsia" w:ascii="方正仿宋_GBK" w:hAnsi="方正仿宋_GBK" w:eastAsia="方正仿宋_GBK" w:cs="方正仿宋_GBK"/>
          <w:spacing w:val="6"/>
          <w:sz w:val="32"/>
          <w:szCs w:val="32"/>
          <w:lang w:val="en-US" w:eastAsia="zh-CN"/>
        </w:rPr>
        <w:t>，总结“十四五”时期成就、分析机遇挑战</w:t>
      </w:r>
      <w:r>
        <w:rPr>
          <w:rFonts w:hint="default" w:ascii="Times New Roman" w:hAnsi="Times New Roman" w:eastAsia="方正仿宋_GBK" w:cs="Times New Roman"/>
          <w:spacing w:val="6"/>
          <w:sz w:val="32"/>
          <w:szCs w:val="32"/>
          <w:lang w:val="en-US" w:eastAsia="zh-CN"/>
        </w:rPr>
        <w:t>；</w:t>
      </w:r>
      <w:r>
        <w:rPr>
          <w:rFonts w:hint="eastAsia" w:ascii="Times New Roman" w:hAnsi="Times New Roman" w:eastAsia="方正仿宋_GBK" w:cs="Times New Roman"/>
          <w:b/>
          <w:bCs/>
          <w:spacing w:val="6"/>
          <w:sz w:val="32"/>
          <w:szCs w:val="32"/>
          <w:lang w:val="en-US" w:eastAsia="zh-CN"/>
        </w:rPr>
        <w:t>第二章</w:t>
      </w:r>
      <w:r>
        <w:rPr>
          <w:rFonts w:hint="eastAsia" w:ascii="Times New Roman" w:hAnsi="Times New Roman" w:eastAsia="方正仿宋_GBK" w:cs="Times New Roman"/>
          <w:b w:val="0"/>
          <w:bCs w:val="0"/>
          <w:spacing w:val="6"/>
          <w:sz w:val="32"/>
          <w:szCs w:val="32"/>
          <w:lang w:val="en-US" w:eastAsia="zh-CN"/>
        </w:rPr>
        <w:t>为</w:t>
      </w:r>
      <w:r>
        <w:rPr>
          <w:rFonts w:hint="default" w:ascii="Times New Roman" w:hAnsi="Times New Roman" w:eastAsia="方正仿宋_GBK" w:cs="Times New Roman"/>
          <w:spacing w:val="6"/>
          <w:sz w:val="32"/>
          <w:szCs w:val="32"/>
          <w:lang w:val="en-US" w:eastAsia="zh-CN"/>
        </w:rPr>
        <w:t>总体要求，明确指导思想、基本原则和</w:t>
      </w:r>
      <w:r>
        <w:rPr>
          <w:rFonts w:hint="eastAsia" w:ascii="Times New Roman" w:hAnsi="Times New Roman" w:eastAsia="方正仿宋_GBK" w:cs="Times New Roman"/>
          <w:spacing w:val="6"/>
          <w:sz w:val="32"/>
          <w:szCs w:val="32"/>
          <w:lang w:val="en-US" w:eastAsia="zh-CN"/>
        </w:rPr>
        <w:t>发展</w:t>
      </w:r>
      <w:r>
        <w:rPr>
          <w:rFonts w:hint="default" w:ascii="Times New Roman" w:hAnsi="Times New Roman" w:eastAsia="方正仿宋_GBK" w:cs="Times New Roman"/>
          <w:spacing w:val="6"/>
          <w:sz w:val="32"/>
          <w:szCs w:val="32"/>
          <w:lang w:val="en-US" w:eastAsia="zh-CN"/>
        </w:rPr>
        <w:t>目标；</w:t>
      </w:r>
      <w:r>
        <w:rPr>
          <w:rFonts w:hint="default" w:ascii="Times New Roman" w:hAnsi="Times New Roman" w:eastAsia="方正仿宋_GBK" w:cs="Times New Roman"/>
          <w:b/>
          <w:bCs/>
          <w:spacing w:val="6"/>
          <w:sz w:val="32"/>
          <w:szCs w:val="32"/>
          <w:lang w:val="en-US" w:eastAsia="zh-CN"/>
        </w:rPr>
        <w:t>第</w:t>
      </w:r>
      <w:r>
        <w:rPr>
          <w:rFonts w:hint="eastAsia" w:ascii="Times New Roman" w:hAnsi="Times New Roman" w:eastAsia="方正仿宋_GBK" w:cs="Times New Roman"/>
          <w:b/>
          <w:bCs/>
          <w:spacing w:val="6"/>
          <w:sz w:val="32"/>
          <w:szCs w:val="32"/>
          <w:lang w:val="en-US" w:eastAsia="zh-CN"/>
        </w:rPr>
        <w:t>三章</w:t>
      </w:r>
      <w:r>
        <w:rPr>
          <w:rFonts w:hint="default" w:ascii="Times New Roman" w:hAnsi="Times New Roman" w:eastAsia="方正仿宋_GBK" w:cs="Times New Roman"/>
          <w:spacing w:val="6"/>
          <w:sz w:val="32"/>
          <w:szCs w:val="32"/>
          <w:lang w:val="en-US" w:eastAsia="zh-CN"/>
        </w:rPr>
        <w:t>为主要任务，涵盖文化双创赋能文化润疆、文旅融合促进行稳致远、产业集群与布局优化、全面提振文化旅游消费、讲好巴州文化旅游故事、提升旅游公共服务水平、全面提升文旅治理效能、坚持保护与发展相得益彰；</w:t>
      </w:r>
      <w:r>
        <w:rPr>
          <w:rFonts w:hint="default" w:ascii="Times New Roman" w:hAnsi="Times New Roman" w:eastAsia="方正仿宋_GBK" w:cs="Times New Roman"/>
          <w:b/>
          <w:bCs/>
          <w:spacing w:val="6"/>
          <w:sz w:val="32"/>
          <w:szCs w:val="32"/>
          <w:lang w:val="en-US" w:eastAsia="zh-CN"/>
        </w:rPr>
        <w:t>第</w:t>
      </w:r>
      <w:r>
        <w:rPr>
          <w:rFonts w:hint="eastAsia" w:ascii="Times New Roman" w:hAnsi="Times New Roman" w:eastAsia="方正仿宋_GBK" w:cs="Times New Roman"/>
          <w:b/>
          <w:bCs/>
          <w:spacing w:val="6"/>
          <w:sz w:val="32"/>
          <w:szCs w:val="32"/>
          <w:lang w:val="en-US" w:eastAsia="zh-CN"/>
        </w:rPr>
        <w:t>四章</w:t>
      </w:r>
      <w:r>
        <w:rPr>
          <w:rFonts w:hint="eastAsia" w:ascii="Times New Roman" w:hAnsi="Times New Roman" w:eastAsia="方正仿宋_GBK" w:cs="Times New Roman"/>
          <w:b w:val="0"/>
          <w:bCs w:val="0"/>
          <w:spacing w:val="6"/>
          <w:sz w:val="32"/>
          <w:szCs w:val="32"/>
          <w:lang w:val="en-US" w:eastAsia="zh-CN"/>
        </w:rPr>
        <w:t>为</w:t>
      </w:r>
      <w:r>
        <w:rPr>
          <w:rFonts w:hint="default" w:ascii="Times New Roman" w:hAnsi="Times New Roman" w:eastAsia="方正仿宋_GBK" w:cs="Times New Roman"/>
          <w:spacing w:val="6"/>
          <w:sz w:val="32"/>
          <w:szCs w:val="32"/>
          <w:lang w:val="en-US" w:eastAsia="zh-CN"/>
        </w:rPr>
        <w:t>保障体系与组织实施，明确加强组织实施</w:t>
      </w:r>
      <w:r>
        <w:rPr>
          <w:rFonts w:hint="eastAsia" w:ascii="Times New Roman" w:hAnsi="Times New Roman" w:eastAsia="方正仿宋_GBK" w:cs="Times New Roman"/>
          <w:spacing w:val="6"/>
          <w:sz w:val="32"/>
          <w:szCs w:val="32"/>
          <w:lang w:val="en-US" w:eastAsia="zh-CN"/>
        </w:rPr>
        <w:t>、加大财税支持、完善用地保障、强化人才支撑、加强规划衔接、严格规划评估</w:t>
      </w:r>
      <w:r>
        <w:rPr>
          <w:rFonts w:hint="default" w:ascii="Times New Roman" w:hAnsi="Times New Roman" w:eastAsia="方正仿宋_GBK" w:cs="Times New Roman"/>
          <w:spacing w:val="6"/>
          <w:sz w:val="32"/>
          <w:szCs w:val="32"/>
          <w:lang w:val="en-US" w:eastAsia="zh-CN"/>
        </w:rPr>
        <w:t>。</w:t>
      </w:r>
    </w:p>
    <w:p w14:paraId="1A8DDF9F">
      <w:pPr>
        <w:keepNext w:val="0"/>
        <w:keepLines w:val="0"/>
        <w:pageBreakBefore w:val="0"/>
        <w:widowControl w:val="0"/>
        <w:kinsoku/>
        <w:wordWrap/>
        <w:autoSpaceDE/>
        <w:autoSpaceDN/>
        <w:bidi w:val="0"/>
        <w:snapToGrid/>
        <w:spacing w:line="560" w:lineRule="exact"/>
        <w:textAlignment w:val="auto"/>
        <w:rPr>
          <w:rFonts w:hint="default" w:ascii="Times New Roman" w:hAnsi="Times New Roman" w:eastAsia="方正仿宋_GBK" w:cs="Times New Roman"/>
          <w:spacing w:val="6"/>
          <w:sz w:val="32"/>
          <w:szCs w:val="32"/>
        </w:rPr>
      </w:pPr>
    </w:p>
    <w:p w14:paraId="5C97D3D8">
      <w:pPr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</w:pPr>
    </w:p>
    <w:sectPr>
      <w:footerReference r:id="rId3" w:type="default"/>
      <w:pgSz w:w="11906" w:h="16838"/>
      <w:pgMar w:top="1871" w:right="1531" w:bottom="1984" w:left="1531" w:header="851" w:footer="992" w:gutter="0"/>
      <w:pgNumType w:fmt="decimal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仿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黑体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Segoe UI Emoji">
    <w:panose1 w:val="020B0502040204020203"/>
    <w:charset w:val="00"/>
    <w:family w:val="auto"/>
    <w:pitch w:val="default"/>
    <w:sig w:usb0="00000001" w:usb1="02000000" w:usb2="08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68B33C7">
    <w:pPr>
      <w:pStyle w:val="4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60317D6C">
                          <w:pPr>
                            <w:pStyle w:val="4"/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60317D6C">
                    <w:pPr>
                      <w:pStyle w:val="4"/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</w:pP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t>1</w: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3A076F1"/>
    <w:rsid w:val="04723211"/>
    <w:rsid w:val="070103DE"/>
    <w:rsid w:val="0E812106"/>
    <w:rsid w:val="126B7053"/>
    <w:rsid w:val="381D3F51"/>
    <w:rsid w:val="511A6579"/>
    <w:rsid w:val="53A076F1"/>
    <w:rsid w:val="584720E0"/>
    <w:rsid w:val="60C11CDB"/>
    <w:rsid w:val="66C31AC3"/>
    <w:rsid w:val="6948274E"/>
    <w:rsid w:val="749679D6"/>
    <w:rsid w:val="786848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8">
    <w:name w:val="Default Paragraph Font"/>
    <w:semiHidden/>
    <w:qFormat/>
    <w:uiPriority w:val="0"/>
  </w:style>
  <w:style w:type="table" w:default="1" w:styleId="7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Body Text First Indent 2"/>
    <w:next w:val="3"/>
    <w:qFormat/>
    <w:uiPriority w:val="0"/>
    <w:pPr>
      <w:widowControl w:val="0"/>
      <w:overflowPunct w:val="0"/>
      <w:topLinePunct/>
      <w:autoSpaceDN/>
      <w:adjustRightInd w:val="0"/>
      <w:ind w:firstLine="420"/>
      <w:jc w:val="both"/>
    </w:pPr>
    <w:rPr>
      <w:rFonts w:hint="eastAsia" w:ascii="Times New Roman" w:hAnsi="Times New Roman" w:eastAsia="方正仿宋_GBK" w:cs="Times New Roman"/>
      <w:snapToGrid w:val="0"/>
      <w:spacing w:val="6"/>
      <w:kern w:val="0"/>
      <w:sz w:val="32"/>
      <w:szCs w:val="32"/>
      <w:lang w:val="en-US" w:eastAsia="zh-CN" w:bidi="ar-SA"/>
    </w:rPr>
  </w:style>
  <w:style w:type="paragraph" w:customStyle="1" w:styleId="3">
    <w:name w:val="Body Text Indent"/>
    <w:next w:val="1"/>
    <w:qFormat/>
    <w:uiPriority w:val="0"/>
    <w:pPr>
      <w:widowControl w:val="0"/>
      <w:overflowPunct w:val="0"/>
      <w:topLinePunct/>
      <w:autoSpaceDN/>
      <w:adjustRightInd w:val="0"/>
      <w:ind w:firstLine="630"/>
      <w:jc w:val="both"/>
    </w:pPr>
    <w:rPr>
      <w:rFonts w:hint="eastAsia" w:ascii="Times New Roman" w:hAnsi="Times New Roman" w:eastAsia="方正仿宋_GBK" w:cs="Times New Roman"/>
      <w:snapToGrid w:val="0"/>
      <w:spacing w:val="6"/>
      <w:kern w:val="0"/>
      <w:sz w:val="32"/>
      <w:szCs w:val="32"/>
      <w:lang w:val="en-US" w:eastAsia="zh-CN" w:bidi="ar-SA"/>
    </w:rPr>
  </w:style>
  <w:style w:type="paragraph" w:styleId="4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5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6">
    <w:name w:val="Normal (Web)"/>
    <w:basedOn w:val="1"/>
    <w:qFormat/>
    <w:uiPriority w:val="0"/>
    <w:rPr>
      <w:sz w:val="24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1092</Words>
  <Characters>1117</Characters>
  <Lines>0</Lines>
  <Paragraphs>0</Paragraphs>
  <TotalTime>15</TotalTime>
  <ScaleCrop>false</ScaleCrop>
  <LinksUpToDate>false</LinksUpToDate>
  <CharactersWithSpaces>1122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2026-08-03T11:19:00Z</dcterms:created>
  <dc:creator>SECEN</dc:creator>
  <cp:lastModifiedBy>SECEN</cp:lastModifiedBy>
  <dcterms:modified xsi:type="dcterms:W3CDTF">2026-08-10T08:58:06Z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54B6A61398A44C1CAB0D2F2B69E081A5_11</vt:lpwstr>
  </property>
  <property fmtid="{D5CDD505-2E9C-101B-9397-08002B2CF9AE}" pid="4" name="KSOTemplateDocerSaveRecord">
    <vt:lpwstr>eyJoZGlkIjoiZjU4MjE5OWNlNDg4Y2E5ZmNjNzRiNDYwM2I0M2UyNzgiLCJ1c2VySWQiOiIzMDY2NjA5MjQifQ==</vt:lpwstr>
  </property>
</Properties>
</file>