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316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jc w:val="both"/>
        <w:textAlignment w:val="top"/>
        <w:rPr>
          <w:rStyle w:val="11"/>
          <w:rFonts w:hint="eastAsia" w:ascii="方正黑体_GBK" w:hAnsi="方正黑体_GBK" w:eastAsia="方正黑体_GBK" w:cs="方正黑体_GBK"/>
          <w:b w:val="0"/>
          <w:bCs w:val="0"/>
          <w:spacing w:val="-2"/>
          <w:kern w:val="0"/>
          <w:sz w:val="28"/>
          <w:szCs w:val="28"/>
          <w:highlight w:val="none"/>
          <w:vertAlign w:val="baseline"/>
          <w:lang w:val="en-US" w:eastAsia="zh-CN" w:bidi="ar"/>
        </w:rPr>
      </w:pPr>
      <w:r>
        <w:rPr>
          <w:rStyle w:val="11"/>
          <w:rFonts w:hint="eastAsia" w:ascii="方正黑体_GBK" w:hAnsi="方正黑体_GBK" w:eastAsia="方正黑体_GBK" w:cs="方正黑体_GBK"/>
          <w:b w:val="0"/>
          <w:bCs w:val="0"/>
          <w:spacing w:val="-2"/>
          <w:kern w:val="0"/>
          <w:sz w:val="28"/>
          <w:szCs w:val="28"/>
          <w:highlight w:val="none"/>
          <w:vertAlign w:val="baseline"/>
          <w:lang w:val="en-US" w:eastAsia="zh-CN" w:bidi="ar"/>
        </w:rPr>
        <w:t>附件</w:t>
      </w:r>
    </w:p>
    <w:p w14:paraId="58F0C18E">
      <w:pPr>
        <w:pStyle w:val="4"/>
        <w:rPr>
          <w:rFonts w:hint="default"/>
          <w:lang w:val="en-US" w:eastAsia="zh-CN"/>
        </w:rPr>
      </w:pPr>
    </w:p>
    <w:p w14:paraId="1BB306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jc w:val="center"/>
        <w:textAlignment w:val="top"/>
        <w:rPr>
          <w:rStyle w:val="11"/>
          <w:rFonts w:hint="default" w:ascii="Times New Roman" w:hAnsi="Times New Roman" w:eastAsia="方正小标宋简体" w:cs="Times New Roman"/>
          <w:b w:val="0"/>
          <w:bCs w:val="0"/>
          <w:spacing w:val="-2"/>
          <w:kern w:val="0"/>
          <w:sz w:val="44"/>
          <w:szCs w:val="44"/>
          <w:highlight w:val="none"/>
          <w:vertAlign w:val="baseline"/>
          <w:lang w:val="en-US" w:eastAsia="zh-CN" w:bidi="ar"/>
        </w:rPr>
      </w:pPr>
      <w:r>
        <w:rPr>
          <w:rStyle w:val="11"/>
          <w:rFonts w:hint="eastAsia" w:ascii="Times New Roman" w:hAnsi="Times New Roman" w:eastAsia="方正小标宋简体" w:cs="Times New Roman"/>
          <w:b w:val="0"/>
          <w:bCs w:val="0"/>
          <w:spacing w:val="-2"/>
          <w:kern w:val="0"/>
          <w:sz w:val="44"/>
          <w:szCs w:val="44"/>
          <w:highlight w:val="none"/>
          <w:vertAlign w:val="baseline"/>
          <w:lang w:val="en-US" w:eastAsia="zh-CN" w:bidi="ar"/>
        </w:rPr>
        <w:t>巴音郭楞蒙古自治州</w:t>
      </w:r>
      <w:r>
        <w:rPr>
          <w:rStyle w:val="11"/>
          <w:rFonts w:hint="default" w:ascii="Times New Roman" w:hAnsi="Times New Roman" w:eastAsia="方正小标宋简体" w:cs="Times New Roman"/>
          <w:b w:val="0"/>
          <w:bCs w:val="0"/>
          <w:spacing w:val="-2"/>
          <w:kern w:val="0"/>
          <w:sz w:val="44"/>
          <w:szCs w:val="44"/>
          <w:highlight w:val="none"/>
          <w:vertAlign w:val="baseline"/>
          <w:lang w:val="en-US" w:eastAsia="zh-CN" w:bidi="ar"/>
        </w:rPr>
        <w:t>发明专利和高价值发明</w:t>
      </w:r>
    </w:p>
    <w:p w14:paraId="139DC1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jc w:val="center"/>
        <w:textAlignment w:val="top"/>
        <w:rPr>
          <w:rStyle w:val="11"/>
          <w:rFonts w:hint="default" w:ascii="Times New Roman" w:hAnsi="Times New Roman" w:eastAsia="方正小标宋简体" w:cs="Times New Roman"/>
          <w:b w:val="0"/>
          <w:bCs w:val="0"/>
          <w:spacing w:val="-2"/>
          <w:kern w:val="0"/>
          <w:sz w:val="44"/>
          <w:szCs w:val="44"/>
          <w:highlight w:val="none"/>
          <w:vertAlign w:val="baseline"/>
          <w:lang w:val="en-US" w:eastAsia="zh-CN" w:bidi="ar"/>
        </w:rPr>
      </w:pPr>
      <w:r>
        <w:rPr>
          <w:rStyle w:val="11"/>
          <w:rFonts w:hint="default" w:ascii="Times New Roman" w:hAnsi="Times New Roman" w:eastAsia="方正小标宋简体" w:cs="Times New Roman"/>
          <w:b w:val="0"/>
          <w:bCs w:val="0"/>
          <w:spacing w:val="-2"/>
          <w:kern w:val="0"/>
          <w:sz w:val="44"/>
          <w:szCs w:val="44"/>
          <w:highlight w:val="none"/>
          <w:vertAlign w:val="baseline"/>
          <w:lang w:val="en-US" w:eastAsia="zh-CN" w:bidi="ar"/>
        </w:rPr>
        <w:t>专利提升行动方案</w:t>
      </w:r>
      <w:r>
        <w:rPr>
          <w:rStyle w:val="11"/>
          <w:rFonts w:hint="eastAsia" w:ascii="Times New Roman" w:hAnsi="Times New Roman" w:eastAsia="方正小标宋简体" w:cs="Times New Roman"/>
          <w:b w:val="0"/>
          <w:bCs w:val="0"/>
          <w:spacing w:val="-2"/>
          <w:kern w:val="0"/>
          <w:sz w:val="44"/>
          <w:szCs w:val="44"/>
          <w:highlight w:val="none"/>
          <w:vertAlign w:val="baseline"/>
          <w:lang w:val="en-US" w:eastAsia="zh-CN" w:bidi="ar"/>
        </w:rPr>
        <w:t>（2026—2028年）</w:t>
      </w:r>
    </w:p>
    <w:p w14:paraId="5586C4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jc w:val="center"/>
        <w:textAlignment w:val="top"/>
        <w:rPr>
          <w:rStyle w:val="11"/>
          <w:rFonts w:hint="default" w:ascii="Times New Roman" w:hAnsi="Times New Roman" w:eastAsia="方正小标宋简体" w:cs="Times New Roman"/>
          <w:b w:val="0"/>
          <w:bCs w:val="0"/>
          <w:spacing w:val="-2"/>
          <w:kern w:val="0"/>
          <w:sz w:val="44"/>
          <w:szCs w:val="44"/>
          <w:highlight w:val="none"/>
          <w:vertAlign w:val="baseline"/>
          <w:lang w:val="en-US" w:eastAsia="zh-CN" w:bidi="ar"/>
        </w:rPr>
      </w:pPr>
      <w:r>
        <w:rPr>
          <w:rStyle w:val="11"/>
          <w:rFonts w:hint="eastAsia" w:ascii="Times New Roman" w:hAnsi="Times New Roman" w:eastAsia="方正小标宋简体" w:cs="Times New Roman"/>
          <w:b w:val="0"/>
          <w:bCs w:val="0"/>
          <w:spacing w:val="-2"/>
          <w:kern w:val="0"/>
          <w:sz w:val="44"/>
          <w:szCs w:val="44"/>
          <w:highlight w:val="none"/>
          <w:vertAlign w:val="baseline"/>
          <w:lang w:val="en-US" w:eastAsia="zh-CN" w:bidi="ar"/>
        </w:rPr>
        <w:t>（征求意见稿）</w:t>
      </w:r>
    </w:p>
    <w:p w14:paraId="0E8766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p>
    <w:p w14:paraId="31D3C3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为</w:t>
      </w:r>
      <w:r>
        <w:rPr>
          <w:rFonts w:hint="eastAsia" w:ascii="Times New Roman" w:hAnsi="Times New Roman" w:eastAsia="方正仿宋_GBK" w:cs="Times New Roman"/>
          <w:sz w:val="32"/>
          <w:szCs w:val="32"/>
          <w:highlight w:val="none"/>
          <w:lang w:val="en-US" w:eastAsia="zh-CN"/>
        </w:rPr>
        <w:t>认真贯彻《知识产权强国建设纲要（2021—2035年）》，</w:t>
      </w:r>
      <w:r>
        <w:rPr>
          <w:rFonts w:hint="default" w:ascii="Times New Roman" w:hAnsi="Times New Roman" w:eastAsia="方正仿宋_GBK" w:cs="Times New Roman"/>
          <w:sz w:val="32"/>
          <w:szCs w:val="32"/>
          <w:highlight w:val="none"/>
          <w:lang w:val="en-US" w:eastAsia="zh-CN"/>
        </w:rPr>
        <w:t>全面提升我</w:t>
      </w:r>
      <w:r>
        <w:rPr>
          <w:rFonts w:hint="eastAsia" w:ascii="Times New Roman" w:hAnsi="Times New Roman" w:eastAsia="方正仿宋_GBK" w:cs="Times New Roman"/>
          <w:sz w:val="32"/>
          <w:szCs w:val="32"/>
          <w:highlight w:val="none"/>
          <w:lang w:val="en-US" w:eastAsia="zh-CN"/>
        </w:rPr>
        <w:t>州</w:t>
      </w:r>
      <w:r>
        <w:rPr>
          <w:rFonts w:hint="default" w:ascii="Times New Roman" w:hAnsi="Times New Roman" w:eastAsia="方正仿宋_GBK" w:cs="Times New Roman"/>
          <w:sz w:val="32"/>
          <w:szCs w:val="32"/>
          <w:highlight w:val="none"/>
          <w:lang w:val="en-US" w:eastAsia="zh-CN"/>
        </w:rPr>
        <w:t>知识产权综合实力，大力激发全社会创新活力，特</w:t>
      </w:r>
      <w:r>
        <w:rPr>
          <w:rFonts w:hint="default" w:ascii="Times New Roman" w:hAnsi="Times New Roman" w:eastAsia="方正仿宋_GBK" w:cs="Times New Roman"/>
          <w:sz w:val="32"/>
          <w:szCs w:val="32"/>
          <w:highlight w:val="none"/>
        </w:rPr>
        <w:t>制定本方案。</w:t>
      </w:r>
    </w:p>
    <w:p w14:paraId="703B00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一、主要目标</w:t>
      </w:r>
    </w:p>
    <w:p w14:paraId="7CDDE2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到20</w:t>
      </w:r>
      <w:r>
        <w:rPr>
          <w:rFonts w:hint="eastAsia" w:ascii="Times New Roman" w:hAnsi="Times New Roman" w:eastAsia="方正仿宋_GBK" w:cs="Times New Roman"/>
          <w:sz w:val="32"/>
          <w:szCs w:val="32"/>
          <w:highlight w:val="none"/>
          <w:lang w:val="en-US" w:eastAsia="zh-CN"/>
        </w:rPr>
        <w:t>28</w:t>
      </w:r>
      <w:r>
        <w:rPr>
          <w:rFonts w:hint="default" w:ascii="Times New Roman" w:hAnsi="Times New Roman" w:eastAsia="方正仿宋_GBK" w:cs="Times New Roman"/>
          <w:sz w:val="32"/>
          <w:szCs w:val="32"/>
          <w:highlight w:val="none"/>
          <w:lang w:val="en-US" w:eastAsia="zh-CN"/>
        </w:rPr>
        <w:t>年，</w:t>
      </w:r>
      <w:r>
        <w:rPr>
          <w:rFonts w:hint="eastAsia" w:ascii="Times New Roman" w:hAnsi="Times New Roman" w:eastAsia="方正仿宋_GBK" w:cs="Times New Roman"/>
          <w:sz w:val="32"/>
          <w:szCs w:val="32"/>
          <w:highlight w:val="none"/>
          <w:lang w:val="en-US" w:eastAsia="zh-CN"/>
        </w:rPr>
        <w:t>我州知识产权综合竞争</w:t>
      </w:r>
      <w:r>
        <w:rPr>
          <w:rFonts w:hint="default" w:ascii="Times New Roman" w:hAnsi="Times New Roman" w:eastAsia="方正仿宋_GBK" w:cs="Times New Roman"/>
          <w:sz w:val="32"/>
          <w:szCs w:val="32"/>
          <w:highlight w:val="none"/>
          <w:lang w:val="en-US" w:eastAsia="zh-CN"/>
        </w:rPr>
        <w:t>力跻身</w:t>
      </w:r>
      <w:r>
        <w:rPr>
          <w:rFonts w:hint="eastAsia" w:ascii="Times New Roman" w:hAnsi="Times New Roman" w:eastAsia="方正仿宋_GBK" w:cs="Times New Roman"/>
          <w:sz w:val="32"/>
          <w:szCs w:val="32"/>
          <w:highlight w:val="none"/>
          <w:lang w:val="en-US" w:eastAsia="zh-CN"/>
        </w:rPr>
        <w:t>全区</w:t>
      </w:r>
      <w:r>
        <w:rPr>
          <w:rFonts w:hint="default" w:ascii="Times New Roman" w:hAnsi="Times New Roman" w:eastAsia="方正仿宋_GBK" w:cs="Times New Roman"/>
          <w:sz w:val="32"/>
          <w:szCs w:val="32"/>
          <w:highlight w:val="none"/>
          <w:lang w:val="en-US" w:eastAsia="zh-CN"/>
        </w:rPr>
        <w:t>前列，知识产权制度系统完备，知识产权促进创新创业蓬勃发展，</w:t>
      </w:r>
      <w:r>
        <w:rPr>
          <w:rFonts w:hint="default" w:ascii="Times New Roman" w:hAnsi="Times New Roman" w:eastAsia="方正仿宋_GBK" w:cs="Times New Roman"/>
          <w:sz w:val="32"/>
          <w:szCs w:val="32"/>
          <w:highlight w:val="none"/>
        </w:rPr>
        <w:t>发明专利</w:t>
      </w:r>
      <w:r>
        <w:rPr>
          <w:rFonts w:hint="eastAsia" w:ascii="Times New Roman" w:hAnsi="Times New Roman" w:eastAsia="方正仿宋_GBK" w:cs="Times New Roman"/>
          <w:sz w:val="32"/>
          <w:szCs w:val="32"/>
          <w:highlight w:val="none"/>
          <w:lang w:val="en-US" w:eastAsia="zh-CN"/>
        </w:rPr>
        <w:t>和</w:t>
      </w:r>
      <w:r>
        <w:rPr>
          <w:rFonts w:hint="default" w:ascii="Times New Roman" w:hAnsi="Times New Roman" w:eastAsia="方正仿宋_GBK" w:cs="Times New Roman"/>
          <w:sz w:val="32"/>
          <w:szCs w:val="32"/>
          <w:highlight w:val="none"/>
        </w:rPr>
        <w:t>高价值发明专利年增速不低于10%。</w:t>
      </w:r>
    </w:p>
    <w:p w14:paraId="4F7ED4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二</w:t>
      </w:r>
      <w:r>
        <w:rPr>
          <w:rFonts w:hint="default" w:ascii="Times New Roman" w:hAnsi="Times New Roman" w:eastAsia="黑体" w:cs="Times New Roman"/>
          <w:sz w:val="32"/>
          <w:szCs w:val="32"/>
          <w:highlight w:val="none"/>
        </w:rPr>
        <w:t>、重点任务</w:t>
      </w:r>
    </w:p>
    <w:p w14:paraId="611CAC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trike w:val="0"/>
          <w:dstrike w:val="0"/>
          <w:sz w:val="32"/>
          <w:szCs w:val="32"/>
          <w:highlight w:val="none"/>
        </w:rPr>
      </w:pPr>
      <w:r>
        <w:rPr>
          <w:rFonts w:hint="eastAsia" w:ascii="方正楷体_GB2312" w:hAnsi="方正楷体_GB2312" w:eastAsia="方正楷体_GB2312" w:cs="方正楷体_GB2312"/>
          <w:sz w:val="32"/>
          <w:szCs w:val="32"/>
          <w:highlight w:val="none"/>
        </w:rPr>
        <w:t>（一）</w:t>
      </w:r>
      <w:r>
        <w:rPr>
          <w:rFonts w:hint="eastAsia" w:ascii="方正楷体_GB2312" w:hAnsi="方正楷体_GB2312" w:eastAsia="方正楷体_GB2312" w:cs="方正楷体_GB2312"/>
          <w:strike w:val="0"/>
          <w:dstrike w:val="0"/>
          <w:sz w:val="32"/>
          <w:szCs w:val="32"/>
          <w:highlight w:val="none"/>
        </w:rPr>
        <w:t>营造开放包容、积极活跃的知识产权人才发展环境。</w:t>
      </w:r>
    </w:p>
    <w:p w14:paraId="3F5D54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1.完善知识产权人才评价与激励体系</w:t>
      </w:r>
      <w:r>
        <w:rPr>
          <w:rFonts w:hint="eastAsia" w:ascii="Times New Roman" w:hAnsi="Times New Roman" w:eastAsia="方正仿宋_GBK" w:cs="Times New Roman"/>
          <w:b/>
          <w:bCs/>
          <w:sz w:val="32"/>
          <w:szCs w:val="32"/>
          <w:highlight w:val="none"/>
          <w:lang w:eastAsia="zh-CN"/>
        </w:rPr>
        <w:t>。</w:t>
      </w:r>
      <w:r>
        <w:rPr>
          <w:rFonts w:hint="default" w:ascii="Times New Roman" w:hAnsi="Times New Roman" w:eastAsia="方正仿宋_GBK" w:cs="Times New Roman"/>
          <w:sz w:val="32"/>
          <w:szCs w:val="32"/>
          <w:highlight w:val="none"/>
        </w:rPr>
        <w:t>畅通经济系列知识产权专业职称评审通道，强化对企事业单位知识产权人才的专业认定与激励支持</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指导企事业单位（包括技术性事业单位、国有企业、科研院所、高职院校及医疗卫生机构等）健全内部绩效考核机制，突出以创新为核心的价值导向。</w:t>
      </w:r>
    </w:p>
    <w:p w14:paraId="55E311B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b/>
          <w:bCs/>
          <w:sz w:val="32"/>
          <w:szCs w:val="32"/>
          <w:highlight w:val="none"/>
          <w:lang w:val="en-US" w:eastAsia="zh-CN"/>
        </w:rPr>
        <w:t>2</w:t>
      </w:r>
      <w:r>
        <w:rPr>
          <w:rFonts w:hint="default" w:ascii="Times New Roman" w:hAnsi="Times New Roman" w:eastAsia="方正仿宋_GBK" w:cs="Times New Roman"/>
          <w:b/>
          <w:bCs/>
          <w:sz w:val="32"/>
          <w:szCs w:val="32"/>
          <w:highlight w:val="none"/>
        </w:rPr>
        <w:t>.落实人才引进培育政策。</w:t>
      </w:r>
      <w:r>
        <w:rPr>
          <w:rFonts w:hint="default" w:ascii="Times New Roman" w:hAnsi="Times New Roman" w:eastAsia="方正仿宋_GBK" w:cs="Times New Roman"/>
          <w:sz w:val="32"/>
          <w:szCs w:val="32"/>
          <w:highlight w:val="none"/>
        </w:rPr>
        <w:t>在实施“科技创新引才</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重点行业领域引才”“巴州特需专业人才项目”时，加大知识产权相关领域人才引进和培养的扶持力度。支持符合条件的知识产权服务机构及人才申报自治区级重点人才项目。探索将知识产权领域优秀</w:t>
      </w:r>
      <w:r>
        <w:rPr>
          <w:rFonts w:hint="eastAsia" w:ascii="Times New Roman" w:hAnsi="Times New Roman" w:eastAsia="方正仿宋_GBK" w:cs="Times New Roman"/>
          <w:sz w:val="32"/>
          <w:szCs w:val="32"/>
          <w:highlight w:val="none"/>
          <w:lang w:val="en-US" w:eastAsia="zh-CN"/>
        </w:rPr>
        <w:t>专家</w:t>
      </w:r>
      <w:r>
        <w:rPr>
          <w:rFonts w:hint="default" w:ascii="Times New Roman" w:hAnsi="Times New Roman" w:eastAsia="方正仿宋_GBK" w:cs="Times New Roman"/>
          <w:sz w:val="32"/>
          <w:szCs w:val="32"/>
          <w:highlight w:val="none"/>
        </w:rPr>
        <w:t>纳入领导干部联系服务的范围。</w:t>
      </w:r>
    </w:p>
    <w:p w14:paraId="47A6F4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ascii="方正楷体_GB2312" w:hAnsi="方正楷体_GB2312" w:eastAsia="方正楷体_GB2312" w:cs="方正楷体_GB2312"/>
          <w:sz w:val="32"/>
          <w:szCs w:val="32"/>
          <w:highlight w:val="none"/>
        </w:rPr>
        <w:t>（</w:t>
      </w:r>
      <w:r>
        <w:rPr>
          <w:rFonts w:hint="eastAsia" w:ascii="方正楷体_GB2312" w:hAnsi="方正楷体_GB2312" w:eastAsia="方正楷体_GB2312" w:cs="方正楷体_GB2312"/>
          <w:sz w:val="32"/>
          <w:szCs w:val="32"/>
          <w:highlight w:val="none"/>
          <w:lang w:val="en-US" w:eastAsia="zh-CN"/>
        </w:rPr>
        <w:t>二</w:t>
      </w:r>
      <w:r>
        <w:rPr>
          <w:rFonts w:hint="eastAsia" w:ascii="方正楷体_GB2312" w:hAnsi="方正楷体_GB2312" w:eastAsia="方正楷体_GB2312" w:cs="方正楷体_GB2312"/>
          <w:sz w:val="32"/>
          <w:szCs w:val="32"/>
          <w:highlight w:val="none"/>
        </w:rPr>
        <w:t>）</w:t>
      </w:r>
      <w:r>
        <w:rPr>
          <w:rFonts w:hint="eastAsia" w:ascii="方正楷体_GB2312" w:hAnsi="方正楷体_GB2312" w:eastAsia="方正楷体_GB2312" w:cs="方正楷体_GB2312"/>
          <w:strike w:val="0"/>
          <w:dstrike w:val="0"/>
          <w:sz w:val="32"/>
          <w:szCs w:val="32"/>
          <w:highlight w:val="none"/>
        </w:rPr>
        <w:t>构建公正合理、评估科学的政策</w:t>
      </w:r>
      <w:r>
        <w:rPr>
          <w:rFonts w:hint="eastAsia" w:ascii="方正楷体_GB2312" w:hAnsi="方正楷体_GB2312" w:eastAsia="方正楷体_GB2312" w:cs="方正楷体_GB2312"/>
          <w:strike w:val="0"/>
          <w:dstrike w:val="0"/>
          <w:sz w:val="32"/>
          <w:szCs w:val="32"/>
          <w:highlight w:val="none"/>
          <w:lang w:val="en-US" w:eastAsia="zh-CN"/>
        </w:rPr>
        <w:t>支持</w:t>
      </w:r>
      <w:r>
        <w:rPr>
          <w:rFonts w:hint="eastAsia" w:ascii="方正楷体_GB2312" w:hAnsi="方正楷体_GB2312" w:eastAsia="方正楷体_GB2312" w:cs="方正楷体_GB2312"/>
          <w:strike w:val="0"/>
          <w:dstrike w:val="0"/>
          <w:sz w:val="32"/>
          <w:szCs w:val="32"/>
          <w:highlight w:val="none"/>
        </w:rPr>
        <w:t>体系。</w:t>
      </w:r>
    </w:p>
    <w:p w14:paraId="63CF30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3" w:firstLineChars="200"/>
        <w:jc w:val="left"/>
        <w:textAlignment w:val="top"/>
        <w:rPr>
          <w:rFonts w:hint="default" w:ascii="Times New Roman" w:hAnsi="Times New Roman" w:eastAsia="方正仿宋_GBK" w:cs="Times New Roman"/>
          <w:spacing w:val="-2"/>
          <w:kern w:val="0"/>
          <w:sz w:val="31"/>
          <w:szCs w:val="31"/>
          <w:highlight w:val="none"/>
          <w:lang w:val="en-US" w:eastAsia="zh-CN" w:bidi="ar"/>
        </w:rPr>
      </w:pPr>
      <w:r>
        <w:rPr>
          <w:rFonts w:hint="eastAsia" w:ascii="Times New Roman" w:hAnsi="Times New Roman" w:eastAsia="方正仿宋_GBK" w:cs="Times New Roman"/>
          <w:b/>
          <w:bCs/>
          <w:sz w:val="32"/>
          <w:szCs w:val="32"/>
          <w:highlight w:val="none"/>
          <w:lang w:val="en-US" w:eastAsia="zh-CN"/>
        </w:rPr>
        <w:t>3.全面推进专利导航决策机制。</w:t>
      </w:r>
      <w:r>
        <w:rPr>
          <w:rFonts w:hint="eastAsia" w:ascii="Times New Roman" w:hAnsi="Times New Roman" w:eastAsia="方正仿宋_GBK" w:cs="Times New Roman"/>
          <w:spacing w:val="-2"/>
          <w:kern w:val="0"/>
          <w:sz w:val="31"/>
          <w:szCs w:val="31"/>
          <w:highlight w:val="none"/>
          <w:lang w:val="en-US" w:eastAsia="zh-CN" w:bidi="ar"/>
        </w:rPr>
        <w:t>在招商引资工作中，注重引进提升产业技术创新水平的项目，着力提升专利密集型产品在企业和区域产业结构中的比重。强化原始创新、集成创新和二次创新，积极推动专利成果产出和核心专利挖掘，加快构建支撑产业发展的专利链。鼓励产业链上下游企业、高校、科研机构等相关创新主体组建产业专利池，提升专利资源的集成运用和协同转化效能。</w:t>
      </w:r>
    </w:p>
    <w:p w14:paraId="0253C7B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b/>
          <w:bCs/>
          <w:sz w:val="32"/>
          <w:szCs w:val="32"/>
          <w:highlight w:val="none"/>
          <w:lang w:val="en-US" w:eastAsia="zh-CN"/>
        </w:rPr>
        <w:t>4</w:t>
      </w:r>
      <w:r>
        <w:rPr>
          <w:rFonts w:hint="default" w:ascii="Times New Roman" w:hAnsi="Times New Roman" w:eastAsia="方正仿宋_GBK" w:cs="Times New Roman"/>
          <w:b/>
          <w:bCs/>
          <w:sz w:val="32"/>
          <w:szCs w:val="32"/>
          <w:highlight w:val="none"/>
        </w:rPr>
        <w:t>.发挥科技项目示范作用。</w:t>
      </w:r>
      <w:r>
        <w:rPr>
          <w:rFonts w:hint="default" w:ascii="Times New Roman" w:hAnsi="Times New Roman" w:eastAsia="方正仿宋_GBK" w:cs="Times New Roman"/>
          <w:sz w:val="32"/>
          <w:szCs w:val="32"/>
          <w:highlight w:val="none"/>
        </w:rPr>
        <w:t>在州级重大科技项目的征集、评审、立项及验收全过程，将自主研发发明专利的产出规模、布局质量和转化效益，列为财政资助项目的核心评价指标，指导项目承担单位科学设置相关考核内容。将企业自主研发发明专利的拥有数量与实际运用成效纳入高新技术企业、科技型中小企业、专精特新企业的认定与培育体系，推动高新技术企业、科技型中小企业突破自主研发发明专利空白，提升核心技术创新能力。在组织申报国家及自治区级</w:t>
      </w:r>
      <w:r>
        <w:rPr>
          <w:rFonts w:hint="eastAsia" w:ascii="Times New Roman" w:hAnsi="Times New Roman" w:eastAsia="方正仿宋_GBK" w:cs="Times New Roman"/>
          <w:sz w:val="32"/>
          <w:szCs w:val="32"/>
          <w:highlight w:val="none"/>
          <w:lang w:val="en-US" w:eastAsia="zh-CN"/>
        </w:rPr>
        <w:t>科学技术奖</w:t>
      </w:r>
      <w:r>
        <w:rPr>
          <w:rFonts w:hint="default" w:ascii="Times New Roman" w:hAnsi="Times New Roman" w:eastAsia="方正仿宋_GBK" w:cs="Times New Roman"/>
          <w:sz w:val="32"/>
          <w:szCs w:val="32"/>
          <w:highlight w:val="none"/>
        </w:rPr>
        <w:t>、专利奖时，</w:t>
      </w:r>
      <w:r>
        <w:rPr>
          <w:rFonts w:hint="eastAsia" w:ascii="Times New Roman" w:hAnsi="Times New Roman" w:eastAsia="方正仿宋_GBK" w:cs="Times New Roman"/>
          <w:sz w:val="32"/>
          <w:szCs w:val="32"/>
          <w:highlight w:val="none"/>
          <w:lang w:eastAsia="zh-CN"/>
        </w:rPr>
        <w:t>要将资源</w:t>
      </w:r>
      <w:r>
        <w:rPr>
          <w:rFonts w:hint="default" w:ascii="Times New Roman" w:hAnsi="Times New Roman" w:eastAsia="方正仿宋_GBK" w:cs="Times New Roman"/>
          <w:sz w:val="32"/>
          <w:szCs w:val="32"/>
          <w:highlight w:val="none"/>
        </w:rPr>
        <w:t>向新能源、新材料、高端装备制造等战略性新兴产业倾斜，优先支持拥有自主知识产权、突破关键核心技术并成功实现产业化的高价值发明专利项目。在文化、旅游、手工业等重点领域加强发明专利的布局与创造。落实《新疆工业企业研发投入50强评选办法》，支持规模以上企业加大研发投入力度，将发明专利产出情况纳入技术改造项目的验收评价体系，提升科技创新和专利创造能力。</w:t>
      </w:r>
    </w:p>
    <w:p w14:paraId="745C3DA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b/>
          <w:bCs/>
          <w:sz w:val="32"/>
          <w:szCs w:val="32"/>
          <w:highlight w:val="none"/>
          <w:lang w:val="en-US" w:eastAsia="zh-CN"/>
        </w:rPr>
        <w:t>5</w:t>
      </w:r>
      <w:r>
        <w:rPr>
          <w:rFonts w:hint="default" w:ascii="Times New Roman" w:hAnsi="Times New Roman" w:eastAsia="方正仿宋_GBK" w:cs="Times New Roman"/>
          <w:b/>
          <w:bCs/>
          <w:sz w:val="32"/>
          <w:szCs w:val="32"/>
          <w:highlight w:val="none"/>
        </w:rPr>
        <w:t>.深化产学研融合协同创新</w:t>
      </w:r>
      <w:r>
        <w:rPr>
          <w:rFonts w:hint="eastAsia" w:ascii="Times New Roman" w:hAnsi="Times New Roman" w:eastAsia="方正仿宋_GBK" w:cs="Times New Roman"/>
          <w:b/>
          <w:bCs/>
          <w:sz w:val="32"/>
          <w:szCs w:val="32"/>
          <w:highlight w:val="none"/>
          <w:lang w:eastAsia="zh-CN"/>
        </w:rPr>
        <w:t>。</w:t>
      </w:r>
      <w:r>
        <w:rPr>
          <w:rFonts w:hint="default" w:ascii="Times New Roman" w:hAnsi="Times New Roman" w:eastAsia="方正仿宋_GBK" w:cs="Times New Roman"/>
          <w:sz w:val="32"/>
          <w:szCs w:val="32"/>
          <w:highlight w:val="none"/>
        </w:rPr>
        <w:t>强化产业创新体系建设，推动组建“五大产业”创新联盟，有效整合企业、高校和科研院所的创新资源，支持建立创新联合体</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重点实验室</w:t>
      </w:r>
      <w:r>
        <w:rPr>
          <w:rFonts w:hint="eastAsia" w:ascii="Times New Roman" w:hAnsi="Times New Roman" w:eastAsia="方正仿宋_GBK" w:cs="Times New Roman"/>
          <w:sz w:val="32"/>
          <w:szCs w:val="32"/>
          <w:highlight w:val="none"/>
          <w:lang w:val="en-US" w:eastAsia="zh-CN"/>
        </w:rPr>
        <w:t>等创新平台</w:t>
      </w:r>
      <w:r>
        <w:rPr>
          <w:rFonts w:hint="default" w:ascii="Times New Roman" w:hAnsi="Times New Roman" w:eastAsia="方正仿宋_GBK" w:cs="Times New Roman"/>
          <w:sz w:val="32"/>
          <w:szCs w:val="32"/>
          <w:highlight w:val="none"/>
        </w:rPr>
        <w:t>，围绕产业关键共性技术开展联合攻关并进行系统性的专利布局，提升发明专利的产出效能。深化产教融合，推动新能源</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新材料、高端装备制造</w:t>
      </w:r>
      <w:r>
        <w:rPr>
          <w:rFonts w:hint="default" w:ascii="Times New Roman" w:hAnsi="Times New Roman" w:eastAsia="方正仿宋_GBK" w:cs="Times New Roman"/>
          <w:sz w:val="32"/>
          <w:szCs w:val="32"/>
          <w:highlight w:val="none"/>
        </w:rPr>
        <w:t>等领域的产教融合共同体实现实体化运作，支持新疆科技学院、巴音职业技术学院等本地院校围绕“五大产业”优化专业设置，强化订单式人才培养模式，把企业技术需求融入教学与实训环节，定向培养具备专利创造与运用能力的复合型人才。</w:t>
      </w:r>
    </w:p>
    <w:p w14:paraId="4529D6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highlight w:val="none"/>
          <w:lang w:val="en-US" w:eastAsia="zh-CN"/>
        </w:rPr>
      </w:pPr>
      <w:r>
        <w:rPr>
          <w:rFonts w:hint="eastAsia" w:ascii="方正楷体_GB2312" w:hAnsi="方正楷体_GB2312" w:eastAsia="方正楷体_GB2312" w:cs="方正楷体_GB2312"/>
          <w:sz w:val="32"/>
          <w:szCs w:val="32"/>
          <w:highlight w:val="none"/>
          <w:lang w:val="en-US" w:eastAsia="zh-CN"/>
        </w:rPr>
        <w:t>（三）建设高效便捷、普惠均等的知识产权公共服务体系。</w:t>
      </w:r>
    </w:p>
    <w:p w14:paraId="2E5DEF9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Times New Roman"/>
          <w:b/>
          <w:bCs/>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6.推动知识产权公共服务提质增效。</w:t>
      </w:r>
      <w:r>
        <w:rPr>
          <w:rFonts w:hint="eastAsia" w:ascii="Times New Roman" w:hAnsi="Times New Roman" w:eastAsia="方正仿宋_GBK" w:cs="Times New Roman"/>
          <w:sz w:val="32"/>
          <w:szCs w:val="32"/>
          <w:highlight w:val="none"/>
          <w:lang w:val="en-US" w:eastAsia="zh-CN"/>
        </w:rPr>
        <w:t>引进第三方专利代理服务机构，建成1家州级知识产权公共服务机构，联合信息网点为创新主体提供专利检索分析、政策宣贯解读等基础性公共服务。筹划设立综合性科技创新服务平台，提供政策解读、成果发布、供需对接、交易合作等一站式服务。加强对出口生产型企业的知识产权属地化指导，开展海关知识产权备案政策宣传，免费提供备案流程咨询服务。</w:t>
      </w:r>
    </w:p>
    <w:p w14:paraId="66A3303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7.强化重点领域</w:t>
      </w:r>
      <w:r>
        <w:rPr>
          <w:rFonts w:hint="eastAsia" w:ascii="Times New Roman" w:hAnsi="Times New Roman" w:eastAsia="方正仿宋_GBK" w:cs="Times New Roman"/>
          <w:b/>
          <w:bCs/>
          <w:spacing w:val="-2"/>
          <w:kern w:val="0"/>
          <w:sz w:val="31"/>
          <w:szCs w:val="31"/>
          <w:highlight w:val="none"/>
          <w:lang w:val="en-US" w:eastAsia="zh-CN" w:bidi="ar"/>
        </w:rPr>
        <w:t>专利快速审查服务。</w:t>
      </w:r>
      <w:r>
        <w:rPr>
          <w:rFonts w:hint="eastAsia" w:ascii="Times New Roman" w:hAnsi="Times New Roman" w:eastAsia="方正仿宋_GBK" w:cs="Times New Roman"/>
          <w:sz w:val="32"/>
          <w:szCs w:val="32"/>
          <w:highlight w:val="none"/>
          <w:lang w:val="en-US" w:eastAsia="zh-CN"/>
        </w:rPr>
        <w:t>围绕</w:t>
      </w:r>
      <w:r>
        <w:rPr>
          <w:rFonts w:hint="default" w:ascii="Times New Roman" w:hAnsi="Times New Roman" w:eastAsia="方正仿宋_GBK" w:cs="Times New Roman"/>
          <w:sz w:val="32"/>
          <w:szCs w:val="32"/>
          <w:highlight w:val="none"/>
        </w:rPr>
        <w:t>新能源</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新材料、高端装备制造</w:t>
      </w:r>
      <w:r>
        <w:rPr>
          <w:rFonts w:hint="default" w:ascii="Times New Roman" w:hAnsi="Times New Roman" w:eastAsia="方正仿宋_GBK" w:cs="Times New Roman"/>
          <w:sz w:val="32"/>
          <w:szCs w:val="32"/>
          <w:highlight w:val="none"/>
        </w:rPr>
        <w:t>等领域</w:t>
      </w:r>
      <w:r>
        <w:rPr>
          <w:rFonts w:hint="eastAsia" w:ascii="Times New Roman" w:hAnsi="Times New Roman" w:eastAsia="方正仿宋_GBK" w:cs="Times New Roman"/>
          <w:sz w:val="32"/>
          <w:szCs w:val="32"/>
          <w:highlight w:val="none"/>
          <w:lang w:val="en-US" w:eastAsia="zh-CN"/>
        </w:rPr>
        <w:t>，重点支持相关创新主体备案入驻自治区知识产权保护中心，充分利用专利快速审查通道，加速发明专利的授权进程，帮助企业抢占市场先机。加大对专利费用减缓、专利优先审查及快速预审等惠企政策的宣传普及力度，切实降低企业创新成本，有效激发创新活力。</w:t>
      </w:r>
    </w:p>
    <w:p w14:paraId="53BEB9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highlight w:val="none"/>
          <w:lang w:val="en-US" w:eastAsia="zh-CN"/>
        </w:rPr>
      </w:pPr>
      <w:r>
        <w:rPr>
          <w:rFonts w:hint="eastAsia" w:ascii="方正楷体_GB2312" w:hAnsi="方正楷体_GB2312" w:eastAsia="方正楷体_GB2312" w:cs="方正楷体_GB2312"/>
          <w:sz w:val="32"/>
          <w:szCs w:val="32"/>
          <w:highlight w:val="none"/>
          <w:lang w:val="en-US" w:eastAsia="zh-CN"/>
        </w:rPr>
        <w:t>（四）健全运行顺畅、价值充分实现的市场化运用机制。</w:t>
      </w:r>
    </w:p>
    <w:p w14:paraId="3F48CB6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8.</w:t>
      </w:r>
      <w:r>
        <w:rPr>
          <w:rFonts w:hint="default" w:ascii="Times New Roman" w:hAnsi="Times New Roman" w:eastAsia="方正仿宋_GBK" w:cs="Times New Roman"/>
          <w:b/>
          <w:bCs/>
          <w:sz w:val="32"/>
          <w:szCs w:val="32"/>
          <w:highlight w:val="none"/>
          <w:lang w:val="en-US" w:eastAsia="zh-CN"/>
        </w:rPr>
        <w:t>健全专利转化激励机制与服务体系</w:t>
      </w:r>
      <w:r>
        <w:rPr>
          <w:rFonts w:hint="eastAsia" w:ascii="Times New Roman" w:hAnsi="Times New Roman" w:eastAsia="方正仿宋_GBK" w:cs="Times New Roman"/>
          <w:b/>
          <w:bCs/>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将专利转化成效作为企业申报重大项目、享受政策扶持的关键评价维度，积极组织企业申报国家、自治区各类项目。分行业开展企业自主研发发明专利情况摸底，着力破除核心知识产权缺失瓶颈，重点推动规上工业企业、高新技术企业与科技型中小企业等创新主体完成首个自主研发发明专利的创造与布局，强化知识产权源头积累。</w:t>
      </w:r>
    </w:p>
    <w:p w14:paraId="6AEC388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9.</w:t>
      </w:r>
      <w:r>
        <w:rPr>
          <w:rFonts w:hint="default" w:ascii="Times New Roman" w:hAnsi="Times New Roman" w:eastAsia="方正仿宋_GBK" w:cs="Times New Roman"/>
          <w:b/>
          <w:bCs/>
          <w:sz w:val="32"/>
          <w:szCs w:val="32"/>
          <w:highlight w:val="none"/>
          <w:lang w:val="en-US" w:eastAsia="zh-CN"/>
        </w:rPr>
        <w:t>构建专利资源管理与协同转化机制</w:t>
      </w:r>
      <w:r>
        <w:rPr>
          <w:rFonts w:hint="eastAsia" w:ascii="Times New Roman" w:hAnsi="Times New Roman" w:eastAsia="方正仿宋_GBK" w:cs="Times New Roman"/>
          <w:b/>
          <w:bCs/>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定期开展存量专利盘点工作，推进产业专利资源库建设，引导专利权人及时缴纳年费，有效维护专利权利稳定。持续开展</w:t>
      </w:r>
      <w:r>
        <w:rPr>
          <w:rFonts w:hint="eastAsia" w:ascii="Times New Roman" w:hAnsi="Times New Roman" w:eastAsia="方正仿宋_GBK" w:cs="Times New Roman"/>
          <w:strike w:val="0"/>
          <w:dstrike w:val="0"/>
          <w:sz w:val="32"/>
          <w:szCs w:val="32"/>
          <w:highlight w:val="none"/>
          <w:lang w:val="en-US" w:eastAsia="zh-CN"/>
        </w:rPr>
        <w:t>政府、企业、高校</w:t>
      </w:r>
      <w:r>
        <w:rPr>
          <w:rFonts w:hint="eastAsia" w:ascii="Times New Roman" w:hAnsi="Times New Roman" w:eastAsia="方正仿宋_GBK" w:cs="Times New Roman"/>
          <w:sz w:val="32"/>
          <w:szCs w:val="32"/>
          <w:highlight w:val="none"/>
          <w:lang w:val="en-US" w:eastAsia="zh-CN"/>
        </w:rPr>
        <w:t>专利转化对接、专利成果路演活动，利用国家专利导航系统促进高校和科研机构的存量专利向企业的新产品、新技术转化，形成产学研用协同推进的良好转化生态。</w:t>
      </w:r>
    </w:p>
    <w:p w14:paraId="77BB17F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10.加强知识产权金融服务体系建设。</w:t>
      </w:r>
      <w:r>
        <w:rPr>
          <w:rFonts w:hint="eastAsia" w:ascii="Times New Roman" w:hAnsi="Times New Roman" w:eastAsia="方正仿宋_GBK" w:cs="Times New Roman"/>
          <w:sz w:val="32"/>
          <w:szCs w:val="32"/>
          <w:highlight w:val="none"/>
          <w:lang w:val="en-US" w:eastAsia="zh-CN"/>
        </w:rPr>
        <w:t>深化政府与银行、银行与企业的合作对接，指导金融机构创新知识产权质押融资、保险等金融产品。加大自治区专利质押融资政策宣贯力度，力争实现年度知识产权质押融资金额的稳步增长。指导督促辖内银行业金融机构建立完善知识产权质押融资贷后跟踪回访与风险处置机制，推动提升金融服务的全过程管理水平。</w:t>
      </w:r>
    </w:p>
    <w:p w14:paraId="59AF49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b/>
          <w:bCs/>
          <w:sz w:val="32"/>
          <w:szCs w:val="32"/>
          <w:highlight w:val="none"/>
          <w:lang w:val="en-US" w:eastAsia="zh-CN"/>
        </w:rPr>
        <w:t>11.</w:t>
      </w:r>
      <w:r>
        <w:rPr>
          <w:rFonts w:hint="default" w:ascii="Times New Roman" w:hAnsi="Times New Roman" w:eastAsia="方正仿宋_GBK" w:cs="Times New Roman"/>
          <w:b/>
          <w:bCs/>
          <w:sz w:val="32"/>
          <w:szCs w:val="32"/>
          <w:highlight w:val="none"/>
          <w:lang w:val="en-US" w:eastAsia="zh-CN"/>
        </w:rPr>
        <w:t>落实税收优惠政策</w:t>
      </w:r>
      <w:r>
        <w:rPr>
          <w:rFonts w:hint="eastAsia" w:ascii="Times New Roman" w:hAnsi="Times New Roman" w:eastAsia="方正仿宋_GBK" w:cs="Times New Roman"/>
          <w:b/>
          <w:bCs/>
          <w:sz w:val="32"/>
          <w:szCs w:val="32"/>
          <w:highlight w:val="none"/>
          <w:lang w:val="en-US" w:eastAsia="zh-CN"/>
        </w:rPr>
        <w:t>。</w:t>
      </w:r>
      <w:r>
        <w:rPr>
          <w:rFonts w:hint="default" w:ascii="Times New Roman" w:hAnsi="Times New Roman" w:eastAsia="方正仿宋_GBK" w:cs="Times New Roman"/>
          <w:kern w:val="2"/>
          <w:sz w:val="32"/>
          <w:szCs w:val="32"/>
          <w:highlight w:val="none"/>
          <w:lang w:val="en-US" w:eastAsia="zh-CN" w:bidi="ar-SA"/>
        </w:rPr>
        <w:t>全面落实知识产权开发、成果转化转让方面的税费优惠政策，持续优化“政策找人”工作机制，助力经营主体更加准确便捷用好税费优惠政策。</w:t>
      </w:r>
    </w:p>
    <w:p w14:paraId="1851FF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highlight w:val="none"/>
          <w:lang w:val="en-US" w:eastAsia="zh-CN"/>
        </w:rPr>
      </w:pPr>
      <w:r>
        <w:rPr>
          <w:rFonts w:hint="eastAsia" w:ascii="方正楷体_GB2312" w:hAnsi="方正楷体_GB2312" w:eastAsia="方正楷体_GB2312" w:cs="方正楷体_GB2312"/>
          <w:sz w:val="32"/>
          <w:szCs w:val="32"/>
          <w:highlight w:val="none"/>
          <w:lang w:val="en-US" w:eastAsia="zh-CN"/>
        </w:rPr>
        <w:t>（五）完善以企业为主体、以市场为导向的高质量创造机制。</w:t>
      </w:r>
    </w:p>
    <w:p w14:paraId="23604BC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12.实施高价值专利培育工程。</w:t>
      </w:r>
      <w:r>
        <w:rPr>
          <w:rFonts w:hint="eastAsia" w:ascii="Times New Roman" w:hAnsi="Times New Roman" w:eastAsia="方正仿宋_GBK" w:cs="Times New Roman"/>
          <w:sz w:val="32"/>
          <w:szCs w:val="32"/>
          <w:highlight w:val="none"/>
          <w:lang w:val="en-US" w:eastAsia="zh-CN"/>
        </w:rPr>
        <w:t>支持校企共建高价值专利培育中心，联合开展关键技术攻关与专利挖掘。聚焦辖区重点产业，引导高职院校、科研团队及骨干企业围绕核心技术开展定向研发，着力培育一批技术领先、市场前景广阔的高价值发明专利。推动高职院校将高价值专利培育工作纳入重点专业群建设内容，实现专利布局与专业建设、人才培养同步推进。依照专利密集型产品认定国家标准，加强培育专利密集型产业，积极推广专利密集型产品。</w:t>
      </w:r>
    </w:p>
    <w:p w14:paraId="60BA1DC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13.完善专利申请前评估机制。</w:t>
      </w:r>
      <w:r>
        <w:rPr>
          <w:rFonts w:hint="eastAsia" w:ascii="Times New Roman" w:hAnsi="Times New Roman" w:eastAsia="方正仿宋_GBK" w:cs="Times New Roman"/>
          <w:sz w:val="32"/>
          <w:szCs w:val="32"/>
          <w:highlight w:val="none"/>
          <w:lang w:val="en-US" w:eastAsia="zh-CN"/>
        </w:rPr>
        <w:t>推动高职院校、科研机构建立以产业化前景为核心导向的专利申请前评估制度，细化评估审核标准，积极引入高水平第三方专业机构参与评估。通过优化内部知识产权管理体系，加强专利申请的源头质量把控，提升专利申请质量与成果转化效率。</w:t>
      </w:r>
    </w:p>
    <w:p w14:paraId="4E9A5E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lang w:val="en-US" w:eastAsia="zh-CN"/>
        </w:rPr>
        <w:t>、</w:t>
      </w:r>
      <w:r>
        <w:rPr>
          <w:rFonts w:hint="eastAsia" w:ascii="Times New Roman" w:hAnsi="Times New Roman" w:eastAsia="黑体" w:cs="Times New Roman"/>
          <w:sz w:val="32"/>
          <w:szCs w:val="32"/>
          <w:highlight w:val="none"/>
          <w:lang w:val="en-US" w:eastAsia="zh-CN"/>
        </w:rPr>
        <w:t>工作要求</w:t>
      </w:r>
    </w:p>
    <w:p w14:paraId="623490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方正楷体_GB2312" w:hAnsi="方正楷体_GB2312" w:eastAsia="方正楷体_GB2312" w:cs="方正楷体_GB2312"/>
          <w:sz w:val="32"/>
          <w:szCs w:val="32"/>
          <w:highlight w:val="none"/>
          <w:lang w:val="en-US" w:eastAsia="zh-CN"/>
        </w:rPr>
        <w:t>（一）强化过程管理。</w:t>
      </w:r>
      <w:r>
        <w:rPr>
          <w:rFonts w:hint="eastAsia" w:ascii="Times New Roman" w:hAnsi="Times New Roman" w:eastAsia="方正仿宋_GBK" w:cs="Times New Roman"/>
          <w:sz w:val="32"/>
          <w:szCs w:val="32"/>
          <w:highlight w:val="none"/>
          <w:lang w:val="en-US" w:eastAsia="zh-CN"/>
        </w:rPr>
        <w:t>建立季度工作报告机制，各有关部门需对照《重点工作任务清单》，结合职能分工，协同推进全州发明专利与高价值发明专利培育提升工作。每年4月1日、7月1日、10月1日及12月</w:t>
      </w:r>
      <w:r>
        <w:rPr>
          <w:rFonts w:hint="eastAsia" w:ascii="Times New Roman" w:eastAsia="方正仿宋_GBK" w:cs="Times New Roman"/>
          <w:sz w:val="32"/>
          <w:szCs w:val="32"/>
          <w:highlight w:val="none"/>
          <w:lang w:val="en-US" w:eastAsia="zh-CN"/>
        </w:rPr>
        <w:t>10</w:t>
      </w:r>
      <w:r>
        <w:rPr>
          <w:rFonts w:hint="eastAsia" w:ascii="Times New Roman" w:hAnsi="Times New Roman" w:eastAsia="方正仿宋_GBK" w:cs="Times New Roman"/>
          <w:sz w:val="32"/>
          <w:szCs w:val="32"/>
          <w:highlight w:val="none"/>
          <w:lang w:val="en-US" w:eastAsia="zh-CN"/>
        </w:rPr>
        <w:t>日前，将阶段工作进展、存在问题及下步计划报送至州市场监督管理局。</w:t>
      </w:r>
    </w:p>
    <w:p w14:paraId="254E24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方正楷体_GB2312" w:hAnsi="方正楷体_GB2312" w:eastAsia="方正楷体_GB2312" w:cs="方正楷体_GB2312"/>
          <w:sz w:val="32"/>
          <w:szCs w:val="32"/>
          <w:highlight w:val="none"/>
          <w:lang w:val="en-US" w:eastAsia="zh-CN"/>
        </w:rPr>
        <w:t>（二）定期进行通报。</w:t>
      </w:r>
      <w:r>
        <w:rPr>
          <w:rFonts w:hint="eastAsia" w:ascii="Times New Roman" w:hAnsi="Times New Roman" w:eastAsia="方正仿宋_GBK" w:cs="Times New Roman"/>
          <w:sz w:val="32"/>
          <w:szCs w:val="32"/>
          <w:highlight w:val="none"/>
          <w:lang w:val="en-US" w:eastAsia="zh-CN"/>
        </w:rPr>
        <w:t>由州市场监督管理局牵头，每半年分析全州发明专利与高价值发明专利发展情况，并通报各相关部门。各部门需结合通报内容与实际进展，动态调整、优化本领域、本系统的工作措施，形成协同推进、持续改进的良好工作格局。</w:t>
      </w:r>
    </w:p>
    <w:p w14:paraId="382643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highlight w:val="none"/>
          <w:lang w:val="en-US" w:eastAsia="zh-CN"/>
        </w:rPr>
      </w:pPr>
      <w:r>
        <w:rPr>
          <w:rFonts w:hint="eastAsia" w:ascii="方正楷体_GB2312" w:hAnsi="方正楷体_GB2312" w:eastAsia="方正楷体_GB2312" w:cs="方正楷体_GB2312"/>
          <w:sz w:val="32"/>
          <w:szCs w:val="32"/>
          <w:highlight w:val="none"/>
          <w:lang w:val="en-US" w:eastAsia="zh-CN"/>
        </w:rPr>
        <w:t>（三）开展总结评估。</w:t>
      </w:r>
      <w:r>
        <w:rPr>
          <w:rFonts w:hint="eastAsia" w:ascii="Times New Roman" w:hAnsi="Times New Roman" w:eastAsia="方正仿宋_GBK" w:cs="Times New Roman"/>
          <w:sz w:val="32"/>
          <w:szCs w:val="32"/>
          <w:highlight w:val="none"/>
          <w:lang w:val="en-US" w:eastAsia="zh-CN"/>
        </w:rPr>
        <w:t>实行年度工作报告制度，由州市场监督管理局在每年1月15日前，汇总梳理各部门上年度工作情况，形成专题报告。报告应全面客观反映工作进展、取得成效、存在问题及当年计划，并按程序报送州党委、州人民政府，为科学决策提供依据。</w:t>
      </w:r>
    </w:p>
    <w:p w14:paraId="6B5C4AC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color w:val="000000" w:themeColor="text1"/>
          <w:sz w:val="28"/>
          <w:szCs w:val="28"/>
          <w:highlight w:val="none"/>
          <w:lang w:val="en-US" w:eastAsia="zh-CN"/>
          <w14:textFill>
            <w14:solidFill>
              <w14:schemeClr w14:val="tx1"/>
            </w14:solidFill>
          </w14:textFill>
        </w:rPr>
        <w:sectPr>
          <w:footerReference r:id="rId3" w:type="default"/>
          <w:pgSz w:w="11906" w:h="16838"/>
          <w:pgMar w:top="1871" w:right="1531" w:bottom="1984" w:left="1531" w:header="851" w:footer="992" w:gutter="0"/>
          <w:cols w:space="720" w:num="1"/>
          <w:docGrid w:type="lines" w:linePitch="312" w:charSpace="0"/>
        </w:sectPr>
      </w:pPr>
      <w:bookmarkStart w:id="0" w:name="_GoBack"/>
      <w:bookmarkEnd w:id="0"/>
    </w:p>
    <w:p w14:paraId="4849CFBF">
      <w:pPr>
        <w:pStyle w:val="4"/>
        <w:rPr>
          <w:rFonts w:hint="default"/>
          <w:lang w:val="en-US" w:eastAsia="zh-CN"/>
        </w:rPr>
      </w:pPr>
    </w:p>
    <w:sectPr>
      <w:pgSz w:w="16838" w:h="11906" w:orient="landscape"/>
      <w:pgMar w:top="1531" w:right="1871" w:bottom="1531" w:left="198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E"/>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2CD429-F425-4635-8A5E-D38A31813AC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embedRegular r:id="rId2" w:fontKey="{7E7E2B86-16A2-443D-86BE-D5C00BAE9298}"/>
  </w:font>
  <w:font w:name="方正小标宋简体">
    <w:panose1 w:val="02000000000000000000"/>
    <w:charset w:val="86"/>
    <w:family w:val="auto"/>
    <w:pitch w:val="default"/>
    <w:sig w:usb0="00000001" w:usb1="08000000" w:usb2="00000000" w:usb3="00000000" w:csb0="00040000" w:csb1="00000000"/>
    <w:embedRegular r:id="rId3" w:fontKey="{6F5DB0F3-3966-4B06-A3D8-4B34451B3221}"/>
  </w:font>
  <w:font w:name="方正仿宋_GBK">
    <w:panose1 w:val="03000509000000000000"/>
    <w:charset w:val="86"/>
    <w:family w:val="auto"/>
    <w:pitch w:val="default"/>
    <w:sig w:usb0="00000001" w:usb1="080E0000" w:usb2="00000000" w:usb3="00000000" w:csb0="00040000" w:csb1="00000000"/>
    <w:embedRegular r:id="rId4" w:fontKey="{A3FE0097-F8DA-4C80-BCC6-A321C9365A6C}"/>
  </w:font>
  <w:font w:name="方正楷体_GB2312">
    <w:panose1 w:val="02000000000000000000"/>
    <w:charset w:val="86"/>
    <w:family w:val="auto"/>
    <w:pitch w:val="default"/>
    <w:sig w:usb0="A00002BF" w:usb1="184F6CFA" w:usb2="00000012" w:usb3="00000000" w:csb0="00040001" w:csb1="00000000"/>
    <w:embedRegular r:id="rId5" w:fontKey="{9DDE4D04-32C6-49FA-B9CC-D5142A02527E}"/>
  </w:font>
  <w:font w:name="GWZT-EN">
    <w:altName w:val="仿宋"/>
    <w:panose1 w:val="00000000000000000000"/>
    <w:charset w:val="00"/>
    <w:family w:val="auto"/>
    <w:pitch w:val="default"/>
    <w:sig w:usb0="00000000" w:usb1="00000000" w:usb2="00000000" w:usb3="00000000" w:csb0="00000000" w:csb1="00000000"/>
    <w:embedRegular r:id="rId6" w:fontKey="{6779EFA5-FC91-4400-BF5D-79ECE36DAF1F}"/>
  </w:font>
  <w:font w:name="仿宋">
    <w:panose1 w:val="02010609060101010101"/>
    <w:charset w:val="86"/>
    <w:family w:val="auto"/>
    <w:pitch w:val="default"/>
    <w:sig w:usb0="800002BF" w:usb1="38CF7CFA" w:usb2="00000016" w:usb3="00000000" w:csb0="00040001" w:csb1="00000000"/>
    <w:embedRegular r:id="rId7" w:fontKey="{47A565E4-07C8-4B8A-A961-6E9076D0989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B05FE">
    <w:pPr>
      <w:tabs>
        <w:tab w:val="center" w:pos="4153"/>
        <w:tab w:val="right" w:pos="8306"/>
      </w:tabs>
      <w:rPr>
        <w:rFonts w:hint="eastAsia" w:ascii="GWZT-EN" w:eastAsia="仿宋"/>
        <w:b w:val="0"/>
        <w:bCs w:val="0"/>
        <w:sz w:val="32"/>
        <w:lang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D47C4">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03D47C4">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r>
      <w:rPr>
        <w:rFonts w:ascii="GWZT-EN"/>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1A9B1">
                          <w:pPr>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81A9B1">
                    <w:pPr>
                      <w:rPr>
                        <w:rFonts w:hint="eastAsia"/>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TrueTypeFonts/>
  <w:saveSubsetFonts/>
  <w:bordersDoNotSurroundHeader w:val="1"/>
  <w:bordersDoNotSurroundFooter w:val="1"/>
  <w:documentProtection w:enforcement="0"/>
  <w:defaultTabStop w:val="420"/>
  <w:displayHorizontalDrawingGridEvery w:val="1"/>
  <w:displayVerticalDrawingGridEvery w:val="1"/>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7578D"/>
    <w:rsid w:val="018240DB"/>
    <w:rsid w:val="0415692F"/>
    <w:rsid w:val="05B24A66"/>
    <w:rsid w:val="08CD42C0"/>
    <w:rsid w:val="0970120C"/>
    <w:rsid w:val="0EDA083D"/>
    <w:rsid w:val="0F3F5F47"/>
    <w:rsid w:val="0F525276"/>
    <w:rsid w:val="0FB42F57"/>
    <w:rsid w:val="10DB18CA"/>
    <w:rsid w:val="10EA5617"/>
    <w:rsid w:val="12CB17C3"/>
    <w:rsid w:val="14B74DA1"/>
    <w:rsid w:val="16E178E4"/>
    <w:rsid w:val="16F50C0C"/>
    <w:rsid w:val="1736717B"/>
    <w:rsid w:val="194901D4"/>
    <w:rsid w:val="21A80A70"/>
    <w:rsid w:val="22A450D7"/>
    <w:rsid w:val="243B70FD"/>
    <w:rsid w:val="25185A6E"/>
    <w:rsid w:val="26624D38"/>
    <w:rsid w:val="29A47042"/>
    <w:rsid w:val="2C514505"/>
    <w:rsid w:val="2CC66CDB"/>
    <w:rsid w:val="2FD3594B"/>
    <w:rsid w:val="2FF07ABB"/>
    <w:rsid w:val="302B1692"/>
    <w:rsid w:val="30673A76"/>
    <w:rsid w:val="397E10E7"/>
    <w:rsid w:val="3A0B06DD"/>
    <w:rsid w:val="3A646D3A"/>
    <w:rsid w:val="3C026825"/>
    <w:rsid w:val="40071A9C"/>
    <w:rsid w:val="4062040A"/>
    <w:rsid w:val="42261613"/>
    <w:rsid w:val="435D175B"/>
    <w:rsid w:val="436B0778"/>
    <w:rsid w:val="44A86CD4"/>
    <w:rsid w:val="45432676"/>
    <w:rsid w:val="46FF0C19"/>
    <w:rsid w:val="47D17B7D"/>
    <w:rsid w:val="4B3703B0"/>
    <w:rsid w:val="4BC74183"/>
    <w:rsid w:val="4D2C47B6"/>
    <w:rsid w:val="520D1722"/>
    <w:rsid w:val="54CF0CA3"/>
    <w:rsid w:val="551B5E16"/>
    <w:rsid w:val="56753A4B"/>
    <w:rsid w:val="58005F43"/>
    <w:rsid w:val="59125141"/>
    <w:rsid w:val="59F16629"/>
    <w:rsid w:val="5F3F6B1F"/>
    <w:rsid w:val="5FB52067"/>
    <w:rsid w:val="66F765D0"/>
    <w:rsid w:val="698C523E"/>
    <w:rsid w:val="6A11135C"/>
    <w:rsid w:val="6A7D5D6D"/>
    <w:rsid w:val="6EDF3549"/>
    <w:rsid w:val="71B86D9A"/>
    <w:rsid w:val="7ADD3367"/>
    <w:rsid w:val="7BA372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qFormat="1" w:unhideWhenUsed="0"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0"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0"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3"/>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qFormat/>
    <w:uiPriority w:val="9"/>
    <w:pPr>
      <w:keepNext/>
      <w:keepLines/>
      <w:spacing w:before="200" w:after="200" w:line="360" w:lineRule="auto"/>
      <w:jc w:val="left"/>
      <w:outlineLvl w:val="2"/>
    </w:pPr>
    <w:rPr>
      <w:rFonts w:ascii="Times New Roman" w:hAnsi="Times New Roman"/>
      <w:b/>
      <w:bCs/>
      <w:color w:val="000000"/>
      <w:kern w:val="0"/>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Calibri" w:hAnsi="Calibri" w:eastAsia="宋体" w:cs="Times New Roman"/>
    </w:rPr>
  </w:style>
  <w:style w:type="paragraph" w:styleId="4">
    <w:name w:val="Body Text"/>
    <w:basedOn w:val="1"/>
    <w:next w:val="1"/>
    <w:qFormat/>
    <w:uiPriority w:val="0"/>
    <w:pPr>
      <w:spacing w:before="0" w:after="140" w:line="276"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paragraph" w:customStyle="1" w:styleId="12">
    <w:name w:val="标题 31"/>
    <w:basedOn w:val="1"/>
    <w:qFormat/>
    <w:uiPriority w:val="0"/>
    <w:pPr>
      <w:keepNext/>
      <w:keepLines/>
      <w:spacing w:before="200" w:after="200" w:line="360" w:lineRule="auto"/>
      <w:jc w:val="left"/>
      <w:outlineLvl w:val="2"/>
    </w:pPr>
    <w:rPr>
      <w:rFonts w:ascii="Times New Roman" w:hAnsi="Times New Roman"/>
      <w:b/>
      <w:bCs/>
      <w:color w:val="000000"/>
      <w:kern w:val="0"/>
      <w:sz w:val="32"/>
      <w:szCs w:val="32"/>
    </w:rPr>
  </w:style>
  <w:style w:type="character" w:customStyle="1" w:styleId="13">
    <w:name w:val="默认段落字体1"/>
    <w:link w:val="1"/>
    <w:semiHidden/>
    <w:qFormat/>
    <w:uiPriority w:val="0"/>
  </w:style>
  <w:style w:type="table" w:customStyle="1" w:styleId="14">
    <w:name w:val="普通表格1"/>
    <w:semiHidden/>
    <w:qFormat/>
    <w:uiPriority w:val="0"/>
  </w:style>
  <w:style w:type="table" w:customStyle="1" w:styleId="15">
    <w:name w:val="网格型1"/>
    <w:basedOn w:val="14"/>
    <w:qFormat/>
    <w:uiPriority w:val="0"/>
    <w:pPr>
      <w:widowControl w:val="0"/>
      <w:jc w:val="both"/>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86c418-9b2c-4a1f-b94d-11a517732ca8}">
  <ds:schemaRefs/>
</ds:datastoreItem>
</file>

<file path=docProps/app.xml><?xml version="1.0" encoding="utf-8"?>
<Properties xmlns="http://schemas.openxmlformats.org/officeDocument/2006/extended-properties" xmlns:vt="http://schemas.openxmlformats.org/officeDocument/2006/docPropsVTypes">
  <Pages>7</Pages>
  <Words>7788</Words>
  <Characters>7840</Characters>
  <Lines>0</Lines>
  <Paragraphs>0</Paragraphs>
  <TotalTime>46</TotalTime>
  <ScaleCrop>false</ScaleCrop>
  <LinksUpToDate>false</LinksUpToDate>
  <CharactersWithSpaces>7840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2024-07-18T04:57:00Z</dcterms:created>
  <dc:creator>马倩</dc:creator>
  <cp:lastModifiedBy>凉宸羙璟</cp:lastModifiedBy>
  <cp:lastPrinted>2026-03-17T08:12:00Z</cp:lastPrinted>
  <dcterms:modified xsi:type="dcterms:W3CDTF">2026-03-24T09:53:00Z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F71CA3D2DB3648379B8216A94B0288A8_13</vt:lpwstr>
  </property>
  <property fmtid="{D5CDD505-2E9C-101B-9397-08002B2CF9AE}" pid="4" name="KSOTemplateDocerSaveRecord">
    <vt:lpwstr>eyJoZGlkIjoiOGE5MTZhYTBhMjBkMzA0NjBkNGMwYWI0MjE0ZmIwY2YiLCJ1c2VySWQiOiI0MzQzNTk4MDQifQ==</vt:lpwstr>
  </property>
</Properties>
</file>