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1044" w:firstLineChars="200"/>
        <w:jc w:val="both"/>
        <w:textAlignment w:val="auto"/>
        <w:rPr>
          <w:rFonts w:hint="eastAsia" w:ascii="宋体" w:hAnsi="宋体" w:eastAsia="宋体" w:cs="Arial"/>
          <w:b/>
          <w:bCs/>
          <w:sz w:val="52"/>
          <w:szCs w:val="52"/>
        </w:rPr>
      </w:pPr>
      <w:r>
        <w:rPr>
          <w:rFonts w:hint="eastAsia" w:ascii="宋体" w:hAnsi="宋体" w:eastAsia="宋体" w:cs="Arial"/>
          <w:b/>
          <w:bCs/>
          <w:sz w:val="52"/>
          <w:szCs w:val="52"/>
        </w:rPr>
        <w:t>政策调研及改革督导项目支出绩</w:t>
      </w:r>
    </w:p>
    <w:p>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效评价报告</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项目名称：政策调研及改革督导项目</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实施单位（公章）：新疆巴州党委政策研究室</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主管部门（公章）：新疆巴州党委政策研究室</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项目负责人（签章）：周剑</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 xml:space="preserve">4 </w:t>
      </w:r>
      <w:r>
        <w:rPr>
          <w:rFonts w:hint="eastAsia" w:ascii="宋体" w:hAnsi="宋体" w:eastAsia="宋体" w:cs="仿宋_GB2312"/>
          <w:color w:val="000000"/>
          <w:kern w:val="0"/>
          <w:sz w:val="32"/>
          <w:szCs w:val="32"/>
        </w:rPr>
        <w:t xml:space="preserve">年 </w:t>
      </w:r>
      <w:r>
        <w:rPr>
          <w:rFonts w:hint="eastAsia" w:ascii="宋体" w:hAnsi="宋体" w:eastAsia="宋体" w:cs="仿宋_GB2312"/>
          <w:color w:val="000000"/>
          <w:kern w:val="0"/>
          <w:sz w:val="32"/>
          <w:szCs w:val="32"/>
          <w:lang w:val="en-US" w:eastAsia="zh-CN"/>
        </w:rPr>
        <w:t>5</w:t>
      </w:r>
      <w:r>
        <w:rPr>
          <w:rFonts w:hint="eastAsia" w:ascii="宋体" w:hAnsi="宋体" w:eastAsia="宋体" w:cs="仿宋_GB2312"/>
          <w:color w:val="000000"/>
          <w:kern w:val="0"/>
          <w:sz w:val="32"/>
          <w:szCs w:val="32"/>
        </w:rPr>
        <w:t xml:space="preserve"> 月 </w:t>
      </w:r>
      <w:r>
        <w:rPr>
          <w:rFonts w:hint="eastAsia" w:ascii="宋体" w:hAnsi="宋体" w:eastAsia="宋体" w:cs="仿宋_GB2312"/>
          <w:color w:val="000000"/>
          <w:kern w:val="0"/>
          <w:sz w:val="32"/>
          <w:szCs w:val="32"/>
          <w:lang w:val="en-US" w:eastAsia="zh-CN"/>
        </w:rPr>
        <w:t>6</w:t>
      </w:r>
      <w:r>
        <w:rPr>
          <w:rFonts w:hint="eastAsia" w:ascii="宋体" w:hAnsi="宋体" w:eastAsia="宋体" w:cs="仿宋_GB2312"/>
          <w:color w:val="000000"/>
          <w:kern w:val="0"/>
          <w:sz w:val="32"/>
          <w:szCs w:val="32"/>
        </w:rPr>
        <w:t xml:space="preserve"> 日</w:t>
      </w:r>
    </w:p>
    <w:p>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cs="Times New Roman"/>
          <w:sz w:val="32"/>
          <w:szCs w:val="32"/>
          <w:lang w:val="en-US" w:eastAsia="zh-CN"/>
        </w:rPr>
      </w:pPr>
      <w:bookmarkStart w:id="0" w:name="_Toc68703827"/>
      <w:r>
        <w:rPr>
          <w:rFonts w:hint="eastAsia" w:ascii="宋体" w:hAnsi="宋体" w:eastAsia="宋体" w:cs="Times New Roman"/>
          <w:sz w:val="32"/>
          <w:szCs w:val="32"/>
          <w:lang w:val="en-US" w:eastAsia="zh-CN"/>
        </w:rPr>
        <w:t>一、基本情况</w:t>
      </w:r>
      <w:bookmarkEnd w:id="0"/>
    </w:p>
    <w:p>
      <w:pPr>
        <w:spacing w:line="560" w:lineRule="exact"/>
        <w:ind w:firstLine="643" w:firstLineChars="200"/>
        <w:rPr>
          <w:rFonts w:hint="eastAsia" w:eastAsia="楷体_GB2312"/>
          <w:b/>
          <w:bCs/>
          <w:sz w:val="32"/>
          <w:szCs w:val="32"/>
          <w:lang w:val="en-US" w:eastAsia="zh-CN"/>
        </w:rPr>
      </w:pPr>
      <w:bookmarkStart w:id="1" w:name="_Toc68703828"/>
      <w:r>
        <w:rPr>
          <w:rFonts w:hint="eastAsia" w:eastAsia="楷体_GB2312"/>
          <w:b/>
          <w:bCs/>
          <w:sz w:val="32"/>
          <w:szCs w:val="32"/>
          <w:lang w:val="en-US" w:eastAsia="zh-CN"/>
        </w:rPr>
        <w:t>（一）项目概况。</w:t>
      </w:r>
      <w:bookmarkEnd w:id="1"/>
    </w:p>
    <w:p>
      <w:pPr>
        <w:spacing w:line="560" w:lineRule="exact"/>
        <w:ind w:firstLine="643" w:firstLineChars="200"/>
        <w:rPr>
          <w:rFonts w:hint="eastAsia" w:eastAsia="仿宋_GB2312"/>
          <w:b/>
          <w:bCs/>
          <w:sz w:val="32"/>
          <w:szCs w:val="32"/>
          <w:lang w:val="en-US" w:eastAsia="zh-CN"/>
        </w:rPr>
      </w:pPr>
      <w:bookmarkStart w:id="2" w:name="OLE_LINK1"/>
      <w:r>
        <w:rPr>
          <w:rFonts w:hint="eastAsia" w:eastAsia="仿宋_GB2312"/>
          <w:b/>
          <w:bCs/>
          <w:sz w:val="32"/>
          <w:szCs w:val="32"/>
          <w:lang w:val="en-US" w:eastAsia="zh-CN"/>
        </w:rPr>
        <w:t>1.项目背景，主要内容及实施情况</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（1）项目背景</w:t>
      </w:r>
    </w:p>
    <w:p>
      <w:pPr>
        <w:shd w:val="clear"/>
        <w:spacing w:line="600" w:lineRule="exact"/>
        <w:ind w:firstLine="640" w:firstLineChars="200"/>
        <w:outlineLvl w:val="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自治州党委政策研究室根据自治州党委统一部署，围绕党的中心工作，统筹协调各县市各部门，形成合力，对自治州政治、经济、文化、生态文明、民生保障、社会稳定、改革开放、党的建设等方面的重大问题进行调查研究，提出意见和建议，供自治州党委决策参考。组织撰写宣传、阐释党的理论和路线方针政策、治疆方略等文章和著作。</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（2）主要内容及实施情况</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主要内容：为促进经济、金融等领域科学有序的发展，以改革调研促经济社会全面发展，发挥好参谋助手作用。巴州党委政策研究室本年度计划完成目标1：完成课题调研报告和重点改革项目指导任务，专项改革方案需要领导批示；目标2：根据年度重点工作任务部署进行专项调查研究，为自治州党委提供专题情况信息。完成调研专刊和专题调研报告，并且调研报告在自治区刊物刊发以及本地媒体报道。</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实施情况：新疆巴州党委政策研究室根据自治州党委年度中心工作，已完成课题调研报告6篇、完成重点改革项目指导任务4次、编发调研专刊6期、重点工作任务专题研究报告4篇，并在刊物刊发及媒体报道4次，改革方案经领导批示采纳2次，发挥以文辅政作用，提出参考意见，供自治州党委决策参考。及时采购办公耗材8批次，购置设备1台。统筹协调各县市各部门，协调组织行业和专家力量对自治州重大问题调查研究，发挥参谋助手作用。</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2.资金投入和使用情况</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（1）资金投入情况：该项目年初预算数19.6万元，全年预算数19.6万元，实际总投入19.6万元，该项目资金已全部落实到位，资金来源为本级财政拨款。</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资金使用情况：该项目年初预算数19.6万元，全年预算数19.6万元，全年执行数14.58万元，预算执行率为74.39%，用于：10.51万元用于课题调研报告、专刊、重点工作任务专题研究报告业务费用，2.6万元用于购置设备，1.47万元用于采购办公耗材。</w:t>
      </w:r>
    </w:p>
    <w:bookmarkEnd w:id="2"/>
    <w:p>
      <w:pPr>
        <w:spacing w:line="560" w:lineRule="exact"/>
        <w:ind w:firstLine="643" w:firstLineChars="200"/>
        <w:rPr>
          <w:rFonts w:hint="default" w:eastAsia="楷体_GB2312"/>
          <w:b/>
          <w:bCs/>
          <w:sz w:val="32"/>
          <w:szCs w:val="32"/>
          <w:lang w:val="en-US" w:eastAsia="zh-CN"/>
        </w:rPr>
      </w:pPr>
      <w:bookmarkStart w:id="3" w:name="_Toc68703829"/>
      <w:r>
        <w:rPr>
          <w:rFonts w:hint="eastAsia" w:eastAsia="楷体_GB2312"/>
          <w:b/>
          <w:bCs/>
          <w:sz w:val="32"/>
          <w:szCs w:val="32"/>
          <w:lang w:val="en-US" w:eastAsia="zh-CN"/>
        </w:rPr>
        <w:t>（二）项目绩效目标</w:t>
      </w:r>
      <w:bookmarkEnd w:id="3"/>
      <w:r>
        <w:rPr>
          <w:rFonts w:hint="eastAsia" w:eastAsia="楷体_GB2312"/>
          <w:b/>
          <w:bCs/>
          <w:sz w:val="32"/>
          <w:szCs w:val="32"/>
          <w:lang w:val="en-US" w:eastAsia="zh-CN"/>
        </w:rPr>
        <w:t>，包括总体目标和阶段性目标</w:t>
      </w:r>
    </w:p>
    <w:p>
      <w:pPr>
        <w:shd w:val="clear"/>
        <w:spacing w:line="600" w:lineRule="exact"/>
        <w:ind w:firstLine="643" w:firstLineChars="200"/>
        <w:outlineLvl w:val="0"/>
        <w:rPr>
          <w:rFonts w:hint="eastAsia" w:ascii="仿宋_GB2312" w:hAnsi="仿宋_GB2312" w:eastAsia="仿宋_GB2312" w:cs="仿宋_GB2312"/>
          <w:sz w:val="32"/>
          <w:szCs w:val="32"/>
          <w:lang w:val="en-US" w:eastAsia="zh-CN"/>
        </w:rPr>
      </w:pPr>
      <w:bookmarkStart w:id="4" w:name="OLE_LINK2"/>
      <w:r>
        <w:rPr>
          <w:rFonts w:hint="eastAsia" w:ascii="Times New Roman" w:hAnsi="Times New Roman" w:eastAsia="仿宋_GB2312" w:cs="Times New Roman"/>
          <w:b/>
          <w:bCs/>
          <w:sz w:val="32"/>
          <w:szCs w:val="32"/>
          <w:lang w:val="en-US" w:eastAsia="zh-CN"/>
        </w:rPr>
        <w:t>1.总体目标：</w:t>
      </w:r>
      <w:r>
        <w:rPr>
          <w:rFonts w:hint="eastAsia" w:ascii="仿宋_GB2312" w:hAnsi="仿宋_GB2312" w:eastAsia="仿宋_GB2312" w:cs="仿宋_GB2312"/>
          <w:sz w:val="32"/>
          <w:szCs w:val="32"/>
          <w:lang w:val="en-US" w:eastAsia="zh-CN"/>
        </w:rPr>
        <w:t>自治州党委政策研究室根据自治州党委统一部署，围绕自治州党委中心工作及单位职能，完成目标1：课题调研报告不少于6篇,进行重点改革项目指导任务3次，专项改革方案领导批示次数不少于2次；目标2：根据年度重点工作任务部署进行专项调查研究，为自治州党委提供专题情况信息，编发调研专刊不少于5期,完成专题调研报告4篇以上,并且调研报告在自治区刊物刊发以及本地媒体报道3次以上；目标3：及时购置日常办公耗材大于等于8批次，成本控制在4.5万元内；购置设备不少于4个，成本少于6万元，提高单位工作效率。统筹协调各县市各部门，协调组织行业和专家力量对自治州重大问题调查研究，发挥参谋助手作用。</w:t>
      </w:r>
    </w:p>
    <w:p>
      <w:pPr>
        <w:shd w:val="clear"/>
        <w:spacing w:line="600" w:lineRule="exact"/>
        <w:ind w:firstLine="643" w:firstLineChars="200"/>
        <w:outlineLvl w:val="0"/>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b/>
          <w:bCs/>
          <w:sz w:val="32"/>
          <w:szCs w:val="32"/>
          <w:lang w:val="en-US" w:eastAsia="zh-CN"/>
        </w:rPr>
        <w:t>2.阶段性目标：</w:t>
      </w:r>
      <w:r>
        <w:rPr>
          <w:rFonts w:hint="eastAsia" w:ascii="仿宋_GB2312" w:hAnsi="仿宋_GB2312" w:eastAsia="仿宋_GB2312" w:cs="仿宋_GB2312"/>
          <w:sz w:val="32"/>
          <w:szCs w:val="32"/>
          <w:lang w:val="en-US" w:eastAsia="zh-CN"/>
        </w:rPr>
        <w:t>上半年围绕州党委重点工作部署，统筹各方力量，通过多种方式，开展各类调研，及时采购办公耗材和设备，保障日常工作顺利开展。下半年形成调研报告，经过州党委主要领导同志批示，相关内容转化为州党委主要领导讲话，为州党委决策提供了高质量服务。明确改革试点工作，先行先试，为面上改革推开提供借鉴。及时总结提炼改革典型经验，向自治区党委改革办报送经验类信息。及时跟踪各专项小组、责任单位改革任务的推进情况，开展整体督察，督促各项改革稳步推进。</w:t>
      </w:r>
    </w:p>
    <w:bookmarkEnd w:id="4"/>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cs="Times New Roman"/>
          <w:sz w:val="32"/>
          <w:szCs w:val="32"/>
          <w:lang w:val="en-US" w:eastAsia="zh-CN"/>
        </w:rPr>
      </w:pPr>
      <w:bookmarkStart w:id="5" w:name="_Toc68703830"/>
      <w:r>
        <w:rPr>
          <w:rFonts w:hint="eastAsia" w:ascii="宋体" w:hAnsi="宋体" w:eastAsia="宋体" w:cs="Times New Roman"/>
          <w:sz w:val="32"/>
          <w:szCs w:val="32"/>
          <w:lang w:val="en-US" w:eastAsia="zh-CN"/>
        </w:rPr>
        <w:t>二、绩效评价工作开展情况</w:t>
      </w:r>
      <w:bookmarkEnd w:id="5"/>
    </w:p>
    <w:p>
      <w:pPr>
        <w:spacing w:line="560" w:lineRule="exact"/>
        <w:ind w:firstLine="643" w:firstLineChars="200"/>
        <w:rPr>
          <w:rFonts w:hint="default" w:eastAsia="楷体_GB2312"/>
          <w:b/>
          <w:bCs/>
          <w:sz w:val="32"/>
          <w:szCs w:val="32"/>
          <w:lang w:val="en-US" w:eastAsia="zh-CN"/>
        </w:rPr>
      </w:pPr>
      <w:bookmarkStart w:id="6" w:name="_Toc68703831"/>
      <w:r>
        <w:rPr>
          <w:rFonts w:hint="eastAsia" w:eastAsia="楷体_GB2312"/>
          <w:b/>
          <w:bCs/>
          <w:sz w:val="32"/>
          <w:szCs w:val="32"/>
          <w:lang w:val="en-US" w:eastAsia="zh-CN"/>
        </w:rPr>
        <w:t>（一）绩效评价目的、对象和范围</w:t>
      </w:r>
      <w:bookmarkEnd w:id="6"/>
    </w:p>
    <w:p>
      <w:pPr>
        <w:spacing w:line="560" w:lineRule="exact"/>
        <w:ind w:firstLine="643" w:firstLineChars="200"/>
        <w:rPr>
          <w:rFonts w:hint="eastAsia" w:ascii="Times New Roman" w:hAnsi="Times New Roman" w:eastAsia="仿宋_GB2312" w:cs="Times New Roman"/>
          <w:b/>
          <w:bCs/>
          <w:sz w:val="32"/>
          <w:szCs w:val="32"/>
          <w:lang w:val="en-US" w:eastAsia="zh-CN"/>
        </w:rPr>
      </w:pPr>
      <w:bookmarkStart w:id="7" w:name="OLE_LINK3"/>
      <w:r>
        <w:rPr>
          <w:rFonts w:hint="eastAsia" w:ascii="Times New Roman" w:hAnsi="Times New Roman" w:eastAsia="仿宋_GB2312" w:cs="Times New Roman"/>
          <w:b/>
          <w:bCs/>
          <w:sz w:val="32"/>
          <w:szCs w:val="32"/>
          <w:lang w:val="en-US" w:eastAsia="zh-CN"/>
        </w:rPr>
        <w:t>1.绩效评价目的：</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新疆巴州党委政策研究室通过绩效评价，客观地评判政策调研及改革督导项目的管理绩效，了解和掌握政策调研及改革督导项目经费的具体情况，评价该项目资金安排的科学性、合理性、规范性和资金的使用成效，及时总结项目管理经验，完善项目管理办法，提高项目管理水平和资金使用效益。促使新疆巴州党委政策研究室根据绩效评价中发现的问题，认真加以整改，及时调整和完善单位的工作计划并加强项目绩效管理，同时为项目后续资金投入、分配和管理提供决策依据。</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2.绩效评价对象：</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政策调研及改革督导项目</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3.绩效评价范围：</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次评价从项目决策（包括绩效目标、决策过程）、项目管理（包括项目资金、项目实施）、项目产出（包括项目产出数量、产出质量、产出时效和产出成本）项目效益四个维度进行政策调研及改革督导项目评价，评价核心为资金的支出完成情况和效果。</w:t>
      </w:r>
    </w:p>
    <w:bookmarkEnd w:id="7"/>
    <w:p>
      <w:pPr>
        <w:spacing w:line="560" w:lineRule="exact"/>
        <w:ind w:firstLine="643" w:firstLineChars="200"/>
        <w:rPr>
          <w:rFonts w:hint="eastAsia" w:ascii="Times New Roman" w:hAnsi="Times New Roman" w:eastAsia="楷体_GB2312" w:cs="Times New Roman"/>
          <w:b/>
          <w:bCs/>
          <w:sz w:val="32"/>
          <w:szCs w:val="32"/>
          <w:lang w:val="en-US" w:eastAsia="zh-CN"/>
        </w:rPr>
      </w:pPr>
      <w:bookmarkStart w:id="8" w:name="_Toc68703832"/>
      <w:r>
        <w:rPr>
          <w:rFonts w:hint="eastAsia" w:ascii="Times New Roman" w:hAnsi="Times New Roman" w:eastAsia="楷体_GB2312" w:cs="Times New Roman"/>
          <w:b/>
          <w:bCs/>
          <w:sz w:val="32"/>
          <w:szCs w:val="32"/>
          <w:lang w:val="en-US" w:eastAsia="zh-CN"/>
        </w:rPr>
        <w:t>（二）绩效评价原则、评价指标体系（附表说明）、评价方法、评价标准</w:t>
      </w:r>
      <w:bookmarkEnd w:id="8"/>
    </w:p>
    <w:p>
      <w:pPr>
        <w:spacing w:line="560" w:lineRule="exact"/>
        <w:ind w:firstLine="643" w:firstLineChars="200"/>
        <w:rPr>
          <w:rFonts w:hint="eastAsia" w:ascii="Times New Roman" w:hAnsi="Times New Roman" w:eastAsia="仿宋_GB2312" w:cs="Times New Roman"/>
          <w:b/>
          <w:bCs/>
          <w:sz w:val="32"/>
          <w:szCs w:val="32"/>
          <w:lang w:val="en-US" w:eastAsia="zh-CN"/>
        </w:rPr>
      </w:pPr>
      <w:bookmarkStart w:id="9" w:name="OLE_LINK4"/>
      <w:r>
        <w:rPr>
          <w:rFonts w:hint="eastAsia" w:ascii="Times New Roman" w:hAnsi="Times New Roman" w:eastAsia="仿宋_GB2312" w:cs="Times New Roman"/>
          <w:b/>
          <w:bCs/>
          <w:sz w:val="32"/>
          <w:szCs w:val="32"/>
          <w:lang w:val="en-US" w:eastAsia="zh-CN"/>
        </w:rPr>
        <w:t>1.绩效评价原则</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本次项目绩效评价遵循以下基本原则：</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科学公正。本次项目支出绩效评价运用科学合理的方法，按照规范的程序，对项目绩效进行客观、公正的反映。巴州党委政策研究室在政策调研及改革督导项目评价中根据自治州党委政策研究室根据自治州党委统一部署、部门单位发展规划、部门职责及年初预算资金分配测算依据等方面分析可得项目设立合理、实施过程规范，资金严格按照财政审核流程规范执行，绩效目标设置依据充分、合理、明确。该次评价过程科学公正。</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统筹兼顾。本次项目支出绩效评价由本单位自主实施，即“谁支出、谁自评”。政策调研及改革督导项目由巴州党委政策研究室实施，并对项目实施情况进行单位自评，与相关科室的管理人员进行了沟通和交流，深入了解政策调研及改革督导项目资金的使用情况和项目完成情况。</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（三）激励约束。本次项目支出绩效评价结果与预算安排、政策调整、改进管理实质性挂钩，体现奖优罚劣和激励相容导向，有效要安排、低效要压减、无效要问责。</w:t>
      </w:r>
      <w:r>
        <w:rPr>
          <w:rFonts w:hint="eastAsia" w:ascii="仿宋_GB2312" w:hAnsi="仿宋_GB2312" w:eastAsia="仿宋_GB2312" w:cs="仿宋_GB2312"/>
          <w:sz w:val="32"/>
          <w:szCs w:val="32"/>
          <w:lang w:val="zh-CN" w:eastAsia="zh-CN"/>
        </w:rPr>
        <w:t>政策调研及改革督导项目严格按照预算安排实施，各科室部门从项目实施方案、项目预算、项目建设进度、项目成本、项目验收等环节，全过程对项目进行监管，明确分工，各司其职，并向本单位主要领导报告，同时年中要求各科室按照年初预算对本科室绩效工作进行自查自评，存在问题及时整改，以推进项目建设和提高项目质量，以发挥资金使用效益。</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（四）公开透明。本次项目支出绩效评价结果已依法依规公开在巴音郭楞蒙古自治州人民政府网站上，并自觉接受社会监督。</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2、评价指标体系</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绩效评价框架是开展绩效评价的核心。绩效评价框架包括评价准则、关键评价问题、评价指标、数据来源、数据收集方法等。指标体系建立过程如下：</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（1）确定评价指标</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采用层次分析法，建立评价指标体系。绩效评价将指标分为项目决策指标、项目过程指标、项目产出指标、项目效益指标四个维度，最终形成一个由多个相互联系的指标组成的多层次指标体系。</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（2）确定权重</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确定各个指标相对于项目总体绩效的权重分值。在绩效评价指标体系中，项目决策权重为25分，项目过程权重为15分，项目产出权重为40分，项目效益权重为20分。</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（3）确定指标标准值</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指标标准值是绩效评价指标的尺度，既要反映同类项目的先进水平，又要符合项目的实际绩效水平。具体采用计划标准等确定此次绩效评价指标标准值。</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shd w:val="clear"/>
        <w:spacing w:line="600" w:lineRule="exact"/>
        <w:ind w:firstLine="640" w:firstLineChars="200"/>
        <w:outlineLvl w:val="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zh-CN" w:eastAsia="zh-CN"/>
        </w:rPr>
        <w:t>具体评价指标体系详情见附件。</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3、评价方法</w:t>
      </w:r>
    </w:p>
    <w:p>
      <w:pPr>
        <w:shd w:val="clear"/>
        <w:spacing w:line="600" w:lineRule="exact"/>
        <w:ind w:firstLine="640" w:firstLineChars="200"/>
        <w:outlineLvl w:val="0"/>
        <w:rPr>
          <w:rFonts w:hint="eastAsia" w:ascii="仿宋_GB2312" w:hAnsi="仿宋_GB2312" w:eastAsia="仿宋_GB2312" w:cs="仿宋_GB2312"/>
          <w:sz w:val="32"/>
          <w:szCs w:val="32"/>
          <w:lang w:val="zh-CN" w:eastAsia="zh-CN"/>
        </w:rPr>
      </w:pPr>
      <w:r>
        <w:rPr>
          <w:rFonts w:hint="eastAsia" w:ascii="仿宋_GB2312" w:hAnsi="仿宋_GB2312" w:eastAsia="仿宋_GB2312" w:cs="仿宋_GB2312"/>
          <w:sz w:val="32"/>
          <w:szCs w:val="32"/>
          <w:lang w:val="zh-CN" w:eastAsia="zh-CN"/>
        </w:rPr>
        <w:t>绩效评价从项目决策、项目过程、项目产出、项目效益四个维度进行评价。评价对象为项目目标实施情况，评价核心为资金的支出完成情况和项目的产出效益。</w:t>
      </w:r>
    </w:p>
    <w:p>
      <w:pPr>
        <w:shd w:val="clear"/>
        <w:spacing w:line="600" w:lineRule="exact"/>
        <w:ind w:firstLine="640" w:firstLineChars="200"/>
        <w:outlineLvl w:val="0"/>
        <w:rPr>
          <w:rFonts w:hint="eastAsia" w:ascii="仿宋_GB2312" w:hAnsi="仿宋_GB2312" w:eastAsia="仿宋_GB2312" w:cs="仿宋_GB2312"/>
          <w:sz w:val="32"/>
          <w:szCs w:val="32"/>
          <w:lang w:val="zh-CN" w:eastAsia="zh-CN"/>
        </w:rPr>
      </w:pPr>
      <w:r>
        <w:rPr>
          <w:rFonts w:hint="eastAsia" w:ascii="仿宋_GB2312" w:hAnsi="仿宋_GB2312" w:eastAsia="仿宋_GB2312" w:cs="仿宋_GB2312"/>
          <w:sz w:val="32"/>
          <w:szCs w:val="32"/>
          <w:lang w:val="zh-CN" w:eastAsia="zh-CN"/>
        </w:rPr>
        <w:t>本次评价指标中，均属于定量指标，各类指标因考核内容不同和客观标准不同存在较大差异，因此核定具体指标时采用了不同方法，具体评价方法如下：</w:t>
      </w:r>
      <w:r>
        <w:rPr>
          <w:rFonts w:hint="eastAsia" w:ascii="仿宋_GB2312" w:hAnsi="仿宋_GB2312" w:eastAsia="仿宋_GB2312" w:cs="仿宋_GB2312"/>
          <w:sz w:val="32"/>
          <w:szCs w:val="32"/>
          <w:lang w:val="en-US" w:eastAsia="zh-CN"/>
        </w:rPr>
        <w:t>本次政策调研及改革督导项目支出绩效自评采用比较法和公众评判法方法，原因是：</w:t>
      </w:r>
      <w:r>
        <w:rPr>
          <w:rFonts w:hint="eastAsia" w:ascii="仿宋_GB2312" w:hAnsi="仿宋_GB2312" w:eastAsia="仿宋_GB2312" w:cs="仿宋_GB2312"/>
          <w:sz w:val="32"/>
          <w:szCs w:val="32"/>
          <w:lang w:val="zh-CN" w:eastAsia="zh-CN"/>
        </w:rPr>
        <w:t>比较法能通过对年初设置的三级指标内容与完成情况进行时对比，可以清楚明了体现出</w:t>
      </w:r>
      <w:r>
        <w:rPr>
          <w:rFonts w:hint="eastAsia" w:ascii="仿宋_GB2312" w:hAnsi="仿宋_GB2312" w:eastAsia="仿宋_GB2312" w:cs="仿宋_GB2312"/>
          <w:sz w:val="32"/>
          <w:szCs w:val="32"/>
          <w:lang w:val="en-US" w:eastAsia="zh-CN"/>
        </w:rPr>
        <w:t>政策调研及改革督导项目</w:t>
      </w:r>
      <w:r>
        <w:rPr>
          <w:rFonts w:hint="eastAsia" w:ascii="仿宋_GB2312" w:hAnsi="仿宋_GB2312" w:eastAsia="仿宋_GB2312" w:cs="仿宋_GB2312"/>
          <w:sz w:val="32"/>
          <w:szCs w:val="32"/>
          <w:lang w:val="zh-CN" w:eastAsia="zh-CN"/>
        </w:rPr>
        <w:t>实施情况。公众评判法通过公众问卷及抽样调查，了解</w:t>
      </w:r>
      <w:r>
        <w:rPr>
          <w:rFonts w:hint="eastAsia" w:ascii="仿宋_GB2312" w:hAnsi="仿宋_GB2312" w:cs="仿宋_GB2312"/>
          <w:sz w:val="32"/>
          <w:szCs w:val="32"/>
          <w:lang w:val="en-US" w:eastAsia="zh-CN"/>
        </w:rPr>
        <w:t>设备</w:t>
      </w:r>
      <w:r>
        <w:rPr>
          <w:rFonts w:hint="eastAsia" w:ascii="仿宋_GB2312" w:hAnsi="仿宋_GB2312" w:eastAsia="仿宋_GB2312" w:cs="仿宋_GB2312"/>
          <w:sz w:val="32"/>
          <w:szCs w:val="32"/>
          <w:lang w:val="zh-CN" w:eastAsia="zh-CN"/>
        </w:rPr>
        <w:t>使用人员对项目实施的满意程度，并</w:t>
      </w:r>
      <w:r>
        <w:rPr>
          <w:rFonts w:hint="eastAsia" w:ascii="仿宋_GB2312" w:hAnsi="仿宋_GB2312" w:eastAsia="仿宋_GB2312" w:cs="仿宋_GB2312"/>
          <w:sz w:val="32"/>
          <w:szCs w:val="32"/>
          <w:lang w:val="en-US" w:eastAsia="zh-CN"/>
        </w:rPr>
        <w:t>了解项目的实施对巴州党委政策研究室带来的效益影响和项目执行过程中存在的问题。</w:t>
      </w:r>
      <w:r>
        <w:rPr>
          <w:rFonts w:hint="eastAsia" w:ascii="仿宋_GB2312" w:hAnsi="仿宋_GB2312" w:eastAsia="仿宋_GB2312" w:cs="仿宋_GB2312"/>
          <w:sz w:val="32"/>
          <w:szCs w:val="32"/>
          <w:lang w:val="zh-CN" w:eastAsia="zh-CN"/>
        </w:rPr>
        <w:t>通过这种直观的方式对</w:t>
      </w:r>
      <w:r>
        <w:rPr>
          <w:rFonts w:hint="eastAsia" w:ascii="仿宋_GB2312" w:hAnsi="仿宋_GB2312" w:eastAsia="仿宋_GB2312" w:cs="仿宋_GB2312"/>
          <w:sz w:val="32"/>
          <w:szCs w:val="32"/>
          <w:lang w:val="en-US" w:eastAsia="zh-CN"/>
        </w:rPr>
        <w:t>项目实施</w:t>
      </w:r>
      <w:r>
        <w:rPr>
          <w:rFonts w:hint="eastAsia" w:ascii="仿宋_GB2312" w:hAnsi="仿宋_GB2312" w:eastAsia="仿宋_GB2312" w:cs="仿宋_GB2312"/>
          <w:sz w:val="32"/>
          <w:szCs w:val="32"/>
          <w:lang w:val="zh-CN" w:eastAsia="zh-CN"/>
        </w:rPr>
        <w:t>效果进行评判。</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4.评价标准</w:t>
      </w:r>
    </w:p>
    <w:p>
      <w:pPr>
        <w:shd w:val="clear"/>
        <w:spacing w:line="600" w:lineRule="exact"/>
        <w:ind w:firstLine="640" w:firstLineChars="200"/>
        <w:outlineLvl w:val="0"/>
        <w:rPr>
          <w:rFonts w:hint="eastAsia" w:ascii="仿宋_GB2312" w:hAnsi="仿宋_GB2312" w:eastAsia="仿宋_GB2312" w:cs="仿宋_GB2312"/>
          <w:sz w:val="32"/>
          <w:szCs w:val="32"/>
          <w:lang w:val="zh-CN" w:eastAsia="zh-CN"/>
        </w:rPr>
      </w:pPr>
      <w:r>
        <w:rPr>
          <w:rFonts w:hint="eastAsia" w:ascii="仿宋_GB2312" w:hAnsi="仿宋_GB2312" w:eastAsia="仿宋_GB2312" w:cs="仿宋_GB2312"/>
          <w:sz w:val="32"/>
          <w:szCs w:val="32"/>
          <w:lang w:val="zh-CN" w:eastAsia="zh-CN"/>
        </w:rPr>
        <w:t>绩效评价标准通常包括计划标准、行业标准、历史标准等，用于对绩效指标完成情况进行比较、分析、评价。本次评价主要采用了</w:t>
      </w:r>
      <w:r>
        <w:rPr>
          <w:rFonts w:hint="eastAsia" w:ascii="仿宋_GB2312" w:hAnsi="仿宋_GB2312" w:eastAsia="仿宋_GB2312" w:cs="仿宋_GB2312"/>
          <w:sz w:val="32"/>
          <w:szCs w:val="32"/>
          <w:lang w:val="en-US" w:eastAsia="zh-CN"/>
        </w:rPr>
        <w:t>计划标准和历史标准，原因是：该项目设置年初绩效目标申报表时预先制定工作计划和参照历史数据，并根据该项目的年度计划确定三级指标。采用计划标准、历史标准</w:t>
      </w:r>
      <w:r>
        <w:rPr>
          <w:rFonts w:hint="eastAsia" w:ascii="仿宋_GB2312" w:hAnsi="仿宋_GB2312" w:eastAsia="仿宋_GB2312" w:cs="仿宋_GB2312"/>
          <w:sz w:val="32"/>
          <w:szCs w:val="32"/>
          <w:lang w:val="zh-CN" w:eastAsia="zh-CN"/>
        </w:rPr>
        <w:t>对项目实施带来的产出和效益进行对比核实，</w:t>
      </w:r>
      <w:r>
        <w:rPr>
          <w:rFonts w:hint="eastAsia" w:ascii="仿宋_GB2312" w:hAnsi="仿宋_GB2312" w:eastAsia="仿宋_GB2312" w:cs="仿宋_GB2312"/>
          <w:sz w:val="32"/>
          <w:szCs w:val="32"/>
          <w:lang w:val="en-US" w:eastAsia="zh-CN"/>
        </w:rPr>
        <w:t>可提高预算编制和预算额度测算准确率，使评价结果更加科学真实</w:t>
      </w:r>
      <w:r>
        <w:rPr>
          <w:rFonts w:hint="eastAsia" w:ascii="仿宋_GB2312" w:hAnsi="仿宋_GB2312" w:eastAsia="仿宋_GB2312" w:cs="仿宋_GB2312"/>
          <w:sz w:val="32"/>
          <w:szCs w:val="32"/>
          <w:lang w:val="zh-CN" w:eastAsia="zh-CN"/>
        </w:rPr>
        <w:t>。</w:t>
      </w:r>
    </w:p>
    <w:bookmarkEnd w:id="9"/>
    <w:p>
      <w:pPr>
        <w:spacing w:line="560" w:lineRule="exact"/>
        <w:ind w:firstLine="643" w:firstLineChars="200"/>
        <w:rPr>
          <w:rFonts w:hint="eastAsia" w:ascii="Times New Roman" w:hAnsi="Times New Roman" w:eastAsia="楷体_GB2312" w:cs="Times New Roman"/>
          <w:b/>
          <w:bCs/>
          <w:sz w:val="32"/>
          <w:szCs w:val="32"/>
          <w:lang w:val="en-US" w:eastAsia="zh-CN"/>
        </w:rPr>
      </w:pPr>
      <w:bookmarkStart w:id="10" w:name="_Toc68703833"/>
      <w:r>
        <w:rPr>
          <w:rFonts w:hint="eastAsia" w:ascii="Times New Roman" w:hAnsi="Times New Roman" w:eastAsia="楷体_GB2312" w:cs="Times New Roman"/>
          <w:b/>
          <w:bCs/>
          <w:sz w:val="32"/>
          <w:szCs w:val="32"/>
          <w:lang w:val="en-US" w:eastAsia="zh-CN"/>
        </w:rPr>
        <w:t>（三）绩效评价工作过程</w:t>
      </w:r>
      <w:bookmarkEnd w:id="10"/>
    </w:p>
    <w:p>
      <w:pPr>
        <w:shd w:val="clear"/>
        <w:spacing w:line="600" w:lineRule="exact"/>
        <w:ind w:firstLine="643" w:firstLineChars="200"/>
        <w:outlineLvl w:val="0"/>
        <w:rPr>
          <w:rFonts w:hint="eastAsia" w:ascii="仿宋_GB2312" w:hAnsi="仿宋_GB2312" w:eastAsia="仿宋_GB2312" w:cs="仿宋_GB2312"/>
          <w:sz w:val="32"/>
          <w:szCs w:val="32"/>
          <w:lang w:val="zh-CN" w:eastAsia="zh-CN"/>
        </w:rPr>
      </w:pPr>
      <w:bookmarkStart w:id="11" w:name="OLE_LINK5"/>
      <w:bookmarkStart w:id="12" w:name="_Toc68703834"/>
      <w:r>
        <w:rPr>
          <w:rFonts w:hint="eastAsia" w:ascii="Times New Roman" w:hAnsi="Times New Roman" w:eastAsia="仿宋_GB2312" w:cs="Times New Roman"/>
          <w:b/>
          <w:bCs/>
          <w:sz w:val="32"/>
          <w:szCs w:val="32"/>
          <w:lang w:val="en-US" w:eastAsia="zh-CN"/>
        </w:rPr>
        <w:t>1.</w:t>
      </w:r>
      <w:r>
        <w:rPr>
          <w:rFonts w:hint="eastAsia" w:ascii="Times New Roman" w:hAnsi="Times New Roman" w:eastAsia="仿宋_GB2312" w:cs="Times New Roman"/>
          <w:b/>
          <w:bCs/>
          <w:sz w:val="32"/>
          <w:szCs w:val="32"/>
          <w:lang w:val="zh-CN" w:eastAsia="zh-CN"/>
        </w:rPr>
        <w:t>前期准备。</w:t>
      </w:r>
      <w:r>
        <w:rPr>
          <w:rFonts w:hint="eastAsia" w:ascii="仿宋_GB2312" w:hAnsi="仿宋_GB2312" w:eastAsia="仿宋_GB2312" w:cs="仿宋_GB2312"/>
          <w:sz w:val="32"/>
          <w:szCs w:val="32"/>
          <w:lang w:val="zh-CN" w:eastAsia="zh-CN"/>
        </w:rPr>
        <w:t>新疆巴州党委政策研究室成立评价工作组，开始前期准备工作，评价组通过前期调研</w:t>
      </w:r>
      <w:r>
        <w:rPr>
          <w:rFonts w:hint="eastAsia" w:ascii="仿宋_GB2312" w:hAnsi="仿宋_GB2312" w:eastAsia="仿宋_GB2312" w:cs="仿宋_GB2312"/>
          <w:sz w:val="32"/>
          <w:szCs w:val="32"/>
          <w:lang w:val="en-US" w:eastAsia="zh-CN"/>
        </w:rPr>
        <w:t>确定绩效评价对象为政策调研及改革督导项目，</w:t>
      </w:r>
      <w:r>
        <w:rPr>
          <w:rFonts w:hint="eastAsia" w:ascii="仿宋_GB2312" w:hAnsi="仿宋_GB2312" w:eastAsia="仿宋_GB2312" w:cs="仿宋_GB2312"/>
          <w:sz w:val="32"/>
          <w:szCs w:val="32"/>
          <w:lang w:val="zh-CN" w:eastAsia="zh-CN"/>
        </w:rPr>
        <w:t>本次评价范围从决策、过程、产出和效益四个方面，包括项目具体的数量指标、质量指标、时效指标、成本指标、经济效益指标、社会效益指标、可持续影响指标及满意度指标。确定评价的目的，通过了解该项目主要内容及实施情况，根据年度重点工作任务部署进行专项调查研究，完成调研专刊和专题调研报告，并且调研报告在自治区刊物刊发以及本地媒体报道，为自治州党委提供政策参考意见建议</w:t>
      </w:r>
      <w:r>
        <w:rPr>
          <w:rFonts w:hint="eastAsia" w:ascii="仿宋_GB2312" w:hAnsi="仿宋_GB2312" w:eastAsia="仿宋_GB2312" w:cs="仿宋_GB2312"/>
          <w:sz w:val="32"/>
          <w:szCs w:val="32"/>
          <w:lang w:val="en-US" w:eastAsia="zh-CN"/>
        </w:rPr>
        <w:t>。绩效自评采用比较法和公众评判法方法，</w:t>
      </w:r>
      <w:r>
        <w:rPr>
          <w:rFonts w:hint="eastAsia" w:ascii="仿宋_GB2312" w:hAnsi="仿宋_GB2312" w:eastAsia="仿宋_GB2312" w:cs="仿宋_GB2312"/>
          <w:sz w:val="32"/>
          <w:szCs w:val="32"/>
          <w:lang w:val="zh-CN" w:eastAsia="zh-CN"/>
        </w:rPr>
        <w:t>以及科学公正、统筹兼顾、激励约束和公开透明的评价原则，根据项目的内容制定了政策调研及改革督导项目评价指标体系，并采用</w:t>
      </w:r>
      <w:r>
        <w:rPr>
          <w:rFonts w:hint="eastAsia" w:ascii="仿宋_GB2312" w:hAnsi="仿宋_GB2312" w:eastAsia="仿宋_GB2312" w:cs="仿宋_GB2312"/>
          <w:sz w:val="32"/>
          <w:szCs w:val="32"/>
          <w:lang w:val="en-US" w:eastAsia="zh-CN"/>
        </w:rPr>
        <w:t>计划标准和历史标准二个</w:t>
      </w:r>
      <w:r>
        <w:rPr>
          <w:rFonts w:hint="eastAsia" w:ascii="仿宋_GB2312" w:hAnsi="仿宋_GB2312" w:eastAsia="仿宋_GB2312" w:cs="仿宋_GB2312"/>
          <w:sz w:val="32"/>
          <w:szCs w:val="32"/>
          <w:lang w:val="zh-CN" w:eastAsia="zh-CN"/>
        </w:rPr>
        <w:t>评价标准，确定了绩效评价工作方案。接着确定现场和非现场评价范围；最后制定评价实施方案并进行论证。</w:t>
      </w:r>
    </w:p>
    <w:p>
      <w:pPr>
        <w:shd w:val="clear"/>
        <w:spacing w:line="600" w:lineRule="exact"/>
        <w:ind w:firstLine="643" w:firstLineChars="200"/>
        <w:outlineLvl w:val="0"/>
        <w:rPr>
          <w:rFonts w:hint="eastAsia" w:ascii="仿宋_GB2312" w:hAnsi="仿宋_GB2312" w:eastAsia="仿宋_GB2312" w:cs="仿宋_GB2312"/>
          <w:sz w:val="32"/>
          <w:szCs w:val="32"/>
          <w:lang w:val="zh-CN" w:eastAsia="zh-CN"/>
        </w:rPr>
      </w:pPr>
      <w:r>
        <w:rPr>
          <w:rFonts w:hint="eastAsia" w:ascii="Times New Roman" w:hAnsi="Times New Roman" w:eastAsia="仿宋_GB2312" w:cs="Times New Roman"/>
          <w:b/>
          <w:bCs/>
          <w:sz w:val="32"/>
          <w:szCs w:val="32"/>
          <w:lang w:val="en-US" w:eastAsia="zh-CN"/>
        </w:rPr>
        <w:t>2.</w:t>
      </w:r>
      <w:r>
        <w:rPr>
          <w:rFonts w:hint="eastAsia" w:ascii="Times New Roman" w:hAnsi="Times New Roman" w:eastAsia="仿宋_GB2312" w:cs="Times New Roman"/>
          <w:b/>
          <w:bCs/>
          <w:sz w:val="32"/>
          <w:szCs w:val="32"/>
          <w:lang w:val="zh-CN" w:eastAsia="zh-CN"/>
        </w:rPr>
        <w:t>组织实施。</w:t>
      </w:r>
      <w:r>
        <w:rPr>
          <w:rFonts w:hint="eastAsia" w:ascii="仿宋_GB2312" w:hAnsi="仿宋_GB2312" w:eastAsia="仿宋_GB2312" w:cs="仿宋_GB2312"/>
          <w:sz w:val="32"/>
          <w:szCs w:val="32"/>
          <w:lang w:val="zh-CN" w:eastAsia="zh-CN"/>
        </w:rPr>
        <w:t>政策调研及改革督导项目评价工作进入实施阶段，评价组收集绩效评价相关</w:t>
      </w:r>
      <w:r>
        <w:rPr>
          <w:rFonts w:hint="default" w:ascii="仿宋_GB2312" w:hAnsi="仿宋_GB2312" w:eastAsia="仿宋_GB2312" w:cs="仿宋_GB2312"/>
          <w:sz w:val="32"/>
          <w:szCs w:val="32"/>
          <w:lang w:val="en-US" w:eastAsia="zh-CN"/>
        </w:rPr>
        <w:t>的合同</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财务资料</w:t>
      </w:r>
      <w:r>
        <w:rPr>
          <w:rFonts w:hint="eastAsia" w:ascii="仿宋_GB2312" w:hAnsi="仿宋_GB2312" w:eastAsia="仿宋_GB2312" w:cs="仿宋_GB2312"/>
          <w:sz w:val="32"/>
          <w:szCs w:val="32"/>
          <w:lang w:val="en-US" w:eastAsia="zh-CN"/>
        </w:rPr>
        <w:t>和</w:t>
      </w:r>
      <w:r>
        <w:rPr>
          <w:rFonts w:hint="default" w:ascii="仿宋_GB2312" w:hAnsi="仿宋_GB2312" w:eastAsia="仿宋_GB2312" w:cs="仿宋_GB2312"/>
          <w:sz w:val="32"/>
          <w:szCs w:val="32"/>
          <w:lang w:val="en-US" w:eastAsia="zh-CN"/>
        </w:rPr>
        <w:t>档案资料</w:t>
      </w:r>
      <w:r>
        <w:rPr>
          <w:rFonts w:hint="eastAsia" w:ascii="仿宋_GB2312" w:hAnsi="仿宋_GB2312" w:eastAsia="仿宋_GB2312" w:cs="仿宋_GB2312"/>
          <w:sz w:val="32"/>
          <w:szCs w:val="32"/>
          <w:lang w:val="zh-CN" w:eastAsia="zh-CN"/>
        </w:rPr>
        <w:t>，并通过现场访谈，与项目实施负责人沟通，了解资金的内容、资金使用方向和项目的实施带来的效益以及是否达到预期目标等情况，评价组通过整理分析形成初步结论。</w:t>
      </w:r>
    </w:p>
    <w:p>
      <w:pPr>
        <w:shd w:val="clear"/>
        <w:spacing w:line="600" w:lineRule="exact"/>
        <w:ind w:firstLine="643" w:firstLineChars="200"/>
        <w:outlineLvl w:val="0"/>
        <w:rPr>
          <w:rFonts w:hint="eastAsia" w:ascii="仿宋_GB2312" w:hAnsi="仿宋_GB2312" w:eastAsia="仿宋_GB2312" w:cs="仿宋_GB2312"/>
          <w:sz w:val="32"/>
          <w:szCs w:val="32"/>
          <w:lang w:val="zh-CN" w:eastAsia="zh-CN"/>
        </w:rPr>
      </w:pPr>
      <w:r>
        <w:rPr>
          <w:rFonts w:hint="eastAsia" w:ascii="Times New Roman" w:hAnsi="Times New Roman" w:eastAsia="仿宋_GB2312" w:cs="Times New Roman"/>
          <w:b/>
          <w:bCs/>
          <w:sz w:val="32"/>
          <w:szCs w:val="32"/>
          <w:lang w:val="en-US" w:eastAsia="zh-CN"/>
        </w:rPr>
        <w:t>3.</w:t>
      </w:r>
      <w:r>
        <w:rPr>
          <w:rFonts w:hint="eastAsia" w:ascii="Times New Roman" w:hAnsi="Times New Roman" w:eastAsia="仿宋_GB2312" w:cs="Times New Roman"/>
          <w:b/>
          <w:bCs/>
          <w:sz w:val="32"/>
          <w:szCs w:val="32"/>
          <w:lang w:val="zh-CN" w:eastAsia="zh-CN"/>
        </w:rPr>
        <w:t>分析评价。</w:t>
      </w:r>
      <w:r>
        <w:rPr>
          <w:rFonts w:hint="eastAsia" w:ascii="仿宋_GB2312" w:hAnsi="仿宋_GB2312" w:eastAsia="仿宋_GB2312" w:cs="仿宋_GB2312"/>
          <w:sz w:val="32"/>
          <w:szCs w:val="32"/>
          <w:lang w:val="zh-CN" w:eastAsia="zh-CN"/>
        </w:rPr>
        <w:t>根据收集梳理的资料围绕项目立项、资金落实、业务管理、财务管理、项目产出、项目效益等内容，按照绩效科学公正、统筹兼顾、激励约束和公开透明评价原则，对照已确定的绩效评价指标进行详细全面的分析评价，逐项打分并形成绩效评价最终结果。</w:t>
      </w:r>
    </w:p>
    <w:bookmarkEnd w:id="11"/>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cs="Times New Roman"/>
          <w:sz w:val="32"/>
          <w:szCs w:val="32"/>
          <w:lang w:val="en-US" w:eastAsia="zh-CN"/>
        </w:rPr>
      </w:pPr>
      <w:r>
        <w:rPr>
          <w:rFonts w:hint="eastAsia" w:ascii="宋体" w:hAnsi="宋体" w:eastAsia="宋体" w:cs="Times New Roman"/>
          <w:sz w:val="32"/>
          <w:szCs w:val="32"/>
          <w:lang w:val="en-US" w:eastAsia="zh-CN"/>
        </w:rPr>
        <w:t>三、综合评价情况及评价结论</w:t>
      </w:r>
      <w:bookmarkEnd w:id="12"/>
    </w:p>
    <w:p>
      <w:pPr>
        <w:spacing w:line="560" w:lineRule="exact"/>
        <w:ind w:firstLine="643" w:firstLineChars="200"/>
        <w:rPr>
          <w:rFonts w:hint="eastAsia" w:ascii="Times New Roman" w:hAnsi="Times New Roman" w:eastAsia="楷体_GB2312" w:cs="Times New Roman"/>
          <w:b/>
          <w:bCs/>
          <w:sz w:val="32"/>
          <w:szCs w:val="32"/>
          <w:lang w:val="en-US" w:eastAsia="zh-CN"/>
        </w:rPr>
      </w:pPr>
      <w:bookmarkStart w:id="13" w:name="_Toc68703835"/>
      <w:bookmarkStart w:id="14" w:name="OLE_LINK6"/>
      <w:r>
        <w:rPr>
          <w:rFonts w:hint="eastAsia" w:ascii="Times New Roman" w:hAnsi="Times New Roman" w:eastAsia="楷体_GB2312" w:cs="Times New Roman"/>
          <w:b/>
          <w:bCs/>
          <w:sz w:val="32"/>
          <w:szCs w:val="32"/>
          <w:lang w:val="en-US" w:eastAsia="zh-CN"/>
        </w:rPr>
        <w:t>（一）综合评价情况</w:t>
      </w:r>
      <w:bookmarkEnd w:id="13"/>
      <w:r>
        <w:rPr>
          <w:rFonts w:hint="eastAsia" w:ascii="Times New Roman" w:hAnsi="Times New Roman" w:eastAsia="楷体_GB2312" w:cs="Times New Roman"/>
          <w:b/>
          <w:bCs/>
          <w:sz w:val="32"/>
          <w:szCs w:val="32"/>
          <w:lang w:val="en-US" w:eastAsia="zh-CN"/>
        </w:rPr>
        <w:t>及评价结论</w:t>
      </w:r>
    </w:p>
    <w:p>
      <w:pPr>
        <w:shd w:val="clear"/>
        <w:spacing w:line="600" w:lineRule="exact"/>
        <w:ind w:firstLine="643" w:firstLineChars="200"/>
        <w:outlineLvl w:val="0"/>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b/>
          <w:bCs/>
          <w:sz w:val="32"/>
          <w:szCs w:val="32"/>
          <w:lang w:val="en-US" w:eastAsia="zh-CN"/>
        </w:rPr>
        <w:t>1.综合评价情况：</w:t>
      </w:r>
      <w:r>
        <w:rPr>
          <w:rFonts w:hint="eastAsia" w:ascii="仿宋_GB2312" w:hAnsi="仿宋_GB2312" w:eastAsia="仿宋_GB2312" w:cs="仿宋_GB2312"/>
          <w:sz w:val="32"/>
          <w:szCs w:val="32"/>
          <w:lang w:val="en-US" w:eastAsia="zh-CN"/>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政策调研及改革督导项目严格按照科学公正、统筹兼顾、激励约束、公开透明的绩效评价原则，采用比较法和公众评判法方法，坚持计划标准和历史标准对本项目的立项、绩效目标、资金投入、资金管理、组织实施、产出数量、产出质量、产出时效、产出成本、项目效益进行了综合评价。</w:t>
      </w:r>
    </w:p>
    <w:p>
      <w:pPr>
        <w:spacing w:line="560" w:lineRule="exact"/>
        <w:ind w:firstLine="643" w:firstLineChars="200"/>
        <w:rPr>
          <w:rFonts w:hint="eastAsia" w:ascii="Times New Roman" w:hAnsi="Times New Roman" w:eastAsia="仿宋_GB2312" w:cs="Times New Roman"/>
          <w:b/>
          <w:bCs/>
          <w:sz w:val="32"/>
          <w:szCs w:val="32"/>
          <w:lang w:val="en-US" w:eastAsia="zh-CN"/>
        </w:rPr>
      </w:pPr>
      <w:bookmarkStart w:id="15" w:name="_Toc68703836"/>
      <w:r>
        <w:rPr>
          <w:rFonts w:hint="eastAsia" w:ascii="Times New Roman" w:hAnsi="Times New Roman" w:eastAsia="仿宋_GB2312" w:cs="Times New Roman"/>
          <w:b/>
          <w:bCs/>
          <w:sz w:val="32"/>
          <w:szCs w:val="32"/>
          <w:lang w:val="en-US" w:eastAsia="zh-CN"/>
        </w:rPr>
        <w:t>2.评价结论</w:t>
      </w:r>
      <w:bookmarkEnd w:id="15"/>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运用绩效评价组制定的评价指标体系以及财政部《项目支出绩效评价管理办法》（财预〔2020〕10号）文件的评分标准，通过数据采集、问卷调查及访谈等方式，对本项目进行客观评价，最终评分结果：总得分为94.98分，属于“优”。其中，项目决策类指标权重为25分，得分为24分，得分率为 96%。项目过程类指标权重为15分，得分为14.23分，得分率为94.87%。项目产出类指标权重为40分，得分为36.75分，得分率为91.88%。项目效益类指标权重为20分，得分为20分，得分率为100%。</w:t>
      </w:r>
    </w:p>
    <w:p>
      <w:pPr>
        <w:spacing w:line="560" w:lineRule="exact"/>
        <w:ind w:firstLine="643" w:firstLineChars="200"/>
        <w:rPr>
          <w:rFonts w:hint="eastAsia" w:ascii="Times New Roman" w:hAnsi="Times New Roman" w:eastAsia="楷体_GB2312" w:cs="Times New Roman"/>
          <w:b/>
          <w:bCs/>
          <w:sz w:val="32"/>
          <w:szCs w:val="32"/>
          <w:lang w:val="en-US" w:eastAsia="zh-CN"/>
        </w:rPr>
      </w:pPr>
      <w:r>
        <w:rPr>
          <w:rFonts w:hint="eastAsia" w:ascii="Times New Roman" w:hAnsi="Times New Roman" w:eastAsia="楷体_GB2312" w:cs="Times New Roman"/>
          <w:b/>
          <w:bCs/>
          <w:sz w:val="32"/>
          <w:szCs w:val="32"/>
          <w:lang w:val="en-US" w:eastAsia="zh-CN"/>
        </w:rPr>
        <w:t>（二）相关评分表</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具体打分情况详见：附件1综合评分表。</w:t>
      </w:r>
    </w:p>
    <w:p>
      <w:pPr>
        <w:pageBreakBefore w:val="0"/>
        <w:kinsoku/>
        <w:wordWrap/>
        <w:overflowPunct/>
        <w:topLinePunct w:val="0"/>
        <w:autoSpaceDE/>
        <w:autoSpaceDN/>
        <w:bidi w:val="0"/>
        <w:adjustRightInd/>
        <w:snapToGrid/>
        <w:spacing w:line="560" w:lineRule="exact"/>
        <w:ind w:firstLine="640" w:firstLineChars="200"/>
        <w:jc w:val="center"/>
        <w:textAlignment w:val="auto"/>
        <w:rPr>
          <w:color w:val="auto"/>
          <w:sz w:val="32"/>
          <w:szCs w:val="32"/>
        </w:rPr>
      </w:pPr>
      <w:r>
        <w:rPr>
          <w:rFonts w:hint="eastAsia"/>
          <w:color w:val="auto"/>
          <w:sz w:val="32"/>
          <w:szCs w:val="32"/>
        </w:rPr>
        <w:t>政策调研及改革督导项目评价得分情况</w:t>
      </w:r>
    </w:p>
    <w:tbl>
      <w:tblPr>
        <w:tblStyle w:val="14"/>
        <w:tblW w:w="7583" w:type="dxa"/>
        <w:jc w:val="center"/>
        <w:tblInd w:w="0" w:type="dxa"/>
        <w:tblLayout w:type="fixed"/>
        <w:tblCellMar>
          <w:top w:w="0" w:type="dxa"/>
          <w:left w:w="108" w:type="dxa"/>
          <w:bottom w:w="0" w:type="dxa"/>
          <w:right w:w="108" w:type="dxa"/>
        </w:tblCellMar>
      </w:tblPr>
      <w:tblGrid>
        <w:gridCol w:w="3137"/>
        <w:gridCol w:w="2168"/>
        <w:gridCol w:w="2278"/>
      </w:tblGrid>
      <w:tr>
        <w:tblPrEx>
          <w:tblLayout w:type="fixed"/>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得分</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25</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24</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15</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14.23</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36.75</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bookmarkStart w:id="36" w:name="_GoBack"/>
            <w:bookmarkStart w:id="16" w:name="OLE_LINK15"/>
            <w:r>
              <w:rPr>
                <w:rFonts w:hint="eastAsia"/>
                <w:b/>
                <w:bCs/>
                <w:color w:val="000000"/>
                <w:sz w:val="22"/>
              </w:rPr>
              <w:t>94.98</w:t>
            </w:r>
            <w:bookmarkEnd w:id="36"/>
            <w:bookmarkEnd w:id="16"/>
          </w:p>
        </w:tc>
      </w:tr>
    </w:tbl>
    <w:p>
      <w:pPr>
        <w:pStyle w:val="10"/>
        <w:pageBreakBefore w:val="0"/>
        <w:kinsoku/>
        <w:wordWrap/>
        <w:overflowPunct/>
        <w:topLinePunct w:val="0"/>
        <w:autoSpaceDE/>
        <w:autoSpaceDN/>
        <w:bidi w:val="0"/>
        <w:adjustRightInd/>
        <w:snapToGrid/>
        <w:spacing w:before="0" w:after="0" w:line="560" w:lineRule="exact"/>
        <w:ind w:firstLine="640" w:firstLineChars="200"/>
        <w:textAlignment w:val="auto"/>
      </w:pPr>
    </w:p>
    <w:bookmarkEnd w:id="14"/>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cs="Times New Roman"/>
          <w:sz w:val="32"/>
          <w:szCs w:val="32"/>
          <w:lang w:val="en-US" w:eastAsia="zh-CN"/>
        </w:rPr>
      </w:pPr>
      <w:bookmarkStart w:id="17" w:name="_Toc68703837"/>
      <w:r>
        <w:rPr>
          <w:rFonts w:hint="eastAsia" w:ascii="宋体" w:hAnsi="宋体" w:eastAsia="宋体" w:cs="Times New Roman"/>
          <w:sz w:val="32"/>
          <w:szCs w:val="32"/>
          <w:lang w:val="en-US" w:eastAsia="zh-CN"/>
        </w:rPr>
        <w:t>四、绩效评价指标分析</w:t>
      </w:r>
      <w:bookmarkEnd w:id="17"/>
    </w:p>
    <w:p>
      <w:pPr>
        <w:spacing w:line="560" w:lineRule="exact"/>
        <w:ind w:firstLine="643" w:firstLineChars="200"/>
        <w:rPr>
          <w:rFonts w:hint="eastAsia" w:ascii="Times New Roman" w:hAnsi="Times New Roman" w:eastAsia="楷体_GB2312" w:cs="Times New Roman"/>
          <w:b/>
          <w:bCs/>
          <w:sz w:val="32"/>
          <w:szCs w:val="32"/>
          <w:lang w:val="en-US" w:eastAsia="zh-CN"/>
        </w:rPr>
      </w:pPr>
      <w:bookmarkStart w:id="18" w:name="_Toc68703838"/>
      <w:r>
        <w:rPr>
          <w:rFonts w:hint="eastAsia" w:ascii="Times New Roman" w:hAnsi="Times New Roman" w:eastAsia="楷体_GB2312" w:cs="Times New Roman"/>
          <w:b/>
          <w:bCs/>
          <w:sz w:val="32"/>
          <w:szCs w:val="32"/>
          <w:lang w:val="en-US" w:eastAsia="zh-CN"/>
        </w:rPr>
        <w:t>（一）项目决策情况</w:t>
      </w:r>
      <w:bookmarkEnd w:id="18"/>
    </w:p>
    <w:p>
      <w:pPr>
        <w:spacing w:line="560" w:lineRule="exact"/>
        <w:ind w:firstLine="643" w:firstLineChars="200"/>
        <w:rPr>
          <w:rFonts w:hint="default" w:ascii="Times New Roman" w:hAnsi="Times New Roman" w:eastAsia="仿宋_GB2312" w:cs="Times New Roman"/>
          <w:b/>
          <w:bCs/>
          <w:sz w:val="32"/>
          <w:szCs w:val="32"/>
          <w:lang w:val="en-US" w:eastAsia="zh-CN"/>
        </w:rPr>
      </w:pPr>
      <w:bookmarkStart w:id="19" w:name="OLE_LINK7"/>
      <w:r>
        <w:rPr>
          <w:rFonts w:hint="eastAsia" w:ascii="Times New Roman" w:hAnsi="Times New Roman" w:eastAsia="仿宋_GB2312" w:cs="Times New Roman"/>
          <w:b/>
          <w:bCs/>
          <w:sz w:val="32"/>
          <w:szCs w:val="32"/>
          <w:lang w:val="en-US" w:eastAsia="zh-CN"/>
        </w:rPr>
        <w:t>1.立项依据充分性</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政策调研及改革督导项目立项依据：自治州党委政策研究室围绕自治州党委统一部署以及巴州党委中心工作，按照自治州党委办公室巴党办字〔2019〕19号文件及州党委政策研究室改革办工作职责。项目立项符合国家法律法规、国民经济发展规划，符合行业发展规划和政策要求。符合部门职责范围，属于部门履职所需，且属于公共财政支持范围，符合中央、地方事权支出责任划分原则，不与相关部门同类项目或部门内部相关项目重复。部门发展规划及职能文件等归档完整。</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此项权重分5分，得分5分。</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2.立项程序规范性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政策调研及改革督导项目申请、设立过程符合相关要求，</w:t>
      </w:r>
      <w:r>
        <w:rPr>
          <w:rFonts w:hint="eastAsia" w:ascii="仿宋_GB2312" w:hAnsi="仿宋_GB2312" w:eastAsia="仿宋_GB2312" w:cs="仿宋_GB2312"/>
          <w:sz w:val="32"/>
          <w:szCs w:val="32"/>
          <w:lang w:val="en-US" w:eastAsia="zh-Hans"/>
        </w:rPr>
        <w:t>严格按照审批流程准备符合要求的文件、材料；</w:t>
      </w:r>
      <w:r>
        <w:rPr>
          <w:rFonts w:hint="eastAsia" w:ascii="仿宋_GB2312" w:hAnsi="仿宋_GB2312" w:eastAsia="仿宋_GB2312" w:cs="仿宋_GB2312"/>
          <w:sz w:val="32"/>
          <w:szCs w:val="32"/>
          <w:lang w:val="en-US" w:eastAsia="zh-CN"/>
        </w:rPr>
        <w:t>根据决算依据编制工作计划和经费预算，经过与部门项目分管领导沟通、筛选确定经费预算计划，确定最终预算方案。项目的审批文件、材料符合相关要求，项目事前经过必要的集体决策，保障了程序的规范性。</w:t>
      </w:r>
    </w:p>
    <w:p>
      <w:pPr>
        <w:shd w:val="clear"/>
        <w:spacing w:line="600" w:lineRule="exact"/>
        <w:ind w:firstLine="640" w:firstLineChars="200"/>
        <w:outlineLvl w:val="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此项权重分4分，得分4分。</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3.绩效目标合理性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政策调研及改革督导项目设立了项目绩效目标，与编发调研专刊、撰写重点工作任务专题研究报告、重点改革项目指导和专项改革方案经领导批示采纳等具有相关性，项目的预期产出效益和效果也均能符合正常的业绩水平，并且与预算确定的项目投资额或资金量相匹配。</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此项权重分4分，得分4分。</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4.绩效指标明确性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bookmarkStart w:id="20" w:name="_Hlk68699917"/>
      <w:r>
        <w:rPr>
          <w:rFonts w:hint="eastAsia" w:ascii="仿宋_GB2312" w:hAnsi="仿宋_GB2312" w:eastAsia="仿宋_GB2312" w:cs="仿宋_GB2312"/>
          <w:sz w:val="32"/>
          <w:szCs w:val="32"/>
          <w:lang w:val="en-US" w:eastAsia="zh-CN"/>
        </w:rPr>
        <w:t>政策调研及改革督导项目将项目绩效目标细化分解为具体的绩效指标，一级指标共4条，二级指标共7条，三级指标共19条，其中量化指标条数共19条，所有绩效指标均通过清晰、可衡量的指标值予以体现，并且做到了与项目目标任务数或计划数相对应。</w:t>
      </w:r>
      <w:bookmarkEnd w:id="20"/>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此项权重分4分，得分4分。</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5.预算编制科学性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单位根据政策调研及改革督导项目相关科室提供的编发调研专刊数量、重点工作任务专题研究报告数量、重点改革项目指导次数、专项改革方案经领导批示采纳次数、采购办公耗材和设备的数量进行科学测算。预算内容与项目内容匹配，预算额度测算依据充分，按照标准编制；预算确定的项目投资额或资金量与工作任务相匹配。</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此项权重分4分，得分4分。</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6.资金分配合理性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政策调研及改革督导项目预算资金分配依据充分，但年中根据工作需求，调整了资金分配额度，12.10万元用于课题调研报告、专刊、重点工作任务专题研究报告业务费用，6万元用于购置设备，1.50万元用于采购办公耗材</w:t>
      </w:r>
      <w:r>
        <w:rPr>
          <w:rFonts w:hint="eastAsia" w:ascii="仿宋_GB2312" w:hAnsi="仿宋_GB2312" w:eastAsia="仿宋_GB2312" w:cs="仿宋_GB2312"/>
          <w:sz w:val="32"/>
          <w:szCs w:val="32"/>
          <w:lang w:val="zh-CN" w:eastAsia="zh-CN"/>
        </w:rPr>
        <w:t>。</w:t>
      </w:r>
      <w:r>
        <w:rPr>
          <w:rFonts w:hint="eastAsia" w:ascii="仿宋_GB2312" w:hAnsi="仿宋_GB2312" w:eastAsia="仿宋_GB2312" w:cs="仿宋_GB2312"/>
          <w:sz w:val="32"/>
          <w:szCs w:val="32"/>
          <w:lang w:val="en-US" w:eastAsia="zh-CN"/>
        </w:rPr>
        <w:t>资金分配额度较合理，与项目单位或地方实际相适应。</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此项权重分4分，得分3分。</w:t>
      </w:r>
    </w:p>
    <w:bookmarkEnd w:id="19"/>
    <w:p>
      <w:pPr>
        <w:spacing w:line="560" w:lineRule="exact"/>
        <w:ind w:firstLine="643" w:firstLineChars="200"/>
        <w:rPr>
          <w:rFonts w:hint="eastAsia" w:ascii="Times New Roman" w:hAnsi="Times New Roman" w:eastAsia="楷体_GB2312" w:cs="Times New Roman"/>
          <w:b/>
          <w:bCs/>
          <w:sz w:val="32"/>
          <w:szCs w:val="32"/>
          <w:lang w:val="en-US" w:eastAsia="zh-CN"/>
        </w:rPr>
      </w:pPr>
      <w:bookmarkStart w:id="21" w:name="_Toc68703839"/>
      <w:r>
        <w:rPr>
          <w:rFonts w:hint="eastAsia" w:ascii="Times New Roman" w:hAnsi="Times New Roman" w:eastAsia="楷体_GB2312" w:cs="Times New Roman"/>
          <w:b/>
          <w:bCs/>
          <w:sz w:val="32"/>
          <w:szCs w:val="32"/>
          <w:lang w:val="en-US" w:eastAsia="zh-CN"/>
        </w:rPr>
        <w:t>（二）项目过程情况</w:t>
      </w:r>
      <w:bookmarkEnd w:id="21"/>
    </w:p>
    <w:p>
      <w:pPr>
        <w:spacing w:line="560" w:lineRule="exact"/>
        <w:ind w:firstLine="643" w:firstLineChars="200"/>
        <w:rPr>
          <w:rFonts w:hint="eastAsia" w:ascii="Times New Roman" w:hAnsi="Times New Roman" w:eastAsia="仿宋_GB2312" w:cs="Times New Roman"/>
          <w:b/>
          <w:bCs/>
          <w:sz w:val="32"/>
          <w:szCs w:val="32"/>
          <w:lang w:val="en-US" w:eastAsia="zh-CN"/>
        </w:rPr>
      </w:pPr>
      <w:bookmarkStart w:id="22" w:name="OLE_LINK8"/>
      <w:r>
        <w:rPr>
          <w:rFonts w:hint="eastAsia" w:ascii="Times New Roman" w:hAnsi="Times New Roman" w:eastAsia="仿宋_GB2312" w:cs="Times New Roman"/>
          <w:b/>
          <w:bCs/>
          <w:sz w:val="32"/>
          <w:szCs w:val="32"/>
          <w:lang w:val="en-US" w:eastAsia="zh-CN"/>
        </w:rPr>
        <w:t>1.资金到位率：</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预算资金19.6万元，实际到位资金19.6万元，资金到位率100%。</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此项权重分3分，得分3分。</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2.预算执行率</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年初预算数19.6万元，全年预算数19.6万元，全年执行数14.58万元，预算执行率为74.39%。</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此项权重分3分，得分2.23分。</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3.资金使用合规性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政策调研及改革督导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此项权重分3分，得分3分。</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4.管理制度健全性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新疆巴州党委政策研究室制定了相关管理办法，对财政资金进行严格管理，做到专款专用，项目资金使用符合相关的财务管理制度规定，能够反映和考核项目资金的规范运行情况；新疆巴州党委政策研究室的财务和业务管理制度健全，能够反映和考核财务和业务管理制度对项目顺利实施的保障情况。</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此项权重分3分，得分3分。</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5.制度执行有效性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对资金使用的合法合规性进行监督，年末对资金使用效果进行评价。项目管理、实施人员落实到位，有效按照计划执行。项目执行情况等资料齐全，项目相关手续完备，及时进行归档。</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此项权重分3分，得分3分。</w:t>
      </w:r>
    </w:p>
    <w:bookmarkEnd w:id="22"/>
    <w:p>
      <w:pPr>
        <w:spacing w:line="560" w:lineRule="exact"/>
        <w:ind w:firstLine="643" w:firstLineChars="200"/>
        <w:rPr>
          <w:rFonts w:hint="eastAsia" w:ascii="Times New Roman" w:hAnsi="Times New Roman" w:eastAsia="楷体_GB2312" w:cs="Times New Roman"/>
          <w:b/>
          <w:bCs/>
          <w:sz w:val="32"/>
          <w:szCs w:val="32"/>
          <w:lang w:val="en-US" w:eastAsia="zh-CN"/>
        </w:rPr>
      </w:pPr>
      <w:bookmarkStart w:id="23" w:name="_Toc68703840"/>
      <w:r>
        <w:rPr>
          <w:rFonts w:hint="eastAsia" w:ascii="Times New Roman" w:hAnsi="Times New Roman" w:eastAsia="楷体_GB2312" w:cs="Times New Roman"/>
          <w:b/>
          <w:bCs/>
          <w:sz w:val="32"/>
          <w:szCs w:val="32"/>
          <w:lang w:val="en-US" w:eastAsia="zh-CN"/>
        </w:rPr>
        <w:t>（三）项目产出情况</w:t>
      </w:r>
      <w:bookmarkEnd w:id="23"/>
    </w:p>
    <w:p>
      <w:pPr>
        <w:shd w:val="clear"/>
        <w:spacing w:line="600" w:lineRule="exact"/>
        <w:ind w:firstLine="643" w:firstLineChars="200"/>
        <w:outlineLvl w:val="0"/>
        <w:rPr>
          <w:rFonts w:hint="eastAsia" w:ascii="仿宋_GB2312" w:hAnsi="仿宋_GB2312" w:eastAsia="仿宋_GB2312" w:cs="仿宋_GB2312"/>
          <w:sz w:val="32"/>
          <w:szCs w:val="32"/>
          <w:lang w:val="en-US" w:eastAsia="zh-CN"/>
        </w:rPr>
      </w:pPr>
      <w:bookmarkStart w:id="24" w:name="OLE_LINK9"/>
      <w:r>
        <w:rPr>
          <w:rFonts w:hint="eastAsia" w:ascii="Times New Roman" w:hAnsi="Times New Roman" w:eastAsia="仿宋_GB2312" w:cs="Times New Roman"/>
          <w:b/>
          <w:bCs/>
          <w:sz w:val="32"/>
          <w:szCs w:val="32"/>
          <w:lang w:val="en-US" w:eastAsia="zh-CN"/>
        </w:rPr>
        <w:t>1.数量指标完成情况：</w:t>
      </w:r>
      <w:r>
        <w:rPr>
          <w:rFonts w:hint="eastAsia" w:ascii="仿宋_GB2312" w:hAnsi="仿宋_GB2312" w:eastAsia="仿宋_GB2312" w:cs="仿宋_GB2312"/>
          <w:sz w:val="32"/>
          <w:szCs w:val="32"/>
          <w:lang w:val="en-US" w:eastAsia="zh-CN"/>
        </w:rPr>
        <w:t>指标1：课题调研报告数量，指标值：≥6篇，实际完成值6篇，指标完成率100%，偏差原因：无；指标2：重点改革项目指导次数，指标值：≥3次，实际完成值4次，指标完成率133.33%，偏差原因：根据实际工作需要，工作任务增加，导致重点改革项目指导增加；指标3：编发调研专刊，指标值：≥5期，实际完成值6期，指标完成率120%，偏差原因：根据州党委工作临时安排加大调研力度，编发调研专刊增加；指标4：重点工作任务专题研究报告，指标值：≥4篇，实际完成值4篇，指标完成率100%，偏差原因：无；指标5：购置办公耗材，指标值：≥8批次，实际完成值8批次，指标完成率100%，偏差原因：无；指标6：购置设备数量，指标值：≥4个，实际完成值1个，指标完成率25%，偏差原因：目前人员尚未到位，设备暂不购置。</w:t>
      </w:r>
    </w:p>
    <w:p>
      <w:pPr>
        <w:shd w:val="clear"/>
        <w:spacing w:line="600" w:lineRule="exact"/>
        <w:ind w:firstLine="640" w:firstLineChars="200"/>
        <w:outlineLvl w:val="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此项权重分10分，得分8.75分。</w:t>
      </w:r>
    </w:p>
    <w:p>
      <w:pPr>
        <w:shd w:val="clear"/>
        <w:spacing w:line="600" w:lineRule="exact"/>
        <w:ind w:firstLine="643" w:firstLineChars="200"/>
        <w:outlineLvl w:val="0"/>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b/>
          <w:bCs/>
          <w:sz w:val="32"/>
          <w:szCs w:val="32"/>
          <w:lang w:val="en-US" w:eastAsia="zh-CN"/>
        </w:rPr>
        <w:t>2.质量指标完成情况：</w:t>
      </w:r>
      <w:r>
        <w:rPr>
          <w:rFonts w:hint="eastAsia" w:ascii="仿宋_GB2312" w:hAnsi="仿宋_GB2312" w:eastAsia="仿宋_GB2312" w:cs="仿宋_GB2312"/>
          <w:sz w:val="32"/>
          <w:szCs w:val="32"/>
          <w:lang w:val="en-US" w:eastAsia="zh-CN"/>
        </w:rPr>
        <w:t>指标1：研究成果评审合格率，指标值：≥90%，实际完成值100%，指标完成率111.11%，偏差原因：研究成果评审均合格；指标2：设备政府采购率，指标值：≥95%，实际完成值100%，指标完成率105.26%，偏差原因：设备购置均通过政府采购；指标3：设备质量合格率，指标值：≥95%，实际完成值100%，指标完成率105.26%，偏差原因：设备质量均合格；指标4：设备验收合格率，指标值：≥95%，实际完成值100%，指标完成率105.26%，偏差原因：设备验收均合格。</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此项权重分10分，得分10分。</w:t>
      </w:r>
    </w:p>
    <w:p>
      <w:pPr>
        <w:shd w:val="clear"/>
        <w:spacing w:line="600" w:lineRule="exact"/>
        <w:ind w:firstLine="643" w:firstLineChars="200"/>
        <w:outlineLvl w:val="0"/>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b/>
          <w:bCs/>
          <w:sz w:val="32"/>
          <w:szCs w:val="32"/>
          <w:lang w:val="en-US" w:eastAsia="zh-CN"/>
        </w:rPr>
        <w:t>3.时效指标完成情况：</w:t>
      </w:r>
      <w:r>
        <w:rPr>
          <w:rFonts w:hint="eastAsia" w:ascii="仿宋_GB2312" w:hAnsi="仿宋_GB2312" w:eastAsia="仿宋_GB2312" w:cs="仿宋_GB2312"/>
          <w:sz w:val="32"/>
          <w:szCs w:val="32"/>
          <w:lang w:val="en-US" w:eastAsia="zh-CN"/>
        </w:rPr>
        <w:t>指标1：调研报告按期完成率，指标值：≥95%，实际完成值100%，指标完成率105.26%，偏差原因：调研报告均按期完成；指标2：设备采购及时性，指标值：≥95%，实际完成值100%，指标完成率105.26%，偏差原因：设备均按需及时采购。</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此项权重分10分，得分10分。</w:t>
      </w:r>
    </w:p>
    <w:p>
      <w:pPr>
        <w:shd w:val="clear"/>
        <w:spacing w:line="600" w:lineRule="exact"/>
        <w:ind w:firstLine="643" w:firstLineChars="200"/>
        <w:outlineLvl w:val="0"/>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b/>
          <w:bCs/>
          <w:sz w:val="32"/>
          <w:szCs w:val="32"/>
          <w:lang w:val="en-US" w:eastAsia="zh-CN"/>
        </w:rPr>
        <w:t>4.经济成本指标完成情况：</w:t>
      </w:r>
      <w:r>
        <w:rPr>
          <w:rFonts w:hint="eastAsia" w:ascii="仿宋_GB2312" w:hAnsi="仿宋_GB2312" w:eastAsia="仿宋_GB2312" w:cs="仿宋_GB2312"/>
          <w:sz w:val="32"/>
          <w:szCs w:val="32"/>
          <w:lang w:val="en-US" w:eastAsia="zh-CN"/>
        </w:rPr>
        <w:t>指标1：课题调研报告、专刊、重点工作任务专题研究报告业务费用，指标值：≤12.10万元，实际完成值10.51万元，指标完成率86.86%，偏差原因：利用一次出差开展多次调研，减少出差次数，控制支出；指标2：设备采购成本控制数，指标值：≤6万元，实际完成值2.6万元，指标完成率43.33%，偏差原因：目前人员尚未到位，设备暂不购置，支出减少；指标3：办公耗材成本控制数，指标值：≤1.50万元，实际完成值1.47万元，指标完成率98%，偏差原因：厉行节俭，严格控制办公耗材支出。</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此项权重分10分，得分8分。</w:t>
      </w:r>
    </w:p>
    <w:bookmarkEnd w:id="24"/>
    <w:p>
      <w:pPr>
        <w:spacing w:line="560" w:lineRule="exact"/>
        <w:ind w:firstLine="643" w:firstLineChars="200"/>
        <w:rPr>
          <w:rFonts w:hint="eastAsia" w:ascii="Times New Roman" w:hAnsi="Times New Roman" w:eastAsia="楷体_GB2312" w:cs="Times New Roman"/>
          <w:b/>
          <w:bCs/>
          <w:sz w:val="32"/>
          <w:szCs w:val="32"/>
          <w:lang w:val="en-US" w:eastAsia="zh-CN"/>
        </w:rPr>
      </w:pPr>
      <w:bookmarkStart w:id="25" w:name="_Toc68703841"/>
      <w:r>
        <w:rPr>
          <w:rFonts w:hint="eastAsia" w:ascii="Times New Roman" w:hAnsi="Times New Roman" w:eastAsia="楷体_GB2312" w:cs="Times New Roman"/>
          <w:b/>
          <w:bCs/>
          <w:sz w:val="32"/>
          <w:szCs w:val="32"/>
          <w:lang w:val="en-US" w:eastAsia="zh-CN"/>
        </w:rPr>
        <w:t>（四）项目效益情况</w:t>
      </w:r>
      <w:bookmarkEnd w:id="25"/>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val="0"/>
          <w:bCs w:val="0"/>
          <w:kern w:val="2"/>
          <w:sz w:val="32"/>
          <w:szCs w:val="32"/>
          <w:lang w:val="en-US" w:eastAsia="zh-CN" w:bidi="ar-SA"/>
        </w:rPr>
      </w:pPr>
      <w:bookmarkStart w:id="26" w:name="OLE_LINK10"/>
      <w:r>
        <w:rPr>
          <w:rFonts w:hint="eastAsia" w:ascii="Times New Roman" w:hAnsi="Times New Roman" w:eastAsia="仿宋_GB2312" w:cs="Times New Roman"/>
          <w:b/>
          <w:bCs/>
          <w:sz w:val="32"/>
          <w:szCs w:val="32"/>
          <w:lang w:val="en-US" w:eastAsia="zh-CN"/>
        </w:rPr>
        <w:t>1.经济效益指标完成情况：</w:t>
      </w:r>
      <w:r>
        <w:rPr>
          <w:rFonts w:hint="eastAsia" w:ascii="仿宋_GB2312" w:hAnsi="仿宋_GB2312" w:eastAsia="仿宋_GB2312" w:cs="仿宋_GB2312"/>
          <w:b w:val="0"/>
          <w:bCs w:val="0"/>
          <w:kern w:val="2"/>
          <w:sz w:val="32"/>
          <w:szCs w:val="32"/>
          <w:lang w:val="en-US" w:eastAsia="zh-CN" w:bidi="ar-SA"/>
        </w:rPr>
        <w:t>指标1：设备利用率，指标值：≥95%，实际完成值100%，指标完成率105.26%，偏差原因：设备已投入使用。</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此项权重分5分，得分5分。</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val="0"/>
          <w:bCs w:val="0"/>
          <w:kern w:val="2"/>
          <w:sz w:val="32"/>
          <w:szCs w:val="32"/>
          <w:lang w:val="en-US" w:eastAsia="zh-CN" w:bidi="ar-SA"/>
        </w:rPr>
      </w:pPr>
      <w:r>
        <w:rPr>
          <w:rFonts w:hint="eastAsia" w:ascii="Times New Roman" w:hAnsi="Times New Roman" w:eastAsia="仿宋_GB2312" w:cs="Times New Roman"/>
          <w:b/>
          <w:bCs/>
          <w:sz w:val="32"/>
          <w:szCs w:val="32"/>
          <w:lang w:val="en-US" w:eastAsia="zh-CN"/>
        </w:rPr>
        <w:t>2.社会效益指标完成情况：</w:t>
      </w:r>
      <w:r>
        <w:rPr>
          <w:rFonts w:hint="eastAsia" w:ascii="仿宋_GB2312" w:hAnsi="仿宋_GB2312" w:eastAsia="仿宋_GB2312" w:cs="仿宋_GB2312"/>
          <w:b w:val="0"/>
          <w:bCs w:val="0"/>
          <w:kern w:val="2"/>
          <w:sz w:val="32"/>
          <w:szCs w:val="32"/>
          <w:lang w:val="en-US" w:eastAsia="zh-CN" w:bidi="ar-SA"/>
        </w:rPr>
        <w:t>指标1：刊物刊发及媒体报道次数，指标值：≥3次，实际完成值4次，指标完成率133.33%，偏差原因：年内上级安排改革专项工作取得新成效，报道次数增加；指标2：各类改革方案经领导批示采纳次数，指标值：≥2次，实际完成值2次，指标完成率100%，偏差原因：无。</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此项权重分5分，得分5分。</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val="0"/>
          <w:bCs w:val="0"/>
          <w:kern w:val="2"/>
          <w:sz w:val="32"/>
          <w:szCs w:val="32"/>
          <w:lang w:val="en-US" w:eastAsia="zh-CN" w:bidi="ar-SA"/>
        </w:rPr>
      </w:pPr>
      <w:r>
        <w:rPr>
          <w:rFonts w:hint="eastAsia" w:ascii="Times New Roman" w:hAnsi="Times New Roman" w:eastAsia="仿宋_GB2312" w:cs="Times New Roman"/>
          <w:b/>
          <w:bCs/>
          <w:sz w:val="32"/>
          <w:szCs w:val="32"/>
          <w:lang w:val="en-US" w:eastAsia="zh-CN"/>
        </w:rPr>
        <w:t>3.满意度指标完成情况分析：</w:t>
      </w:r>
      <w:r>
        <w:rPr>
          <w:rFonts w:hint="eastAsia" w:ascii="仿宋_GB2312" w:hAnsi="仿宋_GB2312" w:eastAsia="仿宋_GB2312" w:cs="仿宋_GB2312"/>
          <w:b w:val="0"/>
          <w:bCs w:val="0"/>
          <w:kern w:val="2"/>
          <w:sz w:val="32"/>
          <w:szCs w:val="32"/>
          <w:lang w:val="en-US" w:eastAsia="zh-CN" w:bidi="ar-SA"/>
        </w:rPr>
        <w:t>指标1：使用人员满意度，指标值：≥90%，实际完成值100%，指标完成率111.11%，偏差原因：设备使用人员均满意。</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此项权重分10分，得分10分。</w:t>
      </w:r>
    </w:p>
    <w:bookmarkEnd w:id="26"/>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cs="Times New Roman"/>
          <w:sz w:val="32"/>
          <w:szCs w:val="32"/>
          <w:lang w:val="en-US" w:eastAsia="zh-Hans"/>
        </w:rPr>
      </w:pPr>
      <w:bookmarkStart w:id="27" w:name="_Toc68703842"/>
      <w:r>
        <w:rPr>
          <w:rFonts w:hint="eastAsia" w:ascii="宋体" w:hAnsi="宋体" w:eastAsia="宋体" w:cs="Times New Roman"/>
          <w:sz w:val="32"/>
          <w:szCs w:val="32"/>
          <w:lang w:val="en-US" w:eastAsia="zh-Hans"/>
        </w:rPr>
        <w:t>五、预算执行进度与绩效指标总体完成率偏差</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bookmarkStart w:id="28" w:name="OLE_LINK11"/>
      <w:r>
        <w:rPr>
          <w:rFonts w:hint="eastAsia" w:ascii="仿宋_GB2312" w:hAnsi="仿宋_GB2312" w:eastAsia="仿宋_GB2312" w:cs="仿宋_GB2312"/>
          <w:sz w:val="32"/>
          <w:szCs w:val="32"/>
          <w:lang w:val="en-US" w:eastAsia="zh-CN"/>
        </w:rPr>
        <w:t>政策调研及改革督导项目年初预算19.6万元，全年预算19.6万元，实际支出14.58万元，预算执行率为74.39%，项目绩效指标总体完成率为99.66%，</w:t>
      </w:r>
      <w:r>
        <w:rPr>
          <w:rFonts w:hint="eastAsia" w:ascii="仿宋_GB2312" w:hAnsi="仿宋_GB2312" w:eastAsia="仿宋_GB2312" w:cs="仿宋_GB2312"/>
          <w:sz w:val="32"/>
          <w:szCs w:val="32"/>
          <w:lang w:val="en-US" w:eastAsia="zh-Hans"/>
        </w:rPr>
        <w:t>总体</w:t>
      </w:r>
      <w:r>
        <w:rPr>
          <w:rFonts w:hint="eastAsia" w:ascii="仿宋_GB2312" w:hAnsi="仿宋_GB2312" w:eastAsia="仿宋_GB2312" w:cs="仿宋_GB2312"/>
          <w:sz w:val="32"/>
          <w:szCs w:val="32"/>
          <w:lang w:val="en-US" w:eastAsia="zh-CN"/>
        </w:rPr>
        <w:t>偏差率为25.27%,</w:t>
      </w:r>
      <w:r>
        <w:rPr>
          <w:rFonts w:hint="eastAsia" w:ascii="仿宋_GB2312" w:hAnsi="仿宋_GB2312" w:eastAsia="仿宋_GB2312" w:cs="仿宋_GB2312"/>
          <w:sz w:val="32"/>
          <w:szCs w:val="32"/>
          <w:lang w:val="en-US" w:eastAsia="zh-Hans"/>
        </w:rPr>
        <w:t>偏差</w:t>
      </w:r>
      <w:r>
        <w:rPr>
          <w:rFonts w:hint="eastAsia" w:ascii="仿宋_GB2312" w:hAnsi="仿宋_GB2312" w:eastAsia="仿宋_GB2312" w:cs="仿宋_GB2312"/>
          <w:sz w:val="32"/>
          <w:szCs w:val="32"/>
          <w:lang w:val="en-US" w:eastAsia="zh-CN"/>
        </w:rPr>
        <w:t>原因是我单位严格遵守节能降耗，利用一次出差开展多次调研，减少出差次数，控制调研费用支出，减少办公耗材消耗，导致实际支出比预算减少，偏差率较大。</w:t>
      </w:r>
      <w:r>
        <w:rPr>
          <w:rFonts w:hint="eastAsia" w:ascii="仿宋_GB2312" w:hAnsi="仿宋_GB2312" w:eastAsia="仿宋_GB2312" w:cs="仿宋_GB2312"/>
          <w:sz w:val="32"/>
          <w:szCs w:val="32"/>
          <w:lang w:val="en-US" w:eastAsia="zh-Hans"/>
        </w:rPr>
        <w:t>改进</w:t>
      </w:r>
      <w:r>
        <w:rPr>
          <w:rFonts w:hint="eastAsia" w:ascii="仿宋_GB2312" w:hAnsi="仿宋_GB2312" w:eastAsia="仿宋_GB2312" w:cs="仿宋_GB2312"/>
          <w:sz w:val="32"/>
          <w:szCs w:val="32"/>
          <w:lang w:val="en-US" w:eastAsia="zh-CN"/>
        </w:rPr>
        <w:t>措施是按照工作计划加快资金支付，发现问题及时纠正，定期对项目支出执行情况进行监督，做到实施进度与监控进度一致、财务室对资金支付进度进行监督，做到及时监控、及时反馈、及时控制。</w:t>
      </w:r>
    </w:p>
    <w:bookmarkEnd w:id="28"/>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lang w:val="en-US" w:eastAsia="zh-CN"/>
        </w:rPr>
        <w:t>六</w:t>
      </w:r>
      <w:r>
        <w:rPr>
          <w:rFonts w:hint="eastAsia" w:ascii="宋体" w:hAnsi="宋体" w:eastAsia="宋体"/>
          <w:sz w:val="32"/>
          <w:szCs w:val="32"/>
        </w:rPr>
        <w:t>、主要经验及做法、存在的问题及原因分析</w:t>
      </w:r>
      <w:bookmarkEnd w:id="27"/>
    </w:p>
    <w:p>
      <w:pPr>
        <w:spacing w:line="560" w:lineRule="exact"/>
        <w:ind w:firstLine="643" w:firstLineChars="200"/>
        <w:rPr>
          <w:rFonts w:hint="eastAsia" w:ascii="Times New Roman" w:hAnsi="Times New Roman" w:eastAsia="楷体_GB2312" w:cs="Times New Roman"/>
          <w:b/>
          <w:bCs/>
          <w:sz w:val="32"/>
          <w:szCs w:val="32"/>
          <w:lang w:val="en-US" w:eastAsia="zh-CN"/>
        </w:rPr>
      </w:pPr>
      <w:bookmarkStart w:id="29" w:name="_Toc68703843"/>
      <w:bookmarkStart w:id="30" w:name="OLE_LINK12"/>
      <w:r>
        <w:rPr>
          <w:rFonts w:hint="eastAsia" w:ascii="Times New Roman" w:hAnsi="Times New Roman" w:eastAsia="楷体_GB2312" w:cs="Times New Roman"/>
          <w:b/>
          <w:bCs/>
          <w:sz w:val="32"/>
          <w:szCs w:val="32"/>
          <w:lang w:val="en-US" w:eastAsia="zh-CN"/>
        </w:rPr>
        <w:t>（一）主要经验及做法</w:t>
      </w:r>
      <w:bookmarkEnd w:id="29"/>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单位领导高度重视，各部门分工明确，工作进度做出具体规定，将责任落实到具体部门，工作落实到具体项目，确保自评工作组织到位，责任到位，项目到位。</w:t>
      </w:r>
    </w:p>
    <w:p>
      <w:pPr>
        <w:spacing w:line="560" w:lineRule="exact"/>
        <w:ind w:firstLine="643" w:firstLineChars="200"/>
        <w:rPr>
          <w:rFonts w:hint="eastAsia" w:ascii="Times New Roman" w:hAnsi="Times New Roman" w:eastAsia="楷体_GB2312" w:cs="Times New Roman"/>
          <w:b/>
          <w:bCs/>
          <w:sz w:val="32"/>
          <w:szCs w:val="32"/>
          <w:lang w:val="en-US" w:eastAsia="zh-CN"/>
        </w:rPr>
      </w:pPr>
      <w:bookmarkStart w:id="31" w:name="_Toc68703844"/>
      <w:r>
        <w:rPr>
          <w:rFonts w:hint="eastAsia" w:ascii="Times New Roman" w:hAnsi="Times New Roman" w:eastAsia="楷体_GB2312" w:cs="Times New Roman"/>
          <w:b/>
          <w:bCs/>
          <w:sz w:val="32"/>
          <w:szCs w:val="32"/>
          <w:lang w:val="en-US" w:eastAsia="zh-CN"/>
        </w:rPr>
        <w:t>（二）存在的问题及原因分析</w:t>
      </w:r>
      <w:bookmarkEnd w:id="31"/>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存在的主要问题：</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1.实际课题调研报告数量、重点改革项目指导次数、编发调研专刊数量、购置设备数量与年初设置指标值存在偏差，在项目实际实施过程中，不能很好的按照年初制定的指标值去完成。</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2.年初预算数与全年执行数存在偏差，实际支出减少。</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原因分析：</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1.年初设置指标值时，根据本年度计划工作任务来设置，但实施期间州党委临时加大调研力度，导致重点改革项目指导次数和编发调研专刊数量实际完成值与预期值有偏差。</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2.单位严格遵守节能降耗，利用一次出差开展多次调研，减少出差次数，控制调研费用支出，减少办公耗材消耗，导致实际支出比预算减少，偏差率较大。</w:t>
      </w:r>
    </w:p>
    <w:bookmarkEnd w:id="30"/>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cs="Times New Roman"/>
          <w:sz w:val="32"/>
          <w:szCs w:val="32"/>
          <w:lang w:val="en-US" w:eastAsia="zh-CN"/>
        </w:rPr>
      </w:pPr>
      <w:bookmarkStart w:id="32" w:name="_Toc68703845"/>
      <w:r>
        <w:rPr>
          <w:rFonts w:hint="eastAsia" w:ascii="宋体" w:hAnsi="宋体" w:eastAsia="宋体" w:cs="Times New Roman"/>
          <w:sz w:val="32"/>
          <w:szCs w:val="32"/>
          <w:lang w:val="en-US" w:eastAsia="zh-CN"/>
        </w:rPr>
        <w:t>七、有关建议</w:t>
      </w:r>
      <w:bookmarkEnd w:id="32"/>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bookmarkStart w:id="33" w:name="OLE_LINK13"/>
      <w:r>
        <w:rPr>
          <w:rFonts w:hint="eastAsia" w:ascii="仿宋_GB2312" w:hAnsi="仿宋_GB2312" w:eastAsia="仿宋_GB2312" w:cs="仿宋_GB2312"/>
          <w:sz w:val="32"/>
          <w:szCs w:val="32"/>
          <w:lang w:val="en-US" w:eastAsia="zh-CN"/>
        </w:rPr>
        <w:t>1.进一步完善项目指标设置过程中有关数据和资料的收集、整理及分析，同时完善指标执行动态约束机制，若工作任务有变动，及时按照规范的流程申请变更，精准设置指标值，减少偏差。</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2.加强预算编制严谨性，进一步提高年初预算编制的准确性，加强各科室间项目实施的衔接，对本单位当年度的工作开展做到心中有数，统筹安排，精准安排预算。</w:t>
      </w:r>
    </w:p>
    <w:bookmarkEnd w:id="33"/>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34" w:name="_Toc68703846"/>
      <w:r>
        <w:rPr>
          <w:rFonts w:hint="eastAsia" w:ascii="宋体" w:hAnsi="宋体" w:eastAsia="宋体"/>
          <w:sz w:val="32"/>
          <w:szCs w:val="32"/>
          <w:lang w:val="en-US" w:eastAsia="zh-CN"/>
        </w:rPr>
        <w:t>八</w:t>
      </w:r>
      <w:r>
        <w:rPr>
          <w:rFonts w:hint="eastAsia" w:ascii="宋体" w:hAnsi="宋体" w:eastAsia="宋体"/>
          <w:sz w:val="32"/>
          <w:szCs w:val="32"/>
        </w:rPr>
        <w:t>、其他需要说明的问题</w:t>
      </w:r>
      <w:bookmarkEnd w:id="34"/>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bookmarkStart w:id="35" w:name="OLE_LINK14"/>
      <w:r>
        <w:rPr>
          <w:rFonts w:hint="eastAsia" w:ascii="仿宋_GB2312" w:hAnsi="仿宋_GB2312" w:eastAsia="仿宋_GB2312" w:cs="仿宋_GB2312"/>
          <w:sz w:val="32"/>
          <w:szCs w:val="32"/>
          <w:lang w:val="en-US" w:eastAsia="zh-CN"/>
        </w:rPr>
        <w:t>无</w:t>
      </w:r>
      <w:bookmarkEnd w:id="35"/>
    </w:p>
    <w:p>
      <w:pPr>
        <w:pageBreakBefore w:val="0"/>
        <w:kinsoku/>
        <w:wordWrap/>
        <w:overflowPunct/>
        <w:topLinePunct w:val="0"/>
        <w:autoSpaceDE/>
        <w:autoSpaceDN/>
        <w:bidi w:val="0"/>
        <w:adjustRightInd/>
        <w:snapToGrid/>
        <w:spacing w:line="560" w:lineRule="exact"/>
        <w:ind w:firstLine="600" w:firstLineChars="200"/>
        <w:textAlignment w:val="auto"/>
      </w:pPr>
    </w:p>
    <w:p>
      <w:pPr>
        <w:pageBreakBefore w:val="0"/>
        <w:kinsoku/>
        <w:wordWrap/>
        <w:overflowPunct/>
        <w:topLinePunct w:val="0"/>
        <w:autoSpaceDE/>
        <w:autoSpaceDN/>
        <w:bidi w:val="0"/>
        <w:adjustRightInd/>
        <w:snapToGrid/>
        <w:spacing w:line="560" w:lineRule="exact"/>
        <w:ind w:firstLine="600" w:firstLineChars="200"/>
        <w:textAlignment w:val="auto"/>
        <w:sectPr>
          <w:pgSz w:w="11906" w:h="16838"/>
          <w:pgMar w:top="1928" w:right="1531" w:bottom="1701" w:left="1531" w:header="737" w:footer="851" w:gutter="0"/>
          <w:cols w:space="720" w:num="1"/>
          <w:docGrid w:type="lines" w:linePitch="408" w:charSpace="0"/>
        </w:sectPr>
      </w:pPr>
    </w:p>
    <w:p>
      <w:pPr>
        <w:pStyle w:val="2"/>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w:t>
      </w:r>
    </w:p>
    <w:tbl>
      <w:tblPr>
        <w:tblStyle w:val="14"/>
        <w:tblW w:w="13992" w:type="dxa"/>
        <w:tblInd w:w="-17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91"/>
        <w:gridCol w:w="694"/>
        <w:gridCol w:w="1173"/>
        <w:gridCol w:w="3504"/>
        <w:gridCol w:w="6084"/>
        <w:gridCol w:w="937"/>
        <w:gridCol w:w="90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65" w:hRule="atLeast"/>
        </w:trPr>
        <w:tc>
          <w:tcPr>
            <w:tcW w:w="13992" w:type="dxa"/>
            <w:gridSpan w:val="7"/>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政策调研及改革督导项目支出绩效评价指标体系框架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08" w:hRule="atLeast"/>
        </w:trPr>
        <w:tc>
          <w:tcPr>
            <w:tcW w:w="69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一级指标</w:t>
            </w:r>
          </w:p>
        </w:tc>
        <w:tc>
          <w:tcPr>
            <w:tcW w:w="694" w:type="dxa"/>
            <w:tcBorders>
              <w:top w:val="single" w:color="000000" w:sz="8" w:space="0"/>
              <w:left w:val="nil"/>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二级指标</w:t>
            </w:r>
          </w:p>
        </w:tc>
        <w:tc>
          <w:tcPr>
            <w:tcW w:w="1173" w:type="dxa"/>
            <w:tcBorders>
              <w:top w:val="single" w:color="000000" w:sz="8" w:space="0"/>
              <w:left w:val="nil"/>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三级指标</w:t>
            </w:r>
          </w:p>
        </w:tc>
        <w:tc>
          <w:tcPr>
            <w:tcW w:w="3504" w:type="dxa"/>
            <w:tcBorders>
              <w:top w:val="single" w:color="000000" w:sz="8" w:space="0"/>
              <w:left w:val="nil"/>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指标解释</w:t>
            </w:r>
          </w:p>
        </w:tc>
        <w:tc>
          <w:tcPr>
            <w:tcW w:w="6084" w:type="dxa"/>
            <w:tcBorders>
              <w:top w:val="single" w:color="000000" w:sz="8" w:space="0"/>
              <w:left w:val="nil"/>
              <w:bottom w:val="single" w:color="000000" w:sz="8"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指标说明</w:t>
            </w:r>
          </w:p>
        </w:tc>
        <w:tc>
          <w:tcPr>
            <w:tcW w:w="937" w:type="dxa"/>
            <w:tcBorders>
              <w:top w:val="single" w:color="000000" w:sz="8" w:space="0"/>
              <w:left w:val="single" w:color="000000" w:sz="8" w:space="0"/>
              <w:bottom w:val="nil"/>
              <w:right w:val="single" w:color="000000" w:sz="8" w:space="0"/>
            </w:tcBorders>
            <w:shd w:val="clear" w:color="auto" w:fill="auto"/>
            <w:vAlign w:val="center"/>
          </w:tcPr>
          <w:p>
            <w:pPr>
              <w:keepNext w:val="0"/>
              <w:keepLines w:val="0"/>
              <w:widowControl/>
              <w:suppressLineNumbers w:val="0"/>
              <w:jc w:val="left"/>
              <w:textAlignment w:val="center"/>
              <w:rPr>
                <w:rFonts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权重分</w:t>
            </w:r>
          </w:p>
        </w:tc>
        <w:tc>
          <w:tcPr>
            <w:tcW w:w="909" w:type="dxa"/>
            <w:tcBorders>
              <w:top w:val="single" w:color="000000" w:sz="8" w:space="0"/>
              <w:left w:val="nil"/>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691"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决策　</w:t>
            </w:r>
          </w:p>
        </w:tc>
        <w:tc>
          <w:tcPr>
            <w:tcW w:w="694"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项目立项　</w:t>
            </w:r>
          </w:p>
        </w:tc>
        <w:tc>
          <w:tcPr>
            <w:tcW w:w="117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立项依据充分性</w:t>
            </w:r>
          </w:p>
        </w:tc>
        <w:tc>
          <w:tcPr>
            <w:tcW w:w="3504"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项目立项是否符合法律法规、相关政策、发展规划以及部门职责，用以反映和考核项目立项依据情况。</w:t>
            </w:r>
          </w:p>
        </w:tc>
        <w:tc>
          <w:tcPr>
            <w:tcW w:w="6084"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937"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5</w:t>
            </w:r>
          </w:p>
        </w:tc>
        <w:tc>
          <w:tcPr>
            <w:tcW w:w="909"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69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9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7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50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084"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①项目立项是否符合国家法律法规、国民经济发展规划和相关政策；</w:t>
            </w:r>
          </w:p>
        </w:tc>
        <w:tc>
          <w:tcPr>
            <w:tcW w:w="93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909"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69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9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7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50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084"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②项目立项是否符合行业发展规划和政策要求；</w:t>
            </w:r>
          </w:p>
        </w:tc>
        <w:tc>
          <w:tcPr>
            <w:tcW w:w="93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909"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69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9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7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50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084"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③项目立项是否与部门职责范围相符，属于部门履职所需；</w:t>
            </w:r>
          </w:p>
        </w:tc>
        <w:tc>
          <w:tcPr>
            <w:tcW w:w="93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909"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69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9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7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50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084"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④项目是否属于公共财政支持范围，是否符合中央、地方事权支出责任划分原则；</w:t>
            </w:r>
          </w:p>
        </w:tc>
        <w:tc>
          <w:tcPr>
            <w:tcW w:w="93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909"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69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9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7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50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084" w:type="dxa"/>
            <w:tcBorders>
              <w:top w:val="nil"/>
              <w:left w:val="nil"/>
              <w:bottom w:val="single" w:color="000000" w:sz="8"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⑤项目是否与相关部门同类项目或部门内部相关项目重复。</w:t>
            </w:r>
          </w:p>
        </w:tc>
        <w:tc>
          <w:tcPr>
            <w:tcW w:w="93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909"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69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9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7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立项程序规范性</w:t>
            </w:r>
          </w:p>
        </w:tc>
        <w:tc>
          <w:tcPr>
            <w:tcW w:w="3504"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项目申请、设立过程是否符合相关要求，用以反映和考核项目立项的规范情况。</w:t>
            </w:r>
          </w:p>
        </w:tc>
        <w:tc>
          <w:tcPr>
            <w:tcW w:w="6084"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937" w:type="dxa"/>
            <w:vMerge w:val="restart"/>
            <w:tcBorders>
              <w:top w:val="nil"/>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w:t>
            </w:r>
          </w:p>
        </w:tc>
        <w:tc>
          <w:tcPr>
            <w:tcW w:w="909" w:type="dxa"/>
            <w:vMerge w:val="restart"/>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69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9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7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50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084"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①项目是否按照规定的程序申请设立；</w:t>
            </w:r>
          </w:p>
        </w:tc>
        <w:tc>
          <w:tcPr>
            <w:tcW w:w="937" w:type="dxa"/>
            <w:vMerge w:val="continue"/>
            <w:tcBorders>
              <w:top w:val="nil"/>
              <w:left w:val="single" w:color="000000" w:sz="8" w:space="0"/>
              <w:bottom w:val="nil"/>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909" w:type="dxa"/>
            <w:vMerge w:val="continue"/>
            <w:tcBorders>
              <w:top w:val="nil"/>
              <w:left w:val="nil"/>
              <w:bottom w:val="nil"/>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69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9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7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50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084"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②审批文件、材料是否符合相关要求；</w:t>
            </w:r>
          </w:p>
        </w:tc>
        <w:tc>
          <w:tcPr>
            <w:tcW w:w="937" w:type="dxa"/>
            <w:vMerge w:val="continue"/>
            <w:tcBorders>
              <w:top w:val="nil"/>
              <w:left w:val="single" w:color="000000" w:sz="8" w:space="0"/>
              <w:bottom w:val="nil"/>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909" w:type="dxa"/>
            <w:vMerge w:val="continue"/>
            <w:tcBorders>
              <w:top w:val="nil"/>
              <w:left w:val="nil"/>
              <w:bottom w:val="nil"/>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69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9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7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50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084" w:type="dxa"/>
            <w:tcBorders>
              <w:top w:val="nil"/>
              <w:left w:val="nil"/>
              <w:bottom w:val="single" w:color="000000" w:sz="8"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③事前是否已经过必要的可行性研究、专家论证、风险评估、绩效评估、集体决策。</w:t>
            </w:r>
          </w:p>
        </w:tc>
        <w:tc>
          <w:tcPr>
            <w:tcW w:w="937" w:type="dxa"/>
            <w:vMerge w:val="continue"/>
            <w:tcBorders>
              <w:top w:val="nil"/>
              <w:left w:val="single" w:color="000000" w:sz="8" w:space="0"/>
              <w:bottom w:val="nil"/>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909" w:type="dxa"/>
            <w:vMerge w:val="continue"/>
            <w:tcBorders>
              <w:top w:val="nil"/>
              <w:left w:val="nil"/>
              <w:bottom w:val="nil"/>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69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94"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绩效目标　</w:t>
            </w:r>
          </w:p>
        </w:tc>
        <w:tc>
          <w:tcPr>
            <w:tcW w:w="117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绩效目标合理性</w:t>
            </w:r>
          </w:p>
        </w:tc>
        <w:tc>
          <w:tcPr>
            <w:tcW w:w="3504"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项目所设定的绩效目标是否依据充分，是否符合客观实际，用以反映和考核项目绩效目标与项目实施的相符情况。</w:t>
            </w:r>
          </w:p>
        </w:tc>
        <w:tc>
          <w:tcPr>
            <w:tcW w:w="6084"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937"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w:t>
            </w:r>
          </w:p>
        </w:tc>
        <w:tc>
          <w:tcPr>
            <w:tcW w:w="909"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69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9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7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50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084"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（如未设定预算绩效目标，也可考核其他工作任务目标）</w:t>
            </w:r>
          </w:p>
        </w:tc>
        <w:tc>
          <w:tcPr>
            <w:tcW w:w="93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909"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69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9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7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50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084"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①项目是否有绩效目标；</w:t>
            </w:r>
          </w:p>
        </w:tc>
        <w:tc>
          <w:tcPr>
            <w:tcW w:w="93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909"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69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9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7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50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084"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②项目绩效目标与实际工作内容是否具有相关性；</w:t>
            </w:r>
          </w:p>
        </w:tc>
        <w:tc>
          <w:tcPr>
            <w:tcW w:w="93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909"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69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9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7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50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084"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③项目预期产出效益和效果是否符合正常的业绩水平；</w:t>
            </w:r>
          </w:p>
        </w:tc>
        <w:tc>
          <w:tcPr>
            <w:tcW w:w="93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909"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69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9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7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50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084" w:type="dxa"/>
            <w:tcBorders>
              <w:top w:val="nil"/>
              <w:left w:val="nil"/>
              <w:bottom w:val="single" w:color="000000" w:sz="8"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④是否与预算确定的项目投资额或资金量相匹配。</w:t>
            </w:r>
          </w:p>
        </w:tc>
        <w:tc>
          <w:tcPr>
            <w:tcW w:w="93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909"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69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94"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绩效目标</w:t>
            </w:r>
          </w:p>
        </w:tc>
        <w:tc>
          <w:tcPr>
            <w:tcW w:w="117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绩效指标明确性</w:t>
            </w:r>
          </w:p>
        </w:tc>
        <w:tc>
          <w:tcPr>
            <w:tcW w:w="3504"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依据绩效目标设定的绩效指标是否清晰、细化、可衡量等，用以反映和考核项目绩效目标的明细化情况。</w:t>
            </w:r>
          </w:p>
        </w:tc>
        <w:tc>
          <w:tcPr>
            <w:tcW w:w="6084"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937" w:type="dxa"/>
            <w:vMerge w:val="restart"/>
            <w:tcBorders>
              <w:top w:val="nil"/>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w:t>
            </w:r>
          </w:p>
        </w:tc>
        <w:tc>
          <w:tcPr>
            <w:tcW w:w="909" w:type="dxa"/>
            <w:vMerge w:val="restart"/>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69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9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7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50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084"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①是否将项目绩效目标细化分解为具体的绩效指标；</w:t>
            </w:r>
          </w:p>
        </w:tc>
        <w:tc>
          <w:tcPr>
            <w:tcW w:w="937" w:type="dxa"/>
            <w:vMerge w:val="continue"/>
            <w:tcBorders>
              <w:top w:val="nil"/>
              <w:left w:val="single" w:color="000000" w:sz="8" w:space="0"/>
              <w:bottom w:val="nil"/>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909" w:type="dxa"/>
            <w:vMerge w:val="continue"/>
            <w:tcBorders>
              <w:top w:val="nil"/>
              <w:left w:val="nil"/>
              <w:bottom w:val="nil"/>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69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9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7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50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084"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②是否通过清晰、可衡量的指标值予以体现；</w:t>
            </w:r>
          </w:p>
        </w:tc>
        <w:tc>
          <w:tcPr>
            <w:tcW w:w="937" w:type="dxa"/>
            <w:vMerge w:val="continue"/>
            <w:tcBorders>
              <w:top w:val="nil"/>
              <w:left w:val="single" w:color="000000" w:sz="8" w:space="0"/>
              <w:bottom w:val="nil"/>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909" w:type="dxa"/>
            <w:vMerge w:val="continue"/>
            <w:tcBorders>
              <w:top w:val="nil"/>
              <w:left w:val="nil"/>
              <w:bottom w:val="nil"/>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69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9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7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50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084" w:type="dxa"/>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③是否与项目目标任务数或计划数相对应。</w:t>
            </w:r>
          </w:p>
        </w:tc>
        <w:tc>
          <w:tcPr>
            <w:tcW w:w="937" w:type="dxa"/>
            <w:vMerge w:val="continue"/>
            <w:tcBorders>
              <w:top w:val="nil"/>
              <w:left w:val="single" w:color="000000" w:sz="8" w:space="0"/>
              <w:bottom w:val="nil"/>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909" w:type="dxa"/>
            <w:vMerge w:val="continue"/>
            <w:tcBorders>
              <w:top w:val="nil"/>
              <w:left w:val="nil"/>
              <w:bottom w:val="nil"/>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69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94"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资金投入</w:t>
            </w:r>
          </w:p>
        </w:tc>
        <w:tc>
          <w:tcPr>
            <w:tcW w:w="117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预算编制科学性</w:t>
            </w:r>
          </w:p>
        </w:tc>
        <w:tc>
          <w:tcPr>
            <w:tcW w:w="3504"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项目预算编制是否经过科学论证、有明确标准，资金额度与年度目标是否相适应，用以反映和考核项目预算编制的科学性、合理性情况。</w:t>
            </w:r>
          </w:p>
        </w:tc>
        <w:tc>
          <w:tcPr>
            <w:tcW w:w="6084"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937"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w:t>
            </w:r>
          </w:p>
        </w:tc>
        <w:tc>
          <w:tcPr>
            <w:tcW w:w="909"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69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9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7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50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084"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①预算编制是否经过科学论证；</w:t>
            </w:r>
          </w:p>
        </w:tc>
        <w:tc>
          <w:tcPr>
            <w:tcW w:w="93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909"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69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9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7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50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084"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②预算内容与项目内容是否匹配；</w:t>
            </w:r>
          </w:p>
        </w:tc>
        <w:tc>
          <w:tcPr>
            <w:tcW w:w="93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909"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69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9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7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50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084"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③预算额度测算依据是否充分，是否按照标准编制；</w:t>
            </w:r>
          </w:p>
        </w:tc>
        <w:tc>
          <w:tcPr>
            <w:tcW w:w="93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909"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69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9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7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50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084" w:type="dxa"/>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④预算确定的项目投资额或资金量是否与工作任务相匹配。</w:t>
            </w:r>
          </w:p>
        </w:tc>
        <w:tc>
          <w:tcPr>
            <w:tcW w:w="93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909"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69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9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7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资金分配合理性</w:t>
            </w:r>
          </w:p>
        </w:tc>
        <w:tc>
          <w:tcPr>
            <w:tcW w:w="3504"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项目预算资金分配是否有测算依据，与补助单位或地方实际是否相适应，用以反映和考核项目预算资金分配的科学性、合理性情况。</w:t>
            </w:r>
          </w:p>
        </w:tc>
        <w:tc>
          <w:tcPr>
            <w:tcW w:w="6084"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937" w:type="dxa"/>
            <w:vMerge w:val="restart"/>
            <w:tcBorders>
              <w:top w:val="nil"/>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w:t>
            </w:r>
          </w:p>
        </w:tc>
        <w:tc>
          <w:tcPr>
            <w:tcW w:w="909" w:type="dxa"/>
            <w:vMerge w:val="restart"/>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69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9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7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50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084"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①预算资金分配依据是否充分；</w:t>
            </w:r>
          </w:p>
        </w:tc>
        <w:tc>
          <w:tcPr>
            <w:tcW w:w="937" w:type="dxa"/>
            <w:vMerge w:val="continue"/>
            <w:tcBorders>
              <w:top w:val="nil"/>
              <w:left w:val="single" w:color="000000" w:sz="8" w:space="0"/>
              <w:bottom w:val="nil"/>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909" w:type="dxa"/>
            <w:vMerge w:val="continue"/>
            <w:tcBorders>
              <w:top w:val="nil"/>
              <w:left w:val="nil"/>
              <w:bottom w:val="nil"/>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69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9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7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50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084" w:type="dxa"/>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②资金分配额度是否合理，与项目单位或地方实际是否相适应。</w:t>
            </w:r>
          </w:p>
        </w:tc>
        <w:tc>
          <w:tcPr>
            <w:tcW w:w="937" w:type="dxa"/>
            <w:vMerge w:val="continue"/>
            <w:tcBorders>
              <w:top w:val="nil"/>
              <w:left w:val="single" w:color="000000" w:sz="8" w:space="0"/>
              <w:bottom w:val="nil"/>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909" w:type="dxa"/>
            <w:vMerge w:val="continue"/>
            <w:tcBorders>
              <w:top w:val="nil"/>
              <w:left w:val="nil"/>
              <w:bottom w:val="nil"/>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691"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过程</w:t>
            </w:r>
          </w:p>
        </w:tc>
        <w:tc>
          <w:tcPr>
            <w:tcW w:w="694"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资金管理</w:t>
            </w:r>
          </w:p>
        </w:tc>
        <w:tc>
          <w:tcPr>
            <w:tcW w:w="117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资金到位率</w:t>
            </w:r>
          </w:p>
        </w:tc>
        <w:tc>
          <w:tcPr>
            <w:tcW w:w="3504"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实际到位资金与预算资金的比率，用以反映和考核资金落实情况对项目实施的总体保障程度。</w:t>
            </w:r>
          </w:p>
        </w:tc>
        <w:tc>
          <w:tcPr>
            <w:tcW w:w="6084"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资金到位率=（实际到位资金/预算资金）×100%。</w:t>
            </w:r>
          </w:p>
        </w:tc>
        <w:tc>
          <w:tcPr>
            <w:tcW w:w="937"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w:t>
            </w:r>
          </w:p>
        </w:tc>
        <w:tc>
          <w:tcPr>
            <w:tcW w:w="909"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69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9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7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50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084"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实际到位资金：一定时期（本年度或项目期）内落实到具体项目的资金。</w:t>
            </w:r>
          </w:p>
        </w:tc>
        <w:tc>
          <w:tcPr>
            <w:tcW w:w="93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909"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69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9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7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50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084" w:type="dxa"/>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预算资金：一定时期（本年度或项目期）内预算安排到具体项目的资金。</w:t>
            </w:r>
          </w:p>
        </w:tc>
        <w:tc>
          <w:tcPr>
            <w:tcW w:w="93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909"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69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9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7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预算执行率</w:t>
            </w:r>
          </w:p>
        </w:tc>
        <w:tc>
          <w:tcPr>
            <w:tcW w:w="3504"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项目预算资金是否按照计划执行，用以反映或考核项目预算执行情况。</w:t>
            </w:r>
          </w:p>
        </w:tc>
        <w:tc>
          <w:tcPr>
            <w:tcW w:w="6084"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预算执行率=（实际支出资金/实际到位资金）×100%。</w:t>
            </w:r>
          </w:p>
        </w:tc>
        <w:tc>
          <w:tcPr>
            <w:tcW w:w="937" w:type="dxa"/>
            <w:vMerge w:val="restart"/>
            <w:tcBorders>
              <w:top w:val="nil"/>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w:t>
            </w:r>
          </w:p>
        </w:tc>
        <w:tc>
          <w:tcPr>
            <w:tcW w:w="909" w:type="dxa"/>
            <w:vMerge w:val="restart"/>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2.23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69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9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7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50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084" w:type="dxa"/>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实际支出资金：一定时期（本年度或项目期）内项目实际拨付的资金。</w:t>
            </w:r>
          </w:p>
        </w:tc>
        <w:tc>
          <w:tcPr>
            <w:tcW w:w="937" w:type="dxa"/>
            <w:vMerge w:val="continue"/>
            <w:tcBorders>
              <w:top w:val="nil"/>
              <w:left w:val="single" w:color="000000" w:sz="8" w:space="0"/>
              <w:bottom w:val="nil"/>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909" w:type="dxa"/>
            <w:vMerge w:val="continue"/>
            <w:tcBorders>
              <w:top w:val="nil"/>
              <w:left w:val="nil"/>
              <w:bottom w:val="nil"/>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69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94"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资金管理</w:t>
            </w:r>
          </w:p>
        </w:tc>
        <w:tc>
          <w:tcPr>
            <w:tcW w:w="117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资金使用合规性</w:t>
            </w:r>
          </w:p>
        </w:tc>
        <w:tc>
          <w:tcPr>
            <w:tcW w:w="3504"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项目资金使用是否符合相关的财务管理制度规定，用以反映和考核项目资金的规范运行情况。</w:t>
            </w:r>
          </w:p>
        </w:tc>
        <w:tc>
          <w:tcPr>
            <w:tcW w:w="6084"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937"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w:t>
            </w:r>
          </w:p>
        </w:tc>
        <w:tc>
          <w:tcPr>
            <w:tcW w:w="909"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69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9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7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50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084"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①是否符合国家财经法规和财务管理制度以及有关专项资金管理办法的规定；</w:t>
            </w:r>
          </w:p>
        </w:tc>
        <w:tc>
          <w:tcPr>
            <w:tcW w:w="93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909"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69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9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7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50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084"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②资金的拨付是否有完整的审批程序和手续；</w:t>
            </w:r>
          </w:p>
        </w:tc>
        <w:tc>
          <w:tcPr>
            <w:tcW w:w="93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909"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69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9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7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50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084"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③是否符合项目预算批复或合同规定的用途；</w:t>
            </w:r>
          </w:p>
        </w:tc>
        <w:tc>
          <w:tcPr>
            <w:tcW w:w="93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909"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69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9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7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50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084" w:type="dxa"/>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④是否存在截留、挤占、挪用、虚列支出等情况。</w:t>
            </w:r>
          </w:p>
        </w:tc>
        <w:tc>
          <w:tcPr>
            <w:tcW w:w="93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909"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69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94"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组织实施</w:t>
            </w:r>
          </w:p>
        </w:tc>
        <w:tc>
          <w:tcPr>
            <w:tcW w:w="117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管理制度健全性</w:t>
            </w:r>
          </w:p>
        </w:tc>
        <w:tc>
          <w:tcPr>
            <w:tcW w:w="3504"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项目实施单位的财务和业务管理制度是否健全，用以反映和考核财务和业务管理制度对项目顺利实施的保障情况。</w:t>
            </w:r>
          </w:p>
        </w:tc>
        <w:tc>
          <w:tcPr>
            <w:tcW w:w="6084"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937"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w:t>
            </w:r>
          </w:p>
        </w:tc>
        <w:tc>
          <w:tcPr>
            <w:tcW w:w="909"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69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9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7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50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084"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①是否已制定或具有相应的财务和业务管理制度；</w:t>
            </w:r>
          </w:p>
        </w:tc>
        <w:tc>
          <w:tcPr>
            <w:tcW w:w="93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909"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69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9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7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50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084" w:type="dxa"/>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②财务和业务管理制度是否合法、合规、完整。</w:t>
            </w:r>
          </w:p>
        </w:tc>
        <w:tc>
          <w:tcPr>
            <w:tcW w:w="93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909"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69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9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7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制度执行有效性</w:t>
            </w:r>
          </w:p>
        </w:tc>
        <w:tc>
          <w:tcPr>
            <w:tcW w:w="3504"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项目实施是否符合相关管理规定，用以反映和考核相关管理制度的有效执行情况。</w:t>
            </w:r>
          </w:p>
        </w:tc>
        <w:tc>
          <w:tcPr>
            <w:tcW w:w="6084"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937" w:type="dxa"/>
            <w:vMerge w:val="restart"/>
            <w:tcBorders>
              <w:top w:val="nil"/>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w:t>
            </w:r>
          </w:p>
        </w:tc>
        <w:tc>
          <w:tcPr>
            <w:tcW w:w="909" w:type="dxa"/>
            <w:vMerge w:val="restart"/>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69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9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7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50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084"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①是否遵守相关法律法规和相关管理规定；</w:t>
            </w:r>
          </w:p>
        </w:tc>
        <w:tc>
          <w:tcPr>
            <w:tcW w:w="937" w:type="dxa"/>
            <w:vMerge w:val="continue"/>
            <w:tcBorders>
              <w:top w:val="nil"/>
              <w:left w:val="single" w:color="000000" w:sz="8" w:space="0"/>
              <w:bottom w:val="nil"/>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909" w:type="dxa"/>
            <w:vMerge w:val="continue"/>
            <w:tcBorders>
              <w:top w:val="nil"/>
              <w:left w:val="nil"/>
              <w:bottom w:val="nil"/>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69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9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7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50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084"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②项目调整及支出调整手续是否完备；</w:t>
            </w:r>
          </w:p>
        </w:tc>
        <w:tc>
          <w:tcPr>
            <w:tcW w:w="937" w:type="dxa"/>
            <w:vMerge w:val="continue"/>
            <w:tcBorders>
              <w:top w:val="nil"/>
              <w:left w:val="single" w:color="000000" w:sz="8" w:space="0"/>
              <w:bottom w:val="nil"/>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909" w:type="dxa"/>
            <w:vMerge w:val="continue"/>
            <w:tcBorders>
              <w:top w:val="nil"/>
              <w:left w:val="nil"/>
              <w:bottom w:val="nil"/>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69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9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7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50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084"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③项目合同书、验收报告、技术鉴定等资料是否齐全并及时归档；</w:t>
            </w:r>
          </w:p>
        </w:tc>
        <w:tc>
          <w:tcPr>
            <w:tcW w:w="937" w:type="dxa"/>
            <w:vMerge w:val="continue"/>
            <w:tcBorders>
              <w:top w:val="nil"/>
              <w:left w:val="single" w:color="000000" w:sz="8" w:space="0"/>
              <w:bottom w:val="nil"/>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909" w:type="dxa"/>
            <w:vMerge w:val="continue"/>
            <w:tcBorders>
              <w:top w:val="nil"/>
              <w:left w:val="nil"/>
              <w:bottom w:val="nil"/>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69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9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7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50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084" w:type="dxa"/>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④项目实施的人员条件、场地设备、信息支撑等是否落实到位。</w:t>
            </w:r>
          </w:p>
        </w:tc>
        <w:tc>
          <w:tcPr>
            <w:tcW w:w="937" w:type="dxa"/>
            <w:vMerge w:val="continue"/>
            <w:tcBorders>
              <w:top w:val="nil"/>
              <w:left w:val="single" w:color="000000" w:sz="8" w:space="0"/>
              <w:bottom w:val="nil"/>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909" w:type="dxa"/>
            <w:vMerge w:val="continue"/>
            <w:tcBorders>
              <w:top w:val="nil"/>
              <w:left w:val="nil"/>
              <w:bottom w:val="nil"/>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691" w:type="dxa"/>
            <w:vMerge w:val="restart"/>
            <w:tcBorders>
              <w:top w:val="single" w:color="000000" w:sz="8" w:space="0"/>
              <w:left w:val="single" w:color="000000" w:sz="8" w:space="0"/>
              <w:bottom w:val="nil"/>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产出</w:t>
            </w:r>
          </w:p>
        </w:tc>
        <w:tc>
          <w:tcPr>
            <w:tcW w:w="694"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产出数量</w:t>
            </w:r>
          </w:p>
        </w:tc>
        <w:tc>
          <w:tcPr>
            <w:tcW w:w="117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实际完成率</w:t>
            </w:r>
          </w:p>
        </w:tc>
        <w:tc>
          <w:tcPr>
            <w:tcW w:w="3504"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项目实施的实际产出数与计划产出数的比率，用以反映和考核项目产出数量目标的实现程度。</w:t>
            </w:r>
          </w:p>
        </w:tc>
        <w:tc>
          <w:tcPr>
            <w:tcW w:w="6084"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实际完成率=（实际产出数/计划产出数）×100%。</w:t>
            </w:r>
          </w:p>
        </w:tc>
        <w:tc>
          <w:tcPr>
            <w:tcW w:w="937"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w:t>
            </w:r>
          </w:p>
        </w:tc>
        <w:tc>
          <w:tcPr>
            <w:tcW w:w="909"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8.75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691"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9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7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50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084"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实际产出数：一定时期（本年度或项目期）内项目实际产出的产品或提供的服务数量。</w:t>
            </w:r>
          </w:p>
        </w:tc>
        <w:tc>
          <w:tcPr>
            <w:tcW w:w="93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909"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5" w:hRule="atLeast"/>
        </w:trPr>
        <w:tc>
          <w:tcPr>
            <w:tcW w:w="691"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9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7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50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084" w:type="dxa"/>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计划产出数：项目绩效目标确定的在一定时期（本年度或项目期）内计划产出的产品或提供的服务数量。</w:t>
            </w:r>
          </w:p>
        </w:tc>
        <w:tc>
          <w:tcPr>
            <w:tcW w:w="93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909"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691"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94"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产出质量</w:t>
            </w:r>
          </w:p>
        </w:tc>
        <w:tc>
          <w:tcPr>
            <w:tcW w:w="117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质量达标率</w:t>
            </w:r>
          </w:p>
        </w:tc>
        <w:tc>
          <w:tcPr>
            <w:tcW w:w="3504"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项目完成的质量达标产出数与实际产出数的比率，用以反映和考核项目产出质量目标的实现程度。</w:t>
            </w:r>
          </w:p>
        </w:tc>
        <w:tc>
          <w:tcPr>
            <w:tcW w:w="6084"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质量达标率=（质量达标产出数/实际产出数）×100%。</w:t>
            </w:r>
          </w:p>
        </w:tc>
        <w:tc>
          <w:tcPr>
            <w:tcW w:w="937" w:type="dxa"/>
            <w:vMerge w:val="restart"/>
            <w:tcBorders>
              <w:top w:val="nil"/>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w:t>
            </w:r>
          </w:p>
        </w:tc>
        <w:tc>
          <w:tcPr>
            <w:tcW w:w="909" w:type="dxa"/>
            <w:vMerge w:val="restart"/>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25" w:hRule="atLeast"/>
        </w:trPr>
        <w:tc>
          <w:tcPr>
            <w:tcW w:w="691"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9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7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50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084" w:type="dxa"/>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937" w:type="dxa"/>
            <w:vMerge w:val="continue"/>
            <w:tcBorders>
              <w:top w:val="nil"/>
              <w:left w:val="single" w:color="000000" w:sz="8" w:space="0"/>
              <w:bottom w:val="nil"/>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909" w:type="dxa"/>
            <w:vMerge w:val="continue"/>
            <w:tcBorders>
              <w:top w:val="nil"/>
              <w:left w:val="nil"/>
              <w:bottom w:val="nil"/>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691"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94" w:type="dxa"/>
            <w:vMerge w:val="restart"/>
            <w:tcBorders>
              <w:top w:val="single" w:color="000000" w:sz="8" w:space="0"/>
              <w:left w:val="single" w:color="000000" w:sz="8" w:space="0"/>
              <w:bottom w:val="nil"/>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产出时效</w:t>
            </w:r>
          </w:p>
        </w:tc>
        <w:tc>
          <w:tcPr>
            <w:tcW w:w="1173" w:type="dxa"/>
            <w:vMerge w:val="restart"/>
            <w:tcBorders>
              <w:top w:val="single" w:color="000000" w:sz="8" w:space="0"/>
              <w:left w:val="single" w:color="000000" w:sz="8" w:space="0"/>
              <w:bottom w:val="nil"/>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完成及时性</w:t>
            </w:r>
          </w:p>
        </w:tc>
        <w:tc>
          <w:tcPr>
            <w:tcW w:w="3504" w:type="dxa"/>
            <w:vMerge w:val="restart"/>
            <w:tcBorders>
              <w:top w:val="single" w:color="000000" w:sz="8" w:space="0"/>
              <w:left w:val="single" w:color="000000" w:sz="8" w:space="0"/>
              <w:bottom w:val="nil"/>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项目实际完成时间与计划完成时间的比较，用以反映和考核项目产出时效目标的实现程度。</w:t>
            </w:r>
          </w:p>
        </w:tc>
        <w:tc>
          <w:tcPr>
            <w:tcW w:w="6084"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实际完成时间：项目实施单位完成该项目实际所耗用的时间。</w:t>
            </w:r>
          </w:p>
        </w:tc>
        <w:tc>
          <w:tcPr>
            <w:tcW w:w="937"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w:t>
            </w:r>
          </w:p>
        </w:tc>
        <w:tc>
          <w:tcPr>
            <w:tcW w:w="909"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691"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94"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73"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504" w:type="dxa"/>
            <w:vMerge w:val="continue"/>
            <w:tcBorders>
              <w:top w:val="single" w:color="000000" w:sz="8" w:space="0"/>
              <w:left w:val="single" w:color="000000" w:sz="8" w:space="0"/>
              <w:bottom w:val="nil"/>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084"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计划完成时间：按照项目实施计划或相关规定完成该项目所需的时间。</w:t>
            </w:r>
          </w:p>
        </w:tc>
        <w:tc>
          <w:tcPr>
            <w:tcW w:w="93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909"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691"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94"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产出成本</w:t>
            </w:r>
          </w:p>
        </w:tc>
        <w:tc>
          <w:tcPr>
            <w:tcW w:w="117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成本节约率</w:t>
            </w:r>
          </w:p>
        </w:tc>
        <w:tc>
          <w:tcPr>
            <w:tcW w:w="3504"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完成项目计划工作目标的实际节约成本与计划成本的比率，用以反映和考核项目的成本节约程度。</w:t>
            </w:r>
          </w:p>
        </w:tc>
        <w:tc>
          <w:tcPr>
            <w:tcW w:w="6084"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成本节约率=[（计划成本-实际成本）/计划成本]×100%。</w:t>
            </w:r>
          </w:p>
        </w:tc>
        <w:tc>
          <w:tcPr>
            <w:tcW w:w="937"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w:t>
            </w:r>
          </w:p>
        </w:tc>
        <w:tc>
          <w:tcPr>
            <w:tcW w:w="909"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691"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9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7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50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084"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实际成本：项目实施单位如期、保质、保量完成既定工作目标实际所耗费的支出。</w:t>
            </w:r>
          </w:p>
        </w:tc>
        <w:tc>
          <w:tcPr>
            <w:tcW w:w="93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909"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8" w:hRule="atLeast"/>
        </w:trPr>
        <w:tc>
          <w:tcPr>
            <w:tcW w:w="691"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9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7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50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6084"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计划成本：项目实施单位为完成工作目标计划安排的支出，一般以项目预算为参考。</w:t>
            </w:r>
          </w:p>
        </w:tc>
        <w:tc>
          <w:tcPr>
            <w:tcW w:w="93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c>
          <w:tcPr>
            <w:tcW w:w="909"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5" w:hRule="atLeast"/>
        </w:trPr>
        <w:tc>
          <w:tcPr>
            <w:tcW w:w="691" w:type="dxa"/>
            <w:vMerge w:val="restart"/>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效益　</w:t>
            </w:r>
          </w:p>
        </w:tc>
        <w:tc>
          <w:tcPr>
            <w:tcW w:w="694"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项目效益　</w:t>
            </w:r>
          </w:p>
        </w:tc>
        <w:tc>
          <w:tcPr>
            <w:tcW w:w="117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实施效益</w:t>
            </w:r>
          </w:p>
        </w:tc>
        <w:tc>
          <w:tcPr>
            <w:tcW w:w="350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项目实施所产生的效益。</w:t>
            </w:r>
          </w:p>
        </w:tc>
        <w:tc>
          <w:tcPr>
            <w:tcW w:w="6084"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项目实施所产生的社会效益、经济效益、生态效益、可持续影响等。可根据项目实际情况有选择地设置和细化。</w:t>
            </w:r>
          </w:p>
        </w:tc>
        <w:tc>
          <w:tcPr>
            <w:tcW w:w="937"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w:t>
            </w:r>
          </w:p>
        </w:tc>
        <w:tc>
          <w:tcPr>
            <w:tcW w:w="909"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5" w:hRule="atLeast"/>
        </w:trPr>
        <w:tc>
          <w:tcPr>
            <w:tcW w:w="691" w:type="dxa"/>
            <w:vMerge w:val="continue"/>
            <w:tcBorders>
              <w:top w:val="single" w:color="000000" w:sz="8" w:space="0"/>
              <w:left w:val="single" w:color="000000" w:sz="8" w:space="0"/>
              <w:bottom w:val="single" w:color="000000" w:sz="8" w:space="0"/>
              <w:right w:val="nil"/>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9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17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满意度</w:t>
            </w:r>
          </w:p>
        </w:tc>
        <w:tc>
          <w:tcPr>
            <w:tcW w:w="350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社会公众或服务对象对项目实施效果的满意程度。</w:t>
            </w:r>
          </w:p>
        </w:tc>
        <w:tc>
          <w:tcPr>
            <w:tcW w:w="6084"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社会公众或服务对象是指因该项目实施而受到影响的部门（单位）、群体或个人。一般采取社会调查的方式。</w:t>
            </w:r>
          </w:p>
        </w:tc>
        <w:tc>
          <w:tcPr>
            <w:tcW w:w="937"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w:t>
            </w:r>
          </w:p>
        </w:tc>
        <w:tc>
          <w:tcPr>
            <w:tcW w:w="90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w:t>
            </w:r>
          </w:p>
        </w:tc>
      </w:tr>
    </w:tbl>
    <w:p>
      <w:pPr>
        <w:shd w:val="clear"/>
        <w:spacing w:line="600" w:lineRule="exact"/>
        <w:outlineLvl w:val="0"/>
        <w:rPr>
          <w:rFonts w:hint="eastAsia" w:ascii="仿宋_GB2312" w:hAnsi="仿宋_GB2312" w:eastAsia="仿宋_GB2312" w:cs="仿宋_GB2312"/>
          <w:sz w:val="32"/>
          <w:szCs w:val="32"/>
          <w:lang w:val="en-US" w:eastAsia="zh-CN"/>
        </w:rPr>
      </w:pPr>
    </w:p>
    <w:sectPr>
      <w:pgSz w:w="16838" w:h="11906" w:orient="landscape"/>
      <w:pgMar w:top="1531" w:right="1928" w:bottom="1531" w:left="170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宋体"/>
    <w:panose1 w:val="02010600030101010101"/>
    <w:charset w:val="86"/>
    <w:family w:val="auto"/>
    <w:pitch w:val="default"/>
    <w:sig w:usb0="00000000" w:usb1="00000000" w:usb2="00000016" w:usb3="00000000" w:csb0="0004000F" w:csb1="00000000"/>
  </w:font>
  <w:font w:name="红豆小标宋简体">
    <w:altName w:val="宋体"/>
    <w:panose1 w:val="02000509000000000000"/>
    <w:charset w:val="86"/>
    <w:family w:val="auto"/>
    <w:pitch w:val="default"/>
    <w:sig w:usb0="00000000" w:usb1="00000000"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zkwOTEwMzZhZjVmMTgwYjk4N2E1MWVhYzRjMmU5NTU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31A7868"/>
    <w:rsid w:val="05227DA5"/>
    <w:rsid w:val="060914B4"/>
    <w:rsid w:val="08D20D13"/>
    <w:rsid w:val="0AED26C2"/>
    <w:rsid w:val="0B9C051D"/>
    <w:rsid w:val="0C4D0F1B"/>
    <w:rsid w:val="0F2A6BF7"/>
    <w:rsid w:val="10CA5CE4"/>
    <w:rsid w:val="10E55A71"/>
    <w:rsid w:val="16F07A9E"/>
    <w:rsid w:val="1BE834C2"/>
    <w:rsid w:val="1D723F37"/>
    <w:rsid w:val="1D785367"/>
    <w:rsid w:val="1D930EE7"/>
    <w:rsid w:val="23BD17E3"/>
    <w:rsid w:val="254E31EA"/>
    <w:rsid w:val="29351FBE"/>
    <w:rsid w:val="32AE0DEC"/>
    <w:rsid w:val="36B72533"/>
    <w:rsid w:val="383350B8"/>
    <w:rsid w:val="38570346"/>
    <w:rsid w:val="4057649F"/>
    <w:rsid w:val="43182414"/>
    <w:rsid w:val="445940D8"/>
    <w:rsid w:val="46507BB3"/>
    <w:rsid w:val="468C5A6D"/>
    <w:rsid w:val="4A7C25BE"/>
    <w:rsid w:val="4C07336D"/>
    <w:rsid w:val="4C22332E"/>
    <w:rsid w:val="4DCB2C88"/>
    <w:rsid w:val="516E5521"/>
    <w:rsid w:val="52C77DFC"/>
    <w:rsid w:val="55140079"/>
    <w:rsid w:val="56796849"/>
    <w:rsid w:val="5A841D95"/>
    <w:rsid w:val="5CD728E8"/>
    <w:rsid w:val="5DA95371"/>
    <w:rsid w:val="5FA36AB1"/>
    <w:rsid w:val="607246D5"/>
    <w:rsid w:val="674915AC"/>
    <w:rsid w:val="674C6E99"/>
    <w:rsid w:val="68F11999"/>
    <w:rsid w:val="6AAB4B1B"/>
    <w:rsid w:val="6DB90A8B"/>
    <w:rsid w:val="763A0251"/>
    <w:rsid w:val="7F2233EA"/>
    <w:rsid w:val="7F5E4CCE"/>
  </w:rsids>
  <m:mathPr>
    <m:lMargin m:val="0"/>
    <m:mathFont m:val="Cambria Math"/>
    <m:rMargin m:val="0"/>
    <m:wrapIndent m:val="1440"/>
    <m:brkBin m:val="before"/>
    <m:brkBinSub m:val="--"/>
    <m:defJc m:val="centerGroup"/>
    <m:intLim m:val="subSup"/>
    <m:naryLim m:val="undOvr"/>
    <m:smallFrac m:val="1"/>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5">
    <w:name w:val="annotation text"/>
    <w:basedOn w:val="1"/>
    <w:qFormat/>
    <w:uiPriority w:val="0"/>
    <w:pPr>
      <w:jc w:val="left"/>
    </w:pPr>
  </w:style>
  <w:style w:type="paragraph" w:styleId="6">
    <w:name w:val="footer"/>
    <w:basedOn w:val="1"/>
    <w:link w:val="19"/>
    <w:unhideWhenUsed/>
    <w:qFormat/>
    <w:uiPriority w:val="99"/>
    <w:pPr>
      <w:tabs>
        <w:tab w:val="center" w:pos="4153"/>
        <w:tab w:val="right" w:pos="8306"/>
      </w:tabs>
      <w:snapToGrid w:val="0"/>
      <w:jc w:val="left"/>
    </w:pPr>
    <w:rPr>
      <w:sz w:val="18"/>
      <w:szCs w:val="18"/>
    </w:rPr>
  </w:style>
  <w:style w:type="paragraph" w:styleId="7">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2">
    <w:name w:val="Strong"/>
    <w:basedOn w:val="11"/>
    <w:qFormat/>
    <w:uiPriority w:val="0"/>
    <w:rPr>
      <w:b/>
      <w:bCs/>
    </w:rPr>
  </w:style>
  <w:style w:type="character" w:styleId="13">
    <w:name w:val="Hyperlink"/>
    <w:basedOn w:val="11"/>
    <w:unhideWhenUsed/>
    <w:qFormat/>
    <w:uiPriority w:val="99"/>
    <w:rPr>
      <w:color w:val="0563C1" w:themeColor="hyperlink"/>
      <w:u w:val="single"/>
    </w:rPr>
  </w:style>
  <w:style w:type="character" w:customStyle="1" w:styleId="15">
    <w:name w:val="标题 1 Char"/>
    <w:basedOn w:val="11"/>
    <w:link w:val="3"/>
    <w:qFormat/>
    <w:uiPriority w:val="9"/>
    <w:rPr>
      <w:rFonts w:ascii="Times New Roman" w:hAnsi="Times New Roman" w:eastAsia="仿宋_GB2312" w:cs="Times New Roman"/>
      <w:b/>
      <w:bCs/>
      <w:kern w:val="44"/>
      <w:sz w:val="44"/>
      <w:szCs w:val="44"/>
    </w:rPr>
  </w:style>
  <w:style w:type="character" w:customStyle="1" w:styleId="16">
    <w:name w:val="标题 2 Char"/>
    <w:basedOn w:val="11"/>
    <w:link w:val="4"/>
    <w:qFormat/>
    <w:uiPriority w:val="9"/>
    <w:rPr>
      <w:rFonts w:asciiTheme="majorHAnsi" w:hAnsiTheme="majorHAnsi" w:eastAsiaTheme="majorEastAsia" w:cstheme="majorBidi"/>
      <w:b/>
      <w:bCs/>
      <w:sz w:val="32"/>
      <w:szCs w:val="32"/>
    </w:rPr>
  </w:style>
  <w:style w:type="paragraph" w:customStyle="1" w:styleId="17">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8">
    <w:name w:val="页眉 Char"/>
    <w:basedOn w:val="11"/>
    <w:link w:val="7"/>
    <w:semiHidden/>
    <w:qFormat/>
    <w:uiPriority w:val="99"/>
    <w:rPr>
      <w:rFonts w:ascii="Times New Roman" w:hAnsi="Times New Roman" w:eastAsia="仿宋_GB2312" w:cs="Times New Roman"/>
      <w:sz w:val="18"/>
      <w:szCs w:val="18"/>
    </w:rPr>
  </w:style>
  <w:style w:type="character" w:customStyle="1" w:styleId="19">
    <w:name w:val="页脚 Char"/>
    <w:basedOn w:val="11"/>
    <w:link w:val="6"/>
    <w:semiHidden/>
    <w:qFormat/>
    <w:uiPriority w:val="99"/>
    <w:rPr>
      <w:rFonts w:ascii="Times New Roman" w:hAnsi="Times New Roman" w:eastAsia="仿宋_GB2312" w:cs="Times New Roman"/>
      <w:sz w:val="18"/>
      <w:szCs w:val="18"/>
    </w:rPr>
  </w:style>
  <w:style w:type="paragraph" w:customStyle="1" w:styleId="20">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5042</Words>
  <Characters>5242</Characters>
  <Lines>37</Lines>
  <Paragraphs>10</Paragraphs>
  <TotalTime>0</TotalTime>
  <ScaleCrop>false</ScaleCrop>
  <LinksUpToDate>false</LinksUpToDate>
  <CharactersWithSpaces>5253</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Administrator</cp:lastModifiedBy>
  <dcterms:modified xsi:type="dcterms:W3CDTF">2024-05-07T09:59:57Z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y fmtid="{D5CDD505-2E9C-101B-9397-08002B2CF9AE}" pid="3" name="ICV">
    <vt:lpwstr>DFF0787588C34603A74FA104BC3FC087</vt:lpwstr>
  </property>
</Properties>
</file>