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964" w:firstLineChars="200"/>
        <w:jc w:val="center"/>
        <w:rPr>
          <w:rFonts w:ascii="宋体" w:hAnsi="宋体" w:eastAsia="宋体" w:cs="Arial"/>
          <w:b/>
          <w:bCs/>
          <w:sz w:val="48"/>
          <w:szCs w:val="48"/>
        </w:rPr>
      </w:pPr>
    </w:p>
    <w:p>
      <w:pPr>
        <w:spacing w:line="560" w:lineRule="exact"/>
        <w:ind w:firstLine="964" w:firstLineChars="200"/>
        <w:jc w:val="center"/>
        <w:rPr>
          <w:rFonts w:ascii="宋体" w:hAnsi="宋体" w:eastAsia="宋体" w:cs="Arial"/>
          <w:b/>
          <w:bCs/>
          <w:sz w:val="48"/>
          <w:szCs w:val="48"/>
        </w:rPr>
      </w:pPr>
    </w:p>
    <w:p>
      <w:pPr>
        <w:spacing w:line="560" w:lineRule="exact"/>
        <w:ind w:firstLine="964" w:firstLineChars="200"/>
        <w:jc w:val="center"/>
        <w:rPr>
          <w:rFonts w:ascii="宋体" w:hAnsi="宋体" w:eastAsia="宋体" w:cs="Arial"/>
          <w:b/>
          <w:bCs/>
          <w:sz w:val="48"/>
          <w:szCs w:val="48"/>
        </w:rPr>
      </w:pPr>
    </w:p>
    <w:p>
      <w:pPr>
        <w:spacing w:line="560" w:lineRule="exact"/>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widowControl/>
        <w:spacing w:line="560" w:lineRule="exact"/>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rPr>
        <w:t>3年度）</w:t>
      </w:r>
    </w:p>
    <w:p>
      <w:pPr>
        <w:spacing w:line="560" w:lineRule="exact"/>
        <w:ind w:firstLine="1004" w:firstLineChars="200"/>
        <w:jc w:val="center"/>
        <w:rPr>
          <w:rFonts w:ascii="仿宋_GB2312" w:hAnsi="仿宋_GB2312" w:cs="仿宋_GB2312"/>
          <w:b/>
          <w:kern w:val="0"/>
          <w:sz w:val="50"/>
          <w:szCs w:val="50"/>
          <w:lang w:bidi="en-US"/>
        </w:rPr>
      </w:pPr>
    </w:p>
    <w:p>
      <w:pPr>
        <w:spacing w:line="560" w:lineRule="exact"/>
        <w:ind w:firstLine="1004" w:firstLineChars="200"/>
        <w:jc w:val="center"/>
        <w:rPr>
          <w:rFonts w:ascii="仿宋_GB2312" w:hAnsi="仿宋_GB2312" w:cs="仿宋_GB2312"/>
          <w:b/>
          <w:kern w:val="0"/>
          <w:sz w:val="50"/>
          <w:szCs w:val="50"/>
          <w:lang w:bidi="en-US"/>
        </w:rPr>
      </w:pPr>
    </w:p>
    <w:p>
      <w:pPr>
        <w:spacing w:line="560" w:lineRule="exact"/>
        <w:ind w:firstLine="1004" w:firstLineChars="200"/>
        <w:jc w:val="center"/>
        <w:rPr>
          <w:rFonts w:ascii="仿宋_GB2312" w:hAnsi="仿宋_GB2312" w:cs="仿宋_GB2312"/>
          <w:b/>
          <w:kern w:val="0"/>
          <w:sz w:val="50"/>
          <w:szCs w:val="50"/>
          <w:lang w:bidi="en-US"/>
        </w:rPr>
      </w:pPr>
    </w:p>
    <w:p>
      <w:pPr>
        <w:spacing w:line="560" w:lineRule="exact"/>
        <w:ind w:firstLine="1004" w:firstLineChars="200"/>
        <w:jc w:val="center"/>
        <w:rPr>
          <w:rFonts w:ascii="仿宋_GB2312" w:hAnsi="仿宋_GB2312" w:cs="仿宋_GB2312"/>
          <w:b/>
          <w:kern w:val="0"/>
          <w:sz w:val="50"/>
          <w:szCs w:val="50"/>
          <w:lang w:bidi="en-US"/>
        </w:rPr>
      </w:pPr>
    </w:p>
    <w:p>
      <w:pPr>
        <w:pStyle w:val="2"/>
        <w:rPr>
          <w:rFonts w:hint="eastAsia"/>
          <w:lang w:bidi="en-US"/>
        </w:rPr>
      </w:pPr>
    </w:p>
    <w:p>
      <w:pPr>
        <w:spacing w:line="560" w:lineRule="exact"/>
        <w:ind w:firstLine="1004" w:firstLineChars="200"/>
        <w:jc w:val="center"/>
        <w:rPr>
          <w:rFonts w:ascii="仿宋_GB2312" w:hAnsi="仿宋_GB2312" w:cs="仿宋_GB2312"/>
          <w:b/>
          <w:kern w:val="0"/>
          <w:sz w:val="50"/>
          <w:szCs w:val="50"/>
          <w:lang w:bidi="en-US"/>
        </w:rPr>
      </w:pPr>
    </w:p>
    <w:p>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项目名称：人才发展专项经费</w:t>
      </w:r>
    </w:p>
    <w:p>
      <w:pPr>
        <w:spacing w:line="560" w:lineRule="exact"/>
        <w:ind w:left="642" w:leftChars="214"/>
        <w:rPr>
          <w:rFonts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实施单位（公章）：中共巴音郭楞蒙古自治州委员会组织部主管部门（公章）：中共巴音郭楞蒙古自治州委员会组织部</w:t>
      </w:r>
    </w:p>
    <w:p>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项目负责人（签章）：王涛</w:t>
      </w:r>
    </w:p>
    <w:p>
      <w:pPr>
        <w:spacing w:line="560" w:lineRule="exact"/>
        <w:ind w:firstLine="643" w:firstLineChars="200"/>
        <w:rPr>
          <w:rFonts w:ascii="宋体" w:hAnsi="宋体" w:eastAsia="宋体" w:cs="仿宋_GB2312"/>
          <w:b/>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b/>
          <w:color w:val="000000"/>
          <w:kern w:val="0"/>
          <w:sz w:val="32"/>
          <w:szCs w:val="32"/>
        </w:rPr>
        <w:t>2024年5月7日</w:t>
      </w:r>
    </w:p>
    <w:p>
      <w:pPr>
        <w:spacing w:line="560" w:lineRule="exact"/>
        <w:ind w:firstLine="723" w:firstLineChars="200"/>
        <w:rPr>
          <w:rFonts w:ascii="宋体" w:hAnsi="宋体" w:eastAsia="宋体" w:cs="Arial"/>
          <w:b/>
          <w:bCs/>
          <w:sz w:val="36"/>
          <w:szCs w:val="36"/>
        </w:rPr>
      </w:pPr>
      <w:r>
        <w:rPr>
          <w:rFonts w:ascii="宋体" w:hAnsi="宋体" w:eastAsia="宋体" w:cs="Arial"/>
          <w:b/>
          <w:bCs/>
          <w:sz w:val="36"/>
          <w:szCs w:val="36"/>
        </w:rPr>
        <w:br w:type="page"/>
      </w:r>
    </w:p>
    <w:p>
      <w:pPr>
        <w:spacing w:line="560" w:lineRule="exact"/>
        <w:contextualSpacing/>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spacing w:line="560" w:lineRule="exact"/>
        <w:ind w:firstLine="600" w:firstLineChars="200"/>
        <w:contextualSpacing/>
        <w:jc w:val="center"/>
        <w:rPr>
          <w:rFonts w:ascii="仿宋_GB2312"/>
          <w:szCs w:val="30"/>
        </w:rPr>
      </w:pPr>
    </w:p>
    <w:p>
      <w:pPr>
        <w:spacing w:line="560" w:lineRule="exact"/>
        <w:ind w:firstLine="643" w:firstLineChars="200"/>
        <w:contextualSpacing/>
        <w:rPr>
          <w:b/>
          <w:sz w:val="32"/>
        </w:rPr>
      </w:pPr>
      <w:bookmarkStart w:id="0" w:name="_Toc68703827"/>
      <w:r>
        <w:rPr>
          <w:rFonts w:hint="eastAsia"/>
          <w:b/>
          <w:sz w:val="32"/>
        </w:rPr>
        <w:t>一、基本情况</w:t>
      </w:r>
      <w:bookmarkEnd w:id="0"/>
    </w:p>
    <w:p>
      <w:pPr>
        <w:spacing w:line="560" w:lineRule="exact"/>
        <w:ind w:firstLine="600" w:firstLineChars="200"/>
        <w:contextualSpacing/>
        <w:rPr>
          <w:rFonts w:ascii="仿宋_GB2312"/>
          <w:b/>
          <w:bCs/>
        </w:rPr>
      </w:pPr>
      <w:bookmarkStart w:id="1" w:name="_Toc68703828"/>
      <w:r>
        <w:rPr>
          <w:rFonts w:hint="eastAsia" w:ascii="仿宋_GB2312"/>
        </w:rPr>
        <w:t>（一）项目概况。</w:t>
      </w:r>
      <w:bookmarkEnd w:id="1"/>
    </w:p>
    <w:p>
      <w:pPr>
        <w:spacing w:line="560" w:lineRule="exact"/>
        <w:ind w:firstLine="600" w:firstLineChars="200"/>
        <w:contextualSpacing/>
        <w:rPr>
          <w:rFonts w:ascii="仿宋_GB2312"/>
        </w:rPr>
      </w:pPr>
      <w:r>
        <w:rPr>
          <w:rFonts w:hint="eastAsia" w:ascii="仿宋_GB2312"/>
        </w:rPr>
        <w:t>1.项目背景，主要内容及实施情况</w:t>
      </w:r>
    </w:p>
    <w:p>
      <w:pPr>
        <w:spacing w:line="560" w:lineRule="exact"/>
        <w:ind w:firstLine="600" w:firstLineChars="200"/>
        <w:contextualSpacing/>
        <w:rPr>
          <w:rFonts w:ascii="仿宋_GB2312"/>
        </w:rPr>
      </w:pPr>
      <w:r>
        <w:rPr>
          <w:rFonts w:hint="eastAsia" w:ascii="仿宋_GB2312"/>
        </w:rPr>
        <w:t>（1）项目背景</w:t>
      </w:r>
    </w:p>
    <w:p>
      <w:pPr>
        <w:spacing w:line="560" w:lineRule="exact"/>
        <w:ind w:firstLine="600" w:firstLineChars="200"/>
        <w:contextualSpacing/>
        <w:rPr>
          <w:rFonts w:cs="方正仿宋_GBK"/>
          <w:sz w:val="32"/>
          <w:szCs w:val="32"/>
        </w:rPr>
      </w:pPr>
      <w:r>
        <w:rPr>
          <w:rFonts w:hint="eastAsia" w:ascii="仿宋_GB2312"/>
        </w:rPr>
        <w:t xml:space="preserve"> </w:t>
      </w:r>
      <w:r>
        <w:rPr>
          <w:rFonts w:hint="eastAsia" w:cs="方正仿宋_GBK"/>
          <w:sz w:val="32"/>
          <w:szCs w:val="32"/>
        </w:rPr>
        <w:t>2021年12月，自治州党委、自治州人民政府表彰命名了100名自治州优秀专家，按照文件要求，根据专家不同层级按年度为州管优秀专家拨付补贴，每年85.33万元，两年合计170.66万元；州党委组织部联合州党委农办于每年年初联合印发《自治州千名农业科技人才服务乡村振兴的通知》，明确州级100名农业科技人才根据下基层服务天数发放农业科技人才补助，2022年需发放70.2975万元，2023年需发放125.0425万元，合计195.34万元。</w:t>
      </w:r>
    </w:p>
    <w:p>
      <w:pPr>
        <w:spacing w:line="560" w:lineRule="exact"/>
        <w:ind w:firstLine="640" w:firstLineChars="200"/>
        <w:contextualSpacing/>
        <w:rPr>
          <w:rFonts w:cs="方正仿宋_GBK"/>
          <w:sz w:val="32"/>
          <w:szCs w:val="32"/>
        </w:rPr>
      </w:pPr>
      <w:r>
        <w:rPr>
          <w:rFonts w:hint="eastAsia" w:cs="方正仿宋_GBK"/>
          <w:sz w:val="32"/>
          <w:szCs w:val="32"/>
        </w:rPr>
        <w:t>（2）主要内容及实施情况</w:t>
      </w:r>
    </w:p>
    <w:p>
      <w:pPr>
        <w:spacing w:line="560" w:lineRule="exact"/>
        <w:ind w:firstLine="640" w:firstLineChars="200"/>
        <w:contextualSpacing/>
        <w:rPr>
          <w:rFonts w:cs="方正仿宋_GBK"/>
          <w:sz w:val="32"/>
          <w:szCs w:val="32"/>
        </w:rPr>
      </w:pPr>
      <w:r>
        <w:rPr>
          <w:rFonts w:hint="eastAsia" w:cs="方正仿宋_GBK"/>
          <w:sz w:val="32"/>
          <w:szCs w:val="32"/>
        </w:rPr>
        <w:t>主要内容：为100名州管优秀专家发放州管优秀专家补贴；</w:t>
      </w:r>
    </w:p>
    <w:p>
      <w:pPr>
        <w:spacing w:line="560" w:lineRule="exact"/>
        <w:ind w:firstLine="640" w:firstLineChars="200"/>
        <w:contextualSpacing/>
        <w:rPr>
          <w:rFonts w:cs="方正仿宋_GBK"/>
          <w:sz w:val="32"/>
          <w:szCs w:val="32"/>
        </w:rPr>
      </w:pPr>
      <w:r>
        <w:rPr>
          <w:rFonts w:hint="eastAsia" w:eastAsia="方正仿宋_GBK"/>
          <w:sz w:val="32"/>
          <w:szCs w:val="32"/>
        </w:rPr>
        <w:t>根据</w:t>
      </w:r>
      <w:r>
        <w:rPr>
          <w:rFonts w:eastAsia="方正仿宋_GBK"/>
          <w:sz w:val="32"/>
          <w:szCs w:val="32"/>
        </w:rPr>
        <w:t>《关于印发〈自治州有突出贡献优秀专家评选管理办法〉的通知》（巴党办发〔2015〕42号）、《关于印发〈自治州加强优秀专家队伍建设的意见〉的通知》（巴党办发〔2012〕50号）、《关于印发〈自治州加强青年优秀专家队伍建设的意见〉〈自治州加强少数民族中青年优秀专家队伍建设的意见〉的通知》（巴党办发〔2015〕43号）</w:t>
      </w:r>
      <w:r>
        <w:rPr>
          <w:rFonts w:hint="eastAsia" w:eastAsia="方正仿宋_GBK"/>
          <w:sz w:val="32"/>
          <w:szCs w:val="32"/>
        </w:rPr>
        <w:t>文件</w:t>
      </w:r>
      <w:r>
        <w:rPr>
          <w:rFonts w:eastAsia="方正仿宋_GBK"/>
          <w:sz w:val="32"/>
          <w:szCs w:val="32"/>
        </w:rPr>
        <w:t>精神</w:t>
      </w:r>
      <w:r>
        <w:rPr>
          <w:rFonts w:hint="eastAsia" w:eastAsia="方正仿宋_GBK"/>
          <w:sz w:val="32"/>
          <w:szCs w:val="32"/>
        </w:rPr>
        <w:t>，</w:t>
      </w:r>
      <w:r>
        <w:rPr>
          <w:rFonts w:hint="eastAsia"/>
          <w:sz w:val="32"/>
          <w:szCs w:val="32"/>
        </w:rPr>
        <w:t>有突出贡献优秀专家三年发放4万元奖励，平均每年1.33万元，优秀专家管理期3年中每月享受800元工作津贴，平均每年9600元，少数民族中青年优秀专家和青年优秀专家管理期3年中每年发放7200元奖金。</w:t>
      </w:r>
    </w:p>
    <w:p>
      <w:pPr>
        <w:spacing w:line="560" w:lineRule="exact"/>
        <w:ind w:firstLine="640" w:firstLineChars="200"/>
        <w:contextualSpacing/>
        <w:rPr>
          <w:rFonts w:cs="方正仿宋_GBK"/>
          <w:sz w:val="32"/>
          <w:szCs w:val="32"/>
        </w:rPr>
      </w:pPr>
      <w:r>
        <w:rPr>
          <w:rFonts w:hint="eastAsia" w:cs="方正仿宋_GBK"/>
          <w:sz w:val="32"/>
          <w:szCs w:val="32"/>
        </w:rPr>
        <w:t>自治州千名农业科技人员服务乡村振兴工作，春季、夏季、秋季等农忙时节到包联乡镇生产一线开展服务分别不少于10天。州级农业科技人员到基层一线开展技术服务全年不少于80天，县级农业科技人员不少于100天，并定期向派出单位和服务团报告工作开展情况。年末根据实际服务天数，为农业科技人才发放工作补贴。</w:t>
      </w:r>
    </w:p>
    <w:p>
      <w:pPr>
        <w:spacing w:line="560" w:lineRule="exact"/>
        <w:ind w:firstLine="640" w:firstLineChars="200"/>
        <w:contextualSpacing/>
        <w:rPr>
          <w:rFonts w:cs="方正仿宋_GBK"/>
          <w:sz w:val="32"/>
          <w:szCs w:val="32"/>
        </w:rPr>
      </w:pPr>
      <w:r>
        <w:rPr>
          <w:rFonts w:hint="eastAsia" w:cs="方正仿宋_GBK"/>
          <w:sz w:val="32"/>
          <w:szCs w:val="32"/>
        </w:rPr>
        <w:t>实施情况：2023年9月前已完成100名州管优秀专家银行卡号的收集整理，并核对银行卡号，完成2021年评选的100名州管优秀专家发放2年的州管优秀专家补贴；2023年10月前已完成农业科技人才下基层服务天数统计，对农业科技人才的银行卡信息进行核对，并按照下基层服务天数发放工作补贴到农业科技人才提供的银行卡中。</w:t>
      </w:r>
    </w:p>
    <w:p>
      <w:pPr>
        <w:spacing w:line="560" w:lineRule="exact"/>
        <w:ind w:firstLine="640" w:firstLineChars="200"/>
        <w:contextualSpacing/>
        <w:rPr>
          <w:rFonts w:cs="方正仿宋_GBK"/>
          <w:sz w:val="32"/>
          <w:szCs w:val="32"/>
        </w:rPr>
      </w:pPr>
      <w:r>
        <w:rPr>
          <w:rFonts w:hint="eastAsia" w:cs="方正仿宋_GBK"/>
          <w:sz w:val="32"/>
          <w:szCs w:val="32"/>
        </w:rPr>
        <w:t>2.资金投入和使用情况</w:t>
      </w:r>
    </w:p>
    <w:p>
      <w:pPr>
        <w:spacing w:line="560" w:lineRule="exact"/>
        <w:ind w:firstLine="640" w:firstLineChars="200"/>
        <w:contextualSpacing/>
        <w:rPr>
          <w:rFonts w:cs="方正仿宋_GBK"/>
          <w:sz w:val="32"/>
          <w:szCs w:val="32"/>
        </w:rPr>
      </w:pPr>
      <w:r>
        <w:rPr>
          <w:rFonts w:hint="eastAsia" w:cs="方正仿宋_GBK"/>
          <w:sz w:val="32"/>
          <w:szCs w:val="32"/>
        </w:rPr>
        <w:t>（1）资金投入情况：该项目年初预算数366万元，全年预算数366万元，实际总投入366万元，该项目资金已全部落实到位，资金来源为当年财政拨款。</w:t>
      </w:r>
    </w:p>
    <w:p>
      <w:pPr>
        <w:spacing w:line="560" w:lineRule="exact"/>
        <w:ind w:firstLine="640" w:firstLineChars="200"/>
        <w:contextualSpacing/>
        <w:rPr>
          <w:rFonts w:cs="方正仿宋_GBK"/>
          <w:sz w:val="32"/>
          <w:szCs w:val="32"/>
        </w:rPr>
      </w:pPr>
      <w:r>
        <w:rPr>
          <w:rFonts w:hint="eastAsia" w:cs="方正仿宋_GBK"/>
          <w:sz w:val="32"/>
          <w:szCs w:val="32"/>
        </w:rPr>
        <w:t>（2）资金使用情况：该项目年初预算数366万元，全年预算数366万元，全年执行数366万元，预算执行率为100%，用于：州管优秀专家补贴170.66万元；农业科技人才补助195.34万元。</w:t>
      </w:r>
    </w:p>
    <w:p>
      <w:pPr>
        <w:spacing w:line="560" w:lineRule="exact"/>
        <w:ind w:firstLine="640" w:firstLineChars="200"/>
        <w:contextualSpacing/>
        <w:rPr>
          <w:rFonts w:cs="方正仿宋_GBK"/>
          <w:sz w:val="32"/>
          <w:szCs w:val="32"/>
        </w:rPr>
      </w:pPr>
      <w:bookmarkStart w:id="2" w:name="_Toc68703829"/>
      <w:r>
        <w:rPr>
          <w:rFonts w:hint="eastAsia" w:cs="方正仿宋_GBK"/>
          <w:sz w:val="32"/>
          <w:szCs w:val="32"/>
        </w:rPr>
        <w:t>（二）项目绩效目标</w:t>
      </w:r>
      <w:bookmarkEnd w:id="2"/>
      <w:r>
        <w:rPr>
          <w:rFonts w:hint="eastAsia" w:cs="方正仿宋_GBK"/>
          <w:sz w:val="32"/>
          <w:szCs w:val="32"/>
        </w:rPr>
        <w:t>，包括总体目标和阶段性目标。</w:t>
      </w:r>
    </w:p>
    <w:p>
      <w:pPr>
        <w:spacing w:line="560" w:lineRule="exact"/>
        <w:ind w:firstLine="640" w:firstLineChars="200"/>
        <w:contextualSpacing/>
        <w:rPr>
          <w:rFonts w:cs="方正仿宋_GBK"/>
          <w:sz w:val="32"/>
          <w:szCs w:val="32"/>
        </w:rPr>
      </w:pPr>
      <w:r>
        <w:rPr>
          <w:rFonts w:hint="eastAsia" w:cs="方正仿宋_GBK"/>
          <w:sz w:val="32"/>
          <w:szCs w:val="32"/>
        </w:rPr>
        <w:t>1.总体目标：2023年9月前完成2021年评选的100名州管优秀专家发放2年的州管优秀专家补贴；2023年10月前完成2022年97名农业科技人才发放工作补贴。</w:t>
      </w:r>
    </w:p>
    <w:p>
      <w:pPr>
        <w:spacing w:line="560" w:lineRule="exact"/>
        <w:ind w:firstLine="640" w:firstLineChars="200"/>
        <w:contextualSpacing/>
        <w:rPr>
          <w:rFonts w:cs="方正仿宋_GBK"/>
          <w:sz w:val="32"/>
          <w:szCs w:val="32"/>
        </w:rPr>
      </w:pPr>
      <w:r>
        <w:rPr>
          <w:rFonts w:cs="方正仿宋_GBK"/>
          <w:sz w:val="32"/>
          <w:szCs w:val="32"/>
        </w:rPr>
        <w:t>2</w:t>
      </w:r>
      <w:r>
        <w:rPr>
          <w:rFonts w:hint="eastAsia" w:cs="方正仿宋_GBK"/>
          <w:sz w:val="32"/>
          <w:szCs w:val="32"/>
        </w:rPr>
        <w:t>.阶段性目标：2023年8月前，完成农业科技人才基层服务天数统计工作及州管优秀专家银行卡信息收集工作。2023年9月前完成2021年评选的100名州管优秀专家发放2年的州管优秀专家补贴；2023年10月前完成2022年97名农业科技人才发放工作补贴。</w:t>
      </w:r>
      <w:bookmarkStart w:id="3" w:name="_Toc68703830"/>
    </w:p>
    <w:p>
      <w:pPr>
        <w:spacing w:line="560" w:lineRule="exact"/>
        <w:ind w:firstLine="643" w:firstLineChars="200"/>
        <w:contextualSpacing/>
        <w:rPr>
          <w:b/>
          <w:sz w:val="32"/>
        </w:rPr>
      </w:pPr>
      <w:r>
        <w:rPr>
          <w:rFonts w:hint="eastAsia"/>
          <w:b/>
          <w:sz w:val="32"/>
        </w:rPr>
        <w:t>二、绩效评价工作开展情况</w:t>
      </w:r>
      <w:bookmarkEnd w:id="3"/>
      <w:bookmarkStart w:id="4" w:name="_Toc68703831"/>
    </w:p>
    <w:p>
      <w:pPr>
        <w:spacing w:line="560" w:lineRule="exact"/>
        <w:ind w:firstLine="640" w:firstLineChars="200"/>
        <w:contextualSpacing/>
        <w:rPr>
          <w:rFonts w:cs="方正仿宋_GBK"/>
          <w:sz w:val="32"/>
          <w:szCs w:val="32"/>
        </w:rPr>
      </w:pPr>
      <w:r>
        <w:rPr>
          <w:rFonts w:hint="eastAsia" w:cs="方正仿宋_GBK"/>
          <w:sz w:val="32"/>
          <w:szCs w:val="32"/>
        </w:rPr>
        <w:t>（一）绩效评价目的、对象和范围。</w:t>
      </w:r>
      <w:bookmarkEnd w:id="4"/>
    </w:p>
    <w:p>
      <w:pPr>
        <w:spacing w:line="560" w:lineRule="exact"/>
        <w:ind w:firstLine="640" w:firstLineChars="200"/>
        <w:contextualSpacing/>
        <w:rPr>
          <w:rFonts w:cs="方正仿宋_GBK"/>
          <w:sz w:val="32"/>
          <w:szCs w:val="32"/>
        </w:rPr>
      </w:pPr>
      <w:r>
        <w:rPr>
          <w:rFonts w:hint="eastAsia" w:cs="方正仿宋_GBK"/>
          <w:sz w:val="32"/>
          <w:szCs w:val="32"/>
        </w:rPr>
        <w:t>1.绩效评价目的：</w:t>
      </w:r>
    </w:p>
    <w:p>
      <w:pPr>
        <w:spacing w:line="560" w:lineRule="exact"/>
        <w:ind w:firstLine="640" w:firstLineChars="200"/>
        <w:contextualSpacing/>
        <w:rPr>
          <w:rFonts w:cs="方正仿宋_GBK"/>
          <w:sz w:val="32"/>
          <w:szCs w:val="32"/>
        </w:rPr>
      </w:pPr>
      <w:r>
        <w:rPr>
          <w:rFonts w:hint="eastAsia" w:cs="方正仿宋_GBK"/>
          <w:sz w:val="32"/>
          <w:szCs w:val="32"/>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spacing w:line="560" w:lineRule="exact"/>
        <w:ind w:firstLine="640" w:firstLineChars="200"/>
        <w:contextualSpacing/>
        <w:jc w:val="left"/>
        <w:rPr>
          <w:rFonts w:cs="方正仿宋_GBK"/>
          <w:sz w:val="32"/>
          <w:szCs w:val="32"/>
        </w:rPr>
      </w:pPr>
      <w:r>
        <w:rPr>
          <w:rFonts w:hint="eastAsia" w:cs="方正仿宋_GBK"/>
          <w:sz w:val="32"/>
          <w:szCs w:val="32"/>
        </w:rPr>
        <w:t>2.绩效评价对象：人才发展专项经费。</w:t>
      </w:r>
    </w:p>
    <w:p>
      <w:pPr>
        <w:spacing w:line="560" w:lineRule="exact"/>
        <w:ind w:firstLine="640" w:firstLineChars="200"/>
        <w:contextualSpacing/>
        <w:rPr>
          <w:rFonts w:cs="方正仿宋_GBK"/>
          <w:sz w:val="32"/>
          <w:szCs w:val="32"/>
        </w:rPr>
      </w:pPr>
      <w:r>
        <w:rPr>
          <w:rFonts w:hint="eastAsia" w:cs="方正仿宋_GBK"/>
          <w:sz w:val="32"/>
          <w:szCs w:val="32"/>
        </w:rPr>
        <w:t>3.绩效评价范围：</w:t>
      </w:r>
    </w:p>
    <w:p>
      <w:pPr>
        <w:spacing w:line="560" w:lineRule="exact"/>
        <w:ind w:firstLine="640" w:firstLineChars="200"/>
        <w:contextualSpacing/>
        <w:jc w:val="left"/>
        <w:rPr>
          <w:rFonts w:cs="方正仿宋_GBK"/>
          <w:sz w:val="32"/>
          <w:szCs w:val="32"/>
        </w:rPr>
      </w:pPr>
      <w:r>
        <w:rPr>
          <w:rFonts w:hint="eastAsia" w:cs="方正仿宋_GBK"/>
          <w:sz w:val="32"/>
          <w:szCs w:val="32"/>
        </w:rPr>
        <w:t>本次评价从项目决策（包括绩效目标、决策过程）、项目管理（包括项目资金、项目实施）、项目产出（包括项目产出数量、产出质量、产出时效和产出成本）项目效益四个维度进行人才发展专项经费评价，评价核心为资金的支出完成情况和效果。</w:t>
      </w:r>
      <w:bookmarkStart w:id="5" w:name="_Toc68703832"/>
    </w:p>
    <w:p>
      <w:pPr>
        <w:spacing w:line="560" w:lineRule="exact"/>
        <w:ind w:firstLine="640" w:firstLineChars="200"/>
        <w:contextualSpacing/>
        <w:jc w:val="left"/>
        <w:rPr>
          <w:rFonts w:cs="方正仿宋_GBK"/>
          <w:sz w:val="32"/>
          <w:szCs w:val="32"/>
        </w:rPr>
      </w:pPr>
      <w:r>
        <w:rPr>
          <w:rFonts w:hint="eastAsia" w:cs="方正仿宋_GBK"/>
          <w:sz w:val="32"/>
          <w:szCs w:val="32"/>
        </w:rPr>
        <w:t>（二）绩效评价原则、评价指标体系（附表说明）、评价方法、评价标准等。</w:t>
      </w:r>
      <w:bookmarkEnd w:id="5"/>
    </w:p>
    <w:p>
      <w:pPr>
        <w:spacing w:line="560" w:lineRule="exact"/>
        <w:ind w:firstLine="640" w:firstLineChars="200"/>
        <w:contextualSpacing/>
        <w:jc w:val="left"/>
        <w:rPr>
          <w:rFonts w:cs="方正仿宋_GBK"/>
          <w:sz w:val="32"/>
          <w:szCs w:val="32"/>
        </w:rPr>
      </w:pPr>
      <w:r>
        <w:rPr>
          <w:rFonts w:hint="eastAsia" w:cs="方正仿宋_GBK"/>
          <w:sz w:val="32"/>
          <w:szCs w:val="32"/>
        </w:rPr>
        <w:t>1.绩效评价原则</w:t>
      </w:r>
    </w:p>
    <w:p>
      <w:pPr>
        <w:spacing w:line="560" w:lineRule="exact"/>
        <w:ind w:firstLine="640" w:firstLineChars="200"/>
        <w:contextualSpacing/>
        <w:rPr>
          <w:rFonts w:cs="方正仿宋_GBK"/>
          <w:sz w:val="32"/>
          <w:szCs w:val="32"/>
        </w:rPr>
      </w:pPr>
      <w:r>
        <w:rPr>
          <w:rFonts w:cs="方正仿宋_GBK"/>
          <w:sz w:val="32"/>
          <w:szCs w:val="32"/>
        </w:rPr>
        <w:t>本次项目绩效评价遵循以下基本原则：</w:t>
      </w:r>
    </w:p>
    <w:p>
      <w:pPr>
        <w:spacing w:line="560" w:lineRule="exact"/>
        <w:ind w:firstLine="640" w:firstLineChars="200"/>
        <w:contextualSpacing/>
        <w:rPr>
          <w:rFonts w:cs="方正仿宋_GBK"/>
          <w:sz w:val="32"/>
          <w:szCs w:val="32"/>
        </w:rPr>
      </w:pPr>
      <w:r>
        <w:rPr>
          <w:rFonts w:hint="eastAsia" w:cs="方正仿宋_GBK"/>
          <w:sz w:val="32"/>
          <w:szCs w:val="32"/>
        </w:rPr>
        <w:t>（一）科学公正。本次项目支出绩效评价运用科学合理的方法，按照规范的程序，对项目绩效进行客观、公正的反映。</w:t>
      </w:r>
    </w:p>
    <w:p>
      <w:pPr>
        <w:spacing w:line="560" w:lineRule="exact"/>
        <w:ind w:firstLine="640" w:firstLineChars="200"/>
        <w:contextualSpacing/>
        <w:rPr>
          <w:rFonts w:cs="方正仿宋_GBK"/>
          <w:sz w:val="32"/>
          <w:szCs w:val="32"/>
        </w:rPr>
      </w:pPr>
      <w:r>
        <w:rPr>
          <w:rFonts w:hint="eastAsia" w:cs="方正仿宋_GBK"/>
          <w:sz w:val="32"/>
          <w:szCs w:val="32"/>
        </w:rPr>
        <w:t>（二）统筹兼顾。本次项目支出绩效评价由本单位自主实施，即“谁支出、谁自评”。</w:t>
      </w:r>
    </w:p>
    <w:p>
      <w:pPr>
        <w:spacing w:line="560" w:lineRule="exact"/>
        <w:ind w:firstLine="640" w:firstLineChars="200"/>
        <w:contextualSpacing/>
        <w:rPr>
          <w:rFonts w:cs="方正仿宋_GBK"/>
          <w:sz w:val="32"/>
          <w:szCs w:val="32"/>
        </w:rPr>
      </w:pPr>
      <w:r>
        <w:rPr>
          <w:rFonts w:hint="eastAsia" w:cs="方正仿宋_GBK"/>
          <w:sz w:val="32"/>
          <w:szCs w:val="32"/>
        </w:rPr>
        <w:t>（三）激励约束。本次项目支出绩效评价结果与预算安排、政策调整、改进管理实质性挂钩，体现奖优罚劣和激励相容导向，有效要安排、低效要压减、无效要问责。</w:t>
      </w:r>
    </w:p>
    <w:p>
      <w:pPr>
        <w:spacing w:line="560" w:lineRule="exact"/>
        <w:ind w:firstLine="640" w:firstLineChars="200"/>
        <w:contextualSpacing/>
        <w:rPr>
          <w:sz w:val="31"/>
          <w:szCs w:val="31"/>
        </w:rPr>
      </w:pPr>
      <w:r>
        <w:rPr>
          <w:rFonts w:hint="eastAsia" w:cs="方正仿宋_GBK"/>
          <w:sz w:val="32"/>
          <w:szCs w:val="32"/>
        </w:rPr>
        <w:t>（四）公开透明。</w:t>
      </w:r>
      <w:r>
        <w:rPr>
          <w:sz w:val="31"/>
          <w:szCs w:val="31"/>
        </w:rPr>
        <w:t>为确保本次</w:t>
      </w:r>
      <w:r>
        <w:rPr>
          <w:rFonts w:hint="eastAsia"/>
          <w:sz w:val="31"/>
          <w:szCs w:val="31"/>
        </w:rPr>
        <w:t>人才发展专项经费</w:t>
      </w:r>
      <w:r>
        <w:rPr>
          <w:sz w:val="31"/>
          <w:szCs w:val="31"/>
        </w:rPr>
        <w:t>支出绩效评价的公平性，我单位已按照要求将项目支出绩效评价结果已依法依规公开在巴州人民政府网站上，并自觉接受社会监督，以实现绩效的持续改进和发展。</w:t>
      </w:r>
    </w:p>
    <w:p>
      <w:pPr>
        <w:spacing w:line="560" w:lineRule="exact"/>
        <w:ind w:firstLine="640" w:firstLineChars="200"/>
        <w:contextualSpacing/>
        <w:rPr>
          <w:rFonts w:cs="方正仿宋_GBK"/>
          <w:sz w:val="32"/>
          <w:szCs w:val="32"/>
        </w:rPr>
      </w:pPr>
      <w:r>
        <w:rPr>
          <w:rFonts w:hint="eastAsia" w:cs="方正仿宋_GBK"/>
          <w:sz w:val="32"/>
          <w:szCs w:val="32"/>
        </w:rPr>
        <w:t>2、评价指标体系</w:t>
      </w:r>
    </w:p>
    <w:p>
      <w:pPr>
        <w:spacing w:line="560" w:lineRule="exact"/>
        <w:ind w:firstLine="640" w:firstLineChars="200"/>
        <w:contextualSpacing/>
        <w:rPr>
          <w:rFonts w:cs="方正仿宋_GBK"/>
          <w:sz w:val="32"/>
          <w:szCs w:val="32"/>
        </w:rPr>
      </w:pPr>
      <w:r>
        <w:rPr>
          <w:rFonts w:cs="方正仿宋_GBK"/>
          <w:sz w:val="32"/>
          <w:szCs w:val="32"/>
        </w:rPr>
        <w:t>绩效评价框架是开展绩效评价的核心。绩效评价框架包括评价准则、关键评价问题、评价指标、数据来源、数据收集方法等。指标体系建立过程如下：</w:t>
      </w:r>
    </w:p>
    <w:p>
      <w:pPr>
        <w:spacing w:line="560" w:lineRule="exact"/>
        <w:ind w:firstLine="640" w:firstLineChars="200"/>
        <w:contextualSpacing/>
        <w:rPr>
          <w:rFonts w:cs="方正仿宋_GBK"/>
          <w:sz w:val="32"/>
          <w:szCs w:val="32"/>
        </w:rPr>
      </w:pPr>
      <w:r>
        <w:rPr>
          <w:rFonts w:cs="方正仿宋_GBK"/>
          <w:sz w:val="32"/>
          <w:szCs w:val="32"/>
        </w:rPr>
        <w:t>（1）确定评价指标</w:t>
      </w:r>
    </w:p>
    <w:p>
      <w:pPr>
        <w:spacing w:line="560" w:lineRule="exact"/>
        <w:ind w:firstLine="640" w:firstLineChars="200"/>
        <w:contextualSpacing/>
        <w:rPr>
          <w:rFonts w:cs="方正仿宋_GBK"/>
          <w:sz w:val="32"/>
          <w:szCs w:val="32"/>
        </w:rPr>
      </w:pPr>
      <w:r>
        <w:rPr>
          <w:rFonts w:cs="方正仿宋_GBK"/>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640" w:firstLineChars="200"/>
        <w:contextualSpacing/>
        <w:rPr>
          <w:rFonts w:cs="方正仿宋_GBK"/>
          <w:sz w:val="32"/>
          <w:szCs w:val="32"/>
        </w:rPr>
      </w:pPr>
      <w:r>
        <w:rPr>
          <w:rFonts w:cs="方正仿宋_GBK"/>
          <w:sz w:val="32"/>
          <w:szCs w:val="32"/>
        </w:rPr>
        <w:t>（2）确定权重</w:t>
      </w:r>
    </w:p>
    <w:p>
      <w:pPr>
        <w:spacing w:line="560" w:lineRule="exact"/>
        <w:ind w:firstLine="708" w:firstLineChars="200"/>
        <w:contextualSpacing/>
        <w:rPr>
          <w:color w:val="0000FF"/>
          <w:spacing w:val="17"/>
          <w:sz w:val="32"/>
          <w:szCs w:val="32"/>
          <w:highlight w:val="yellow"/>
        </w:rPr>
      </w:pPr>
      <w:r>
        <w:rPr>
          <w:color w:val="000000"/>
          <w:spacing w:val="17"/>
          <w:sz w:val="32"/>
          <w:szCs w:val="32"/>
        </w:rPr>
        <w:t>确定各个指标相对于项目总体绩效的权重分值。在绩效评价指标体系中，</w:t>
      </w:r>
      <w:r>
        <w:rPr>
          <w:rFonts w:hint="eastAsia"/>
          <w:color w:val="000000"/>
          <w:spacing w:val="17"/>
          <w:sz w:val="32"/>
          <w:szCs w:val="32"/>
        </w:rPr>
        <w:t>项目决策权重为20分，项目过程权重为20分，项目产出权重为40分，项目效益权重为20分。</w:t>
      </w:r>
    </w:p>
    <w:p>
      <w:pPr>
        <w:spacing w:line="560" w:lineRule="exact"/>
        <w:ind w:firstLine="640" w:firstLineChars="200"/>
        <w:contextualSpacing/>
        <w:rPr>
          <w:rFonts w:cs="方正仿宋_GBK"/>
          <w:sz w:val="32"/>
          <w:szCs w:val="32"/>
        </w:rPr>
      </w:pPr>
      <w:r>
        <w:rPr>
          <w:rFonts w:cs="方正仿宋_GBK"/>
          <w:sz w:val="32"/>
          <w:szCs w:val="32"/>
        </w:rPr>
        <w:t>（3）确定指标标准值</w:t>
      </w:r>
    </w:p>
    <w:p>
      <w:pPr>
        <w:spacing w:line="560" w:lineRule="exact"/>
        <w:ind w:firstLine="640" w:firstLineChars="200"/>
        <w:contextualSpacing/>
        <w:rPr>
          <w:rFonts w:cs="方正仿宋_GBK"/>
          <w:sz w:val="32"/>
          <w:szCs w:val="32"/>
        </w:rPr>
      </w:pPr>
      <w:r>
        <w:rPr>
          <w:rFonts w:cs="方正仿宋_GBK"/>
          <w:sz w:val="32"/>
          <w:szCs w:val="32"/>
        </w:rPr>
        <w:t>指标标准值是绩效评价指标的尺度，既要反映同类项目的先进水平，又要符合项目的实际绩效水平。具体采用计划标准等确定此次绩效评价指标标准值。</w:t>
      </w:r>
    </w:p>
    <w:p>
      <w:pPr>
        <w:pStyle w:val="2"/>
        <w:spacing w:before="0" w:after="0" w:line="560" w:lineRule="exact"/>
        <w:ind w:firstLine="640" w:firstLineChars="200"/>
        <w:contextualSpacing/>
        <w:jc w:val="both"/>
        <w:rPr>
          <w:rFonts w:ascii="Times New Roman" w:hAnsi="Times New Roman" w:eastAsia="仿宋_GB2312" w:cs="方正仿宋_GBK"/>
          <w:b w:val="0"/>
          <w:bCs w:val="0"/>
          <w:kern w:val="2"/>
        </w:rPr>
      </w:pPr>
      <w:r>
        <w:rPr>
          <w:rFonts w:ascii="Times New Roman" w:hAnsi="Times New Roman" w:eastAsia="仿宋_GB2312" w:cs="方正仿宋_GBK"/>
          <w:b w:val="0"/>
          <w:bCs w:val="0"/>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spacing w:line="560" w:lineRule="exact"/>
        <w:ind w:firstLine="640" w:firstLineChars="200"/>
        <w:contextualSpacing/>
        <w:jc w:val="left"/>
        <w:rPr>
          <w:rFonts w:cs="方正仿宋_GBK"/>
          <w:sz w:val="32"/>
          <w:szCs w:val="32"/>
        </w:rPr>
      </w:pPr>
      <w:r>
        <w:rPr>
          <w:rFonts w:hint="eastAsia" w:cs="方正仿宋_GBK"/>
          <w:sz w:val="32"/>
          <w:szCs w:val="32"/>
        </w:rPr>
        <w:t>3、评价方法：本次评价指标中，既有定性指标又有定量指标，各类指标因考核内容不同和客观标准不同存在较大差异，因此核定具体指标时采用了不同方法，具体评价方法采用公众评判法。以公众问卷的方式测评州管优秀专家及农业科技人才对发放补贴的满意度。</w:t>
      </w:r>
    </w:p>
    <w:p>
      <w:pPr>
        <w:spacing w:line="560" w:lineRule="exact"/>
        <w:ind w:firstLine="640" w:firstLineChars="200"/>
        <w:contextualSpacing/>
        <w:jc w:val="left"/>
        <w:rPr>
          <w:rFonts w:cs="方正仿宋_GBK"/>
          <w:sz w:val="32"/>
          <w:szCs w:val="32"/>
        </w:rPr>
      </w:pPr>
      <w:r>
        <w:rPr>
          <w:rFonts w:hint="eastAsia" w:cs="方正仿宋_GBK"/>
          <w:sz w:val="32"/>
          <w:szCs w:val="32"/>
        </w:rPr>
        <w:t>4、评价标准：</w:t>
      </w:r>
      <w:r>
        <w:rPr>
          <w:rFonts w:hint="eastAsia"/>
          <w:color w:val="000000"/>
          <w:spacing w:val="17"/>
          <w:sz w:val="32"/>
          <w:szCs w:val="32"/>
        </w:rPr>
        <w:t>绩效评价标准通常包括计划标准、行业标准、历史标准等，用于对绩效指标完成情况进行比较、分析、评价。本次评价主要采用了</w:t>
      </w:r>
      <w:r>
        <w:rPr>
          <w:rFonts w:hint="eastAsia" w:cs="方正仿宋_GBK"/>
          <w:sz w:val="32"/>
          <w:szCs w:val="32"/>
        </w:rPr>
        <w:t>计划标准。预先制定了发放补贴的对象、发放时间、预算额度366万元作为评价标准。</w:t>
      </w:r>
    </w:p>
    <w:p>
      <w:pPr>
        <w:spacing w:line="560" w:lineRule="exact"/>
        <w:ind w:firstLine="600" w:firstLineChars="200"/>
        <w:contextualSpacing/>
        <w:jc w:val="left"/>
        <w:rPr>
          <w:rFonts w:ascii="仿宋_GB2312"/>
        </w:rPr>
      </w:pPr>
      <w:bookmarkStart w:id="6" w:name="_Toc68703833"/>
      <w:r>
        <w:rPr>
          <w:rFonts w:hint="eastAsia" w:ascii="仿宋_GB2312"/>
        </w:rPr>
        <w:t>（三）绩效评价工作过程。</w:t>
      </w:r>
      <w:bookmarkEnd w:id="6"/>
    </w:p>
    <w:p>
      <w:pPr>
        <w:spacing w:line="560" w:lineRule="exact"/>
        <w:ind w:firstLine="640" w:firstLineChars="200"/>
        <w:contextualSpacing/>
        <w:rPr>
          <w:rFonts w:cs="方正仿宋_GBK"/>
          <w:sz w:val="32"/>
          <w:szCs w:val="32"/>
        </w:rPr>
      </w:pPr>
      <w:bookmarkStart w:id="7" w:name="_Toc68703834"/>
      <w:r>
        <w:rPr>
          <w:rFonts w:hint="eastAsia" w:cs="方正仿宋_GBK"/>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p>
    <w:p>
      <w:pPr>
        <w:spacing w:line="560" w:lineRule="exact"/>
        <w:ind w:firstLine="640" w:firstLineChars="200"/>
        <w:contextualSpacing/>
        <w:rPr>
          <w:rFonts w:cs="方正仿宋_GBK"/>
          <w:sz w:val="32"/>
          <w:szCs w:val="32"/>
        </w:rPr>
      </w:pPr>
      <w:r>
        <w:rPr>
          <w:rFonts w:hint="eastAsia" w:cs="方正仿宋_GBK"/>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p>
    <w:p>
      <w:pPr>
        <w:spacing w:line="560" w:lineRule="exact"/>
        <w:ind w:firstLine="640" w:firstLineChars="200"/>
        <w:contextualSpacing/>
        <w:rPr>
          <w:rFonts w:cs="方正仿宋_GBK"/>
          <w:sz w:val="32"/>
          <w:szCs w:val="32"/>
        </w:rPr>
      </w:pPr>
      <w:r>
        <w:rPr>
          <w:rFonts w:hint="eastAsia" w:cs="方正仿宋_GBK"/>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pPr>
        <w:spacing w:line="560" w:lineRule="exact"/>
        <w:ind w:firstLine="643" w:firstLineChars="200"/>
        <w:contextualSpacing/>
        <w:rPr>
          <w:b/>
          <w:sz w:val="32"/>
        </w:rPr>
      </w:pPr>
      <w:r>
        <w:rPr>
          <w:rFonts w:hint="eastAsia"/>
          <w:b/>
          <w:sz w:val="32"/>
        </w:rPr>
        <w:t>三、综合评价情况及评价结论</w:t>
      </w:r>
      <w:bookmarkEnd w:id="7"/>
      <w:bookmarkStart w:id="8" w:name="_Toc68703835"/>
    </w:p>
    <w:p>
      <w:pPr>
        <w:spacing w:line="560" w:lineRule="exact"/>
        <w:ind w:firstLine="640" w:firstLineChars="200"/>
        <w:contextualSpacing/>
        <w:rPr>
          <w:rFonts w:cs="方正仿宋_GBK"/>
          <w:sz w:val="32"/>
          <w:szCs w:val="32"/>
        </w:rPr>
      </w:pPr>
      <w:r>
        <w:rPr>
          <w:rFonts w:hint="eastAsia" w:cs="方正仿宋_GBK"/>
          <w:sz w:val="32"/>
          <w:szCs w:val="32"/>
        </w:rPr>
        <w:t>（一）综合评价情况</w:t>
      </w:r>
      <w:bookmarkEnd w:id="8"/>
      <w:r>
        <w:rPr>
          <w:rFonts w:hint="eastAsia" w:cs="方正仿宋_GBK"/>
          <w:sz w:val="32"/>
          <w:szCs w:val="32"/>
        </w:rPr>
        <w:t>及评价结论</w:t>
      </w:r>
    </w:p>
    <w:p>
      <w:pPr>
        <w:spacing w:line="560" w:lineRule="exact"/>
        <w:ind w:firstLine="640" w:firstLineChars="200"/>
        <w:contextualSpacing/>
        <w:rPr>
          <w:rFonts w:cs="方正仿宋_GBK"/>
          <w:sz w:val="32"/>
          <w:szCs w:val="32"/>
        </w:rPr>
      </w:pPr>
      <w:r>
        <w:rPr>
          <w:rFonts w:hint="eastAsia" w:cs="方正仿宋_GBK"/>
          <w:sz w:val="32"/>
          <w:szCs w:val="32"/>
        </w:rPr>
        <w:t>1.综合评价情况：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spacing w:line="560" w:lineRule="exact"/>
        <w:ind w:firstLine="640" w:firstLineChars="200"/>
        <w:contextualSpacing/>
        <w:rPr>
          <w:rFonts w:cs="方正仿宋_GBK"/>
          <w:sz w:val="32"/>
          <w:szCs w:val="32"/>
        </w:rPr>
      </w:pPr>
      <w:r>
        <w:rPr>
          <w:rFonts w:hint="eastAsia" w:cs="方正仿宋_GBK"/>
          <w:sz w:val="32"/>
          <w:szCs w:val="32"/>
        </w:rPr>
        <w:t>本项目严格按照科学公正、统筹兼顾、激励约束、公开透明的绩效评价原则，采用公众评判法，坚持计划标准对本项目的立项、绩效目标、资金投入、资金管理、组织实施、产出数量、产出质量、产出时效、产出成本、项目效益进行了综合评价。</w:t>
      </w:r>
    </w:p>
    <w:p>
      <w:pPr>
        <w:spacing w:line="560" w:lineRule="exact"/>
        <w:ind w:firstLine="640" w:firstLineChars="200"/>
        <w:contextualSpacing/>
        <w:rPr>
          <w:rFonts w:cs="方正仿宋_GBK"/>
          <w:sz w:val="32"/>
          <w:szCs w:val="32"/>
        </w:rPr>
      </w:pPr>
      <w:bookmarkStart w:id="9" w:name="_Toc68703836"/>
      <w:r>
        <w:rPr>
          <w:rFonts w:hint="eastAsia" w:cs="方正仿宋_GBK"/>
          <w:sz w:val="32"/>
          <w:szCs w:val="32"/>
        </w:rPr>
        <w:t>2.评价结论</w:t>
      </w:r>
      <w:bookmarkEnd w:id="9"/>
    </w:p>
    <w:p>
      <w:pPr>
        <w:spacing w:line="560" w:lineRule="exact"/>
        <w:ind w:firstLine="640" w:firstLineChars="200"/>
        <w:contextualSpacing/>
      </w:pPr>
      <w:r>
        <w:rPr>
          <w:rFonts w:hint="eastAsia" w:cs="方正仿宋_GBK"/>
          <w:sz w:val="32"/>
          <w:szCs w:val="32"/>
        </w:rPr>
        <w:t>运用绩效评价组制定的评价指标体系以及财政部《项目支出绩效评价管理办法》（财预〔2020〕10号）文件的评分标准，通过数据</w:t>
      </w:r>
      <w:r>
        <w:rPr>
          <w:rFonts w:hint="eastAsia"/>
        </w:rPr>
        <w:t>采集、问卷调查及访谈等方式，对本项目进行客观评价，最终评分结果：总得分为</w:t>
      </w:r>
      <w:r>
        <w:rPr>
          <w:rFonts w:hint="eastAsia"/>
          <w:lang w:val="en-US" w:eastAsia="zh-CN"/>
        </w:rPr>
        <w:t>99.8</w:t>
      </w:r>
      <w:r>
        <w:rPr>
          <w:rFonts w:hint="eastAsia"/>
        </w:rPr>
        <w:t>分，属于“优”。</w:t>
      </w:r>
      <w:r>
        <w:rPr>
          <w:sz w:val="31"/>
          <w:szCs w:val="31"/>
        </w:rPr>
        <w:t>其中，项目决策类指标权重为20分，得分为 20分，得分率为100%。项目过程类指标权重为20分，得分为</w:t>
      </w:r>
      <w:r>
        <w:rPr>
          <w:rFonts w:hint="eastAsia"/>
          <w:sz w:val="31"/>
          <w:szCs w:val="31"/>
        </w:rPr>
        <w:t>20</w:t>
      </w:r>
      <w:r>
        <w:rPr>
          <w:sz w:val="31"/>
          <w:szCs w:val="31"/>
        </w:rPr>
        <w:t>分，得分率为</w:t>
      </w:r>
      <w:r>
        <w:rPr>
          <w:rFonts w:hint="eastAsia"/>
          <w:sz w:val="31"/>
          <w:szCs w:val="31"/>
        </w:rPr>
        <w:t>100</w:t>
      </w:r>
      <w:r>
        <w:rPr>
          <w:sz w:val="31"/>
          <w:szCs w:val="31"/>
        </w:rPr>
        <w:t>%。项目产出类指标权重为40分，得分为</w:t>
      </w:r>
      <w:r>
        <w:rPr>
          <w:rFonts w:hint="eastAsia"/>
          <w:sz w:val="31"/>
          <w:szCs w:val="31"/>
          <w:lang w:val="en-US" w:eastAsia="zh-CN"/>
        </w:rPr>
        <w:t>39.8</w:t>
      </w:r>
      <w:r>
        <w:rPr>
          <w:sz w:val="31"/>
          <w:szCs w:val="31"/>
        </w:rPr>
        <w:t>分，得分率为</w:t>
      </w:r>
      <w:r>
        <w:rPr>
          <w:rFonts w:hint="eastAsia"/>
          <w:sz w:val="31"/>
          <w:szCs w:val="31"/>
          <w:lang w:val="en-US" w:eastAsia="zh-CN"/>
        </w:rPr>
        <w:t>99.5</w:t>
      </w:r>
      <w:r>
        <w:rPr>
          <w:sz w:val="31"/>
          <w:szCs w:val="31"/>
        </w:rPr>
        <w:t>%。项目效益类指标权重为20分，得分为20分，得分率为100%。</w:t>
      </w:r>
    </w:p>
    <w:p>
      <w:pPr>
        <w:spacing w:line="560" w:lineRule="exact"/>
        <w:ind w:firstLine="640" w:firstLineChars="200"/>
        <w:contextualSpacing/>
        <w:rPr>
          <w:rFonts w:cs="方正仿宋_GBK"/>
          <w:sz w:val="32"/>
          <w:szCs w:val="32"/>
        </w:rPr>
      </w:pPr>
      <w:r>
        <w:rPr>
          <w:rFonts w:hint="eastAsia" w:cs="方正仿宋_GBK"/>
          <w:sz w:val="32"/>
          <w:szCs w:val="32"/>
        </w:rPr>
        <w:t>（二）相关评分表</w:t>
      </w:r>
    </w:p>
    <w:p>
      <w:pPr>
        <w:spacing w:line="560" w:lineRule="exact"/>
        <w:ind w:firstLine="640" w:firstLineChars="200"/>
        <w:contextualSpacing/>
        <w:rPr>
          <w:rFonts w:cs="方正仿宋_GBK"/>
          <w:sz w:val="32"/>
          <w:szCs w:val="32"/>
        </w:rPr>
      </w:pPr>
      <w:r>
        <w:rPr>
          <w:rFonts w:hint="eastAsia" w:cs="方正仿宋_GBK"/>
          <w:sz w:val="32"/>
          <w:szCs w:val="32"/>
        </w:rPr>
        <w:t>具体打分情况详见：附件1综合评分表。</w:t>
      </w:r>
    </w:p>
    <w:p>
      <w:pPr>
        <w:spacing w:line="560" w:lineRule="exact"/>
        <w:ind w:firstLine="600" w:firstLineChars="200"/>
        <w:contextualSpacing/>
        <w:jc w:val="center"/>
      </w:pPr>
      <w:r>
        <w:rPr>
          <w:rFonts w:hint="eastAsia"/>
        </w:rPr>
        <w:t>人才发展专项经费项目评价得分情况</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spacing w:line="560" w:lineRule="exact"/>
              <w:ind w:firstLine="442" w:firstLineChars="200"/>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spacing w:line="560" w:lineRule="exact"/>
              <w:ind w:firstLine="442" w:firstLineChars="200"/>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spacing w:line="560" w:lineRule="exact"/>
              <w:ind w:firstLine="442" w:firstLineChars="200"/>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sz w:val="22"/>
              </w:rPr>
            </w:pPr>
            <w:r>
              <w:rPr>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sz w:val="22"/>
              </w:rPr>
            </w:pPr>
            <w:r>
              <w:rPr>
                <w:sz w:val="22"/>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sz w:val="22"/>
              </w:rPr>
            </w:pPr>
            <w:r>
              <w:rPr>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sz w:val="22"/>
              </w:rPr>
            </w:pPr>
            <w:r>
              <w:rPr>
                <w:sz w:val="22"/>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sz w:val="22"/>
                <w:lang w:val="en-US" w:eastAsia="zh-CN"/>
              </w:rPr>
            </w:pPr>
            <w:r>
              <w:rPr>
                <w:rFonts w:hint="eastAsia"/>
                <w:sz w:val="22"/>
                <w:lang w:val="en-US" w:eastAsia="zh-CN"/>
              </w:rPr>
              <w:t>39.8</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sz w:val="22"/>
              </w:rPr>
            </w:pPr>
            <w:r>
              <w:rPr>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sz w:val="22"/>
              </w:rPr>
            </w:pPr>
            <w:r>
              <w:rPr>
                <w:sz w:val="22"/>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560" w:lineRule="exact"/>
              <w:ind w:firstLine="442" w:firstLineChars="200"/>
              <w:jc w:val="center"/>
              <w:rPr>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sz w:val="22"/>
                <w:lang w:val="en-US" w:eastAsia="zh-CN"/>
              </w:rPr>
            </w:pPr>
            <w:r>
              <w:rPr>
                <w:rFonts w:hint="eastAsia"/>
                <w:b/>
                <w:bCs/>
                <w:color w:val="000000"/>
                <w:sz w:val="22"/>
                <w:lang w:val="en-US" w:eastAsia="zh-CN"/>
              </w:rPr>
              <w:t>99.8</w:t>
            </w:r>
          </w:p>
        </w:tc>
      </w:tr>
    </w:tbl>
    <w:p>
      <w:pPr>
        <w:spacing w:line="560" w:lineRule="exact"/>
        <w:ind w:firstLine="643" w:firstLineChars="200"/>
        <w:contextualSpacing/>
        <w:rPr>
          <w:b/>
          <w:sz w:val="32"/>
        </w:rPr>
      </w:pPr>
      <w:bookmarkStart w:id="10" w:name="_Toc68703837"/>
      <w:r>
        <w:rPr>
          <w:rFonts w:hint="eastAsia"/>
          <w:b/>
          <w:sz w:val="32"/>
        </w:rPr>
        <w:t>四、绩效评价指标分析</w:t>
      </w:r>
      <w:bookmarkEnd w:id="10"/>
    </w:p>
    <w:p>
      <w:pPr>
        <w:spacing w:line="560" w:lineRule="exact"/>
        <w:ind w:firstLine="640" w:firstLineChars="200"/>
        <w:contextualSpacing/>
        <w:rPr>
          <w:rFonts w:cs="方正仿宋_GBK"/>
          <w:sz w:val="32"/>
          <w:szCs w:val="32"/>
        </w:rPr>
      </w:pPr>
      <w:bookmarkStart w:id="11" w:name="_Toc68703838"/>
      <w:r>
        <w:rPr>
          <w:rFonts w:hint="eastAsia" w:cs="方正仿宋_GBK"/>
          <w:sz w:val="32"/>
          <w:szCs w:val="32"/>
        </w:rPr>
        <w:t>（一）项目决策情况。</w:t>
      </w:r>
      <w:bookmarkEnd w:id="11"/>
    </w:p>
    <w:p>
      <w:pPr>
        <w:spacing w:line="560" w:lineRule="exact"/>
        <w:ind w:firstLine="640" w:firstLineChars="200"/>
        <w:contextualSpacing/>
        <w:jc w:val="left"/>
        <w:rPr>
          <w:rFonts w:cs="方正仿宋_GBK"/>
          <w:sz w:val="32"/>
          <w:szCs w:val="32"/>
        </w:rPr>
      </w:pPr>
      <w:r>
        <w:rPr>
          <w:rFonts w:hint="eastAsia" w:cs="方正仿宋_GBK"/>
          <w:sz w:val="32"/>
          <w:szCs w:val="32"/>
        </w:rPr>
        <w:t>1.立项依据充分性</w:t>
      </w:r>
    </w:p>
    <w:p>
      <w:pPr>
        <w:spacing w:line="560" w:lineRule="exact"/>
        <w:ind w:firstLine="640" w:firstLineChars="200"/>
        <w:contextualSpacing/>
        <w:rPr>
          <w:rFonts w:cs="方正仿宋_GBK"/>
          <w:sz w:val="32"/>
          <w:szCs w:val="32"/>
        </w:rPr>
      </w:pPr>
      <w:r>
        <w:rPr>
          <w:rFonts w:hint="eastAsia" w:cs="方正仿宋_GBK"/>
          <w:sz w:val="32"/>
          <w:szCs w:val="32"/>
        </w:rPr>
        <w:t>根据《自治州党委组织部  自治州党委农办  自治州科技局 自治州农业农村局、自治州乡村振兴局关于印发〈自治州千名农业科技人才服务乡村振兴行动实施方案〉的通知》文件精神，根据农业科技人才实际服务天数，为其发放工作补贴。</w:t>
      </w:r>
    </w:p>
    <w:p>
      <w:pPr>
        <w:spacing w:line="560" w:lineRule="exact"/>
        <w:ind w:firstLine="640" w:firstLineChars="200"/>
        <w:contextualSpacing/>
        <w:jc w:val="left"/>
        <w:rPr>
          <w:rFonts w:hint="eastAsia" w:eastAsia="仿宋_GB2312" w:cs="方正仿宋_GBK"/>
          <w:sz w:val="32"/>
          <w:szCs w:val="32"/>
          <w:lang w:eastAsia="zh-CN"/>
        </w:rPr>
      </w:pPr>
      <w:r>
        <w:rPr>
          <w:rFonts w:hint="eastAsia" w:cs="方正仿宋_GBK"/>
          <w:sz w:val="32"/>
          <w:szCs w:val="32"/>
        </w:rPr>
        <w:t>根据《关于推荐自治州新一批优秀专家人选的通知》《关于印发〈自治州有突出贡献优秀专家评选管理办法〉的通知》（巴党办发〔2015〕42号）、《关于印发〈自治州加强优秀专家队伍建设的意见〉的通知》（巴党办发〔2012〕50号）、《关于印发〈自治州加强青年优秀专家队伍建设的意见〉〈自治州加强少数民族中青年优秀专家队伍建设的意见〉的通知》（巴党办发〔2015〕43号）文件精神，有突出贡献优秀专家三年发放4万元奖励，平均每年1.33万元，优秀专家管理期3年中每月享受800元工作津贴，平均每年9600元，少数民族中青年优秀专家和青年优秀专家管理期3年中每年发放7200元奖金</w:t>
      </w:r>
      <w:r>
        <w:rPr>
          <w:rFonts w:hint="eastAsia" w:cs="方正仿宋_GBK"/>
          <w:sz w:val="32"/>
          <w:szCs w:val="32"/>
          <w:lang w:eastAsia="zh-CN"/>
        </w:rPr>
        <w:t>，此项目属于履职所需；属于公共财政支持范围，符合中央、地方事权支出责任划分原则；与相关部门同类项目或部门内部相关项目不重复。</w:t>
      </w:r>
    </w:p>
    <w:p>
      <w:pPr>
        <w:pStyle w:val="2"/>
        <w:spacing w:before="0" w:after="0" w:line="560" w:lineRule="exact"/>
        <w:ind w:firstLine="640" w:firstLineChars="200"/>
        <w:contextualSpacing/>
        <w:jc w:val="left"/>
        <w:rPr>
          <w:rFonts w:ascii="Times New Roman" w:hAnsi="Times New Roman" w:eastAsia="仿宋_GB2312" w:cs="方正仿宋_GBK"/>
          <w:b w:val="0"/>
          <w:bCs w:val="0"/>
          <w:kern w:val="2"/>
        </w:rPr>
      </w:pPr>
      <w:r>
        <w:rPr>
          <w:rFonts w:hint="eastAsia" w:ascii="Times New Roman" w:hAnsi="Times New Roman" w:eastAsia="仿宋_GB2312" w:cs="方正仿宋_GBK"/>
          <w:b w:val="0"/>
          <w:bCs w:val="0"/>
          <w:kern w:val="2"/>
        </w:rPr>
        <w:t>此项权重分5分，得分5分。</w:t>
      </w:r>
    </w:p>
    <w:p>
      <w:pPr>
        <w:spacing w:line="560" w:lineRule="exact"/>
        <w:ind w:firstLine="640" w:firstLineChars="200"/>
        <w:contextualSpacing/>
        <w:jc w:val="left"/>
        <w:rPr>
          <w:rFonts w:cs="方正仿宋_GBK"/>
          <w:sz w:val="32"/>
          <w:szCs w:val="32"/>
        </w:rPr>
      </w:pPr>
      <w:r>
        <w:rPr>
          <w:rFonts w:hint="eastAsia" w:cs="方正仿宋_GBK"/>
          <w:sz w:val="32"/>
          <w:szCs w:val="32"/>
        </w:rPr>
        <w:t>2.立项程序规范性</w:t>
      </w:r>
    </w:p>
    <w:p>
      <w:pPr>
        <w:pStyle w:val="2"/>
        <w:spacing w:before="0" w:after="0" w:line="560" w:lineRule="exact"/>
        <w:ind w:firstLine="640" w:firstLineChars="200"/>
        <w:contextualSpacing/>
        <w:jc w:val="left"/>
        <w:rPr>
          <w:rFonts w:ascii="Times New Roman" w:hAnsi="Times New Roman" w:eastAsia="仿宋_GB2312" w:cs="方正仿宋_GBK"/>
          <w:b w:val="0"/>
          <w:bCs w:val="0"/>
          <w:kern w:val="2"/>
        </w:rPr>
      </w:pPr>
      <w:r>
        <w:rPr>
          <w:rFonts w:hint="eastAsia" w:ascii="Times New Roman" w:hAnsi="Times New Roman" w:eastAsia="仿宋_GB2312" w:cs="方正仿宋_GBK"/>
          <w:b w:val="0"/>
          <w:bCs w:val="0"/>
          <w:kern w:val="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
        <w:spacing w:before="0" w:after="0" w:line="560" w:lineRule="exact"/>
        <w:ind w:firstLine="640" w:firstLineChars="200"/>
        <w:contextualSpacing/>
        <w:jc w:val="left"/>
        <w:rPr>
          <w:rFonts w:ascii="Times New Roman" w:hAnsi="Times New Roman" w:eastAsia="仿宋_GB2312" w:cs="方正仿宋_GBK"/>
          <w:b w:val="0"/>
          <w:bCs w:val="0"/>
          <w:kern w:val="2"/>
        </w:rPr>
      </w:pPr>
      <w:r>
        <w:rPr>
          <w:rFonts w:hint="eastAsia" w:ascii="Times New Roman" w:hAnsi="Times New Roman" w:eastAsia="仿宋_GB2312" w:cs="方正仿宋_GBK"/>
          <w:b w:val="0"/>
          <w:bCs w:val="0"/>
          <w:kern w:val="2"/>
        </w:rPr>
        <w:t>此项权重分5分，得分5分。</w:t>
      </w:r>
    </w:p>
    <w:p>
      <w:pPr>
        <w:spacing w:line="560" w:lineRule="exact"/>
        <w:ind w:firstLine="640" w:firstLineChars="200"/>
        <w:contextualSpacing/>
        <w:jc w:val="left"/>
        <w:rPr>
          <w:rFonts w:cs="方正仿宋_GBK"/>
          <w:sz w:val="32"/>
          <w:szCs w:val="32"/>
        </w:rPr>
      </w:pPr>
      <w:r>
        <w:rPr>
          <w:rFonts w:hint="eastAsia" w:cs="方正仿宋_GBK"/>
          <w:sz w:val="32"/>
          <w:szCs w:val="32"/>
        </w:rPr>
        <w:t>3.绩效目标合理性</w:t>
      </w:r>
    </w:p>
    <w:p>
      <w:pPr>
        <w:pStyle w:val="2"/>
        <w:spacing w:before="0" w:after="0" w:line="560" w:lineRule="exact"/>
        <w:ind w:firstLine="640" w:firstLineChars="200"/>
        <w:contextualSpacing/>
        <w:jc w:val="left"/>
        <w:rPr>
          <w:rFonts w:ascii="Times New Roman" w:hAnsi="Times New Roman" w:eastAsia="仿宋_GB2312" w:cs="方正仿宋_GBK"/>
          <w:b w:val="0"/>
          <w:bCs w:val="0"/>
          <w:kern w:val="2"/>
        </w:rPr>
      </w:pPr>
      <w:r>
        <w:rPr>
          <w:rFonts w:hint="eastAsia" w:ascii="Times New Roman" w:hAnsi="Times New Roman" w:eastAsia="仿宋_GB2312" w:cs="方正仿宋_GBK"/>
          <w:b w:val="0"/>
          <w:bCs w:val="0"/>
          <w:kern w:val="2"/>
        </w:rPr>
        <w:t>人才发展专项经费项目设立了项目绩效目标，与州管优秀专家评选工作和自治州千名农业科技人才服务乡村振兴工作具有相关性，项目的预期产出效益和效果也均能符合正常的业绩水平，并且与预算确定的项目投资额或资金量相匹配。</w:t>
      </w:r>
    </w:p>
    <w:p>
      <w:pPr>
        <w:pStyle w:val="2"/>
        <w:spacing w:before="0" w:after="0" w:line="560" w:lineRule="exact"/>
        <w:ind w:firstLine="640" w:firstLineChars="200"/>
        <w:contextualSpacing/>
        <w:jc w:val="left"/>
        <w:rPr>
          <w:rFonts w:ascii="Times New Roman" w:hAnsi="Times New Roman" w:eastAsia="仿宋_GB2312" w:cs="方正仿宋_GBK"/>
          <w:b w:val="0"/>
          <w:bCs w:val="0"/>
          <w:kern w:val="2"/>
        </w:rPr>
      </w:pPr>
      <w:r>
        <w:rPr>
          <w:rFonts w:hint="eastAsia" w:ascii="Times New Roman" w:hAnsi="Times New Roman" w:eastAsia="仿宋_GB2312" w:cs="方正仿宋_GBK"/>
          <w:b w:val="0"/>
          <w:bCs w:val="0"/>
          <w:kern w:val="2"/>
        </w:rPr>
        <w:t>此项权重分2.5分，得分2.5分。</w:t>
      </w:r>
    </w:p>
    <w:p>
      <w:pPr>
        <w:spacing w:line="560" w:lineRule="exact"/>
        <w:ind w:firstLine="640" w:firstLineChars="200"/>
        <w:contextualSpacing/>
        <w:jc w:val="left"/>
        <w:rPr>
          <w:rFonts w:cs="方正仿宋_GBK"/>
          <w:sz w:val="32"/>
          <w:szCs w:val="32"/>
        </w:rPr>
      </w:pPr>
      <w:r>
        <w:rPr>
          <w:rFonts w:hint="eastAsia" w:cs="方正仿宋_GBK"/>
          <w:sz w:val="32"/>
          <w:szCs w:val="32"/>
        </w:rPr>
        <w:t>4.绩效指标明确性</w:t>
      </w:r>
    </w:p>
    <w:p>
      <w:pPr>
        <w:pStyle w:val="2"/>
        <w:spacing w:before="0" w:after="0" w:line="560" w:lineRule="exact"/>
        <w:ind w:firstLine="640" w:firstLineChars="200"/>
        <w:contextualSpacing/>
        <w:jc w:val="left"/>
        <w:rPr>
          <w:rFonts w:ascii="Times New Roman" w:hAnsi="Times New Roman" w:eastAsia="仿宋_GB2312" w:cs="方正仿宋_GBK"/>
          <w:b w:val="0"/>
          <w:bCs w:val="0"/>
          <w:kern w:val="2"/>
        </w:rPr>
      </w:pPr>
      <w:bookmarkStart w:id="12" w:name="_Hlk68699917"/>
      <w:r>
        <w:rPr>
          <w:rFonts w:hint="eastAsia" w:ascii="Times New Roman" w:hAnsi="Times New Roman" w:eastAsia="仿宋_GB2312" w:cs="方正仿宋_GBK"/>
          <w:b w:val="0"/>
          <w:bCs w:val="0"/>
          <w:kern w:val="2"/>
        </w:rPr>
        <w:t>人才发展专项经费项目将项目绩效目标细化分解为具体的绩效指标，一级指标共4条，二级指标共8条，三级指标共8条，其中量化指标条数共6条，所有绩效指标均通过清晰、可衡量的指标值予以体现，并且做到了与项目目标任务数或计划数相对应。</w:t>
      </w:r>
      <w:bookmarkEnd w:id="12"/>
    </w:p>
    <w:p>
      <w:pPr>
        <w:pStyle w:val="2"/>
        <w:spacing w:before="0" w:after="0" w:line="560" w:lineRule="exact"/>
        <w:ind w:firstLine="640" w:firstLineChars="200"/>
        <w:contextualSpacing/>
        <w:jc w:val="left"/>
        <w:rPr>
          <w:rFonts w:ascii="Times New Roman" w:hAnsi="Times New Roman" w:eastAsia="仿宋_GB2312" w:cs="方正仿宋_GBK"/>
          <w:b w:val="0"/>
          <w:bCs w:val="0"/>
          <w:kern w:val="2"/>
        </w:rPr>
      </w:pPr>
      <w:r>
        <w:rPr>
          <w:rFonts w:hint="eastAsia" w:ascii="Times New Roman" w:hAnsi="Times New Roman" w:eastAsia="仿宋_GB2312" w:cs="方正仿宋_GBK"/>
          <w:b w:val="0"/>
          <w:bCs w:val="0"/>
          <w:kern w:val="2"/>
        </w:rPr>
        <w:t>此项权重分2.5分，得分2.5分。</w:t>
      </w:r>
    </w:p>
    <w:p>
      <w:pPr>
        <w:spacing w:line="560" w:lineRule="exact"/>
        <w:ind w:firstLine="640" w:firstLineChars="200"/>
        <w:contextualSpacing/>
        <w:jc w:val="left"/>
        <w:rPr>
          <w:rFonts w:cs="方正仿宋_GBK"/>
          <w:sz w:val="32"/>
          <w:szCs w:val="32"/>
        </w:rPr>
      </w:pPr>
      <w:r>
        <w:rPr>
          <w:rFonts w:hint="eastAsia" w:cs="方正仿宋_GBK"/>
          <w:sz w:val="32"/>
          <w:szCs w:val="32"/>
        </w:rPr>
        <w:t>5.预算编制科学性</w:t>
      </w:r>
    </w:p>
    <w:p>
      <w:pPr>
        <w:pStyle w:val="2"/>
        <w:spacing w:before="0" w:after="0" w:line="560" w:lineRule="exact"/>
        <w:ind w:firstLine="640" w:firstLineChars="200"/>
        <w:contextualSpacing/>
        <w:jc w:val="left"/>
        <w:rPr>
          <w:rFonts w:ascii="Times New Roman" w:hAnsi="Times New Roman" w:eastAsia="仿宋_GB2312" w:cs="方正仿宋_GBK"/>
          <w:b w:val="0"/>
          <w:bCs w:val="0"/>
          <w:kern w:val="2"/>
        </w:rPr>
      </w:pPr>
      <w:r>
        <w:rPr>
          <w:rFonts w:hint="eastAsia" w:ascii="Times New Roman" w:hAnsi="Times New Roman" w:eastAsia="仿宋_GB2312" w:cs="方正仿宋_GBK"/>
          <w:b w:val="0"/>
          <w:bCs w:val="0"/>
          <w:kern w:val="2"/>
        </w:rPr>
        <w:t>预算编制经过科学论证；预算内容与项目内容匹配；预算额度测算依据充分，严格按照标准编制；预算确定的项目投资额与工作任务相匹配</w:t>
      </w:r>
    </w:p>
    <w:p>
      <w:pPr>
        <w:pStyle w:val="2"/>
        <w:spacing w:before="0" w:after="0" w:line="560" w:lineRule="exact"/>
        <w:ind w:firstLine="640" w:firstLineChars="200"/>
        <w:contextualSpacing/>
        <w:jc w:val="left"/>
        <w:rPr>
          <w:rFonts w:ascii="Times New Roman" w:hAnsi="Times New Roman" w:eastAsia="仿宋_GB2312" w:cs="方正仿宋_GBK"/>
          <w:b w:val="0"/>
          <w:bCs w:val="0"/>
          <w:kern w:val="2"/>
        </w:rPr>
      </w:pPr>
      <w:r>
        <w:rPr>
          <w:rFonts w:hint="eastAsia" w:ascii="Times New Roman" w:hAnsi="Times New Roman" w:eastAsia="仿宋_GB2312" w:cs="方正仿宋_GBK"/>
          <w:b w:val="0"/>
          <w:bCs w:val="0"/>
          <w:kern w:val="2"/>
        </w:rPr>
        <w:t>此项权重分2.5分，得分2.5分。</w:t>
      </w:r>
    </w:p>
    <w:p>
      <w:pPr>
        <w:spacing w:line="560" w:lineRule="exact"/>
        <w:ind w:firstLine="640" w:firstLineChars="200"/>
        <w:contextualSpacing/>
        <w:jc w:val="left"/>
        <w:rPr>
          <w:rFonts w:cs="方正仿宋_GBK"/>
          <w:sz w:val="32"/>
          <w:szCs w:val="32"/>
        </w:rPr>
      </w:pPr>
      <w:r>
        <w:rPr>
          <w:rFonts w:hint="eastAsia" w:cs="方正仿宋_GBK"/>
          <w:sz w:val="32"/>
          <w:szCs w:val="32"/>
        </w:rPr>
        <w:t>6.资金分配合理性</w:t>
      </w:r>
    </w:p>
    <w:p>
      <w:pPr>
        <w:pStyle w:val="2"/>
        <w:spacing w:before="0" w:after="0" w:line="560" w:lineRule="exact"/>
        <w:ind w:firstLine="640" w:firstLineChars="200"/>
        <w:contextualSpacing/>
        <w:jc w:val="left"/>
        <w:rPr>
          <w:rFonts w:ascii="Times New Roman" w:hAnsi="Times New Roman" w:eastAsia="仿宋_GB2312" w:cs="方正仿宋_GBK"/>
          <w:b w:val="0"/>
          <w:bCs w:val="0"/>
          <w:kern w:val="2"/>
        </w:rPr>
      </w:pPr>
      <w:r>
        <w:rPr>
          <w:rFonts w:hint="eastAsia" w:ascii="Times New Roman" w:hAnsi="Times New Roman" w:eastAsia="仿宋_GB2312" w:cs="方正仿宋_GBK"/>
          <w:b w:val="0"/>
          <w:bCs w:val="0"/>
          <w:kern w:val="2"/>
        </w:rPr>
        <w:t>预算资金分配依据充分；资金分配额度合理，与地方实际相适应。</w:t>
      </w:r>
    </w:p>
    <w:p>
      <w:pPr>
        <w:pStyle w:val="2"/>
        <w:spacing w:before="0" w:after="0" w:line="560" w:lineRule="exact"/>
        <w:ind w:firstLine="640" w:firstLineChars="200"/>
        <w:contextualSpacing/>
        <w:jc w:val="left"/>
        <w:rPr>
          <w:rFonts w:ascii="Times New Roman" w:hAnsi="Times New Roman" w:eastAsia="仿宋_GB2312" w:cs="方正仿宋_GBK"/>
          <w:b w:val="0"/>
          <w:bCs w:val="0"/>
          <w:kern w:val="2"/>
        </w:rPr>
      </w:pPr>
      <w:r>
        <w:rPr>
          <w:rFonts w:hint="eastAsia" w:ascii="Times New Roman" w:hAnsi="Times New Roman" w:eastAsia="仿宋_GB2312" w:cs="方正仿宋_GBK"/>
          <w:b w:val="0"/>
          <w:bCs w:val="0"/>
          <w:kern w:val="2"/>
        </w:rPr>
        <w:t>此项权重分2.5分，得分2.5分。</w:t>
      </w:r>
      <w:bookmarkStart w:id="13" w:name="_Toc68703839"/>
    </w:p>
    <w:p>
      <w:pPr>
        <w:pStyle w:val="2"/>
        <w:spacing w:before="0" w:after="0" w:line="560" w:lineRule="exact"/>
        <w:ind w:firstLine="640" w:firstLineChars="200"/>
        <w:contextualSpacing/>
        <w:jc w:val="left"/>
        <w:rPr>
          <w:rFonts w:ascii="Times New Roman" w:hAnsi="Times New Roman" w:eastAsia="仿宋_GB2312" w:cs="方正仿宋_GBK"/>
          <w:b w:val="0"/>
          <w:bCs w:val="0"/>
          <w:kern w:val="2"/>
        </w:rPr>
      </w:pPr>
      <w:r>
        <w:rPr>
          <w:rFonts w:hint="eastAsia" w:ascii="Times New Roman" w:hAnsi="Times New Roman" w:eastAsia="仿宋_GB2312" w:cs="方正仿宋_GBK"/>
          <w:b w:val="0"/>
          <w:bCs w:val="0"/>
          <w:kern w:val="2"/>
        </w:rPr>
        <w:t>（二）项目过程情况。</w:t>
      </w:r>
      <w:bookmarkEnd w:id="13"/>
    </w:p>
    <w:p>
      <w:pPr>
        <w:spacing w:line="560" w:lineRule="exact"/>
        <w:ind w:firstLine="640" w:firstLineChars="200"/>
        <w:contextualSpacing/>
        <w:jc w:val="left"/>
        <w:rPr>
          <w:rFonts w:cs="方正仿宋_GBK"/>
          <w:sz w:val="32"/>
          <w:szCs w:val="32"/>
        </w:rPr>
      </w:pPr>
      <w:r>
        <w:rPr>
          <w:rFonts w:hint="eastAsia" w:cs="方正仿宋_GBK"/>
          <w:sz w:val="32"/>
          <w:szCs w:val="32"/>
        </w:rPr>
        <w:t>1.资金到位率：</w:t>
      </w:r>
    </w:p>
    <w:p>
      <w:pPr>
        <w:spacing w:line="560" w:lineRule="exact"/>
        <w:ind w:firstLine="640" w:firstLineChars="200"/>
        <w:contextualSpacing/>
        <w:rPr>
          <w:rFonts w:cs="方正仿宋_GBK"/>
          <w:sz w:val="32"/>
          <w:szCs w:val="32"/>
        </w:rPr>
      </w:pPr>
      <w:r>
        <w:rPr>
          <w:rFonts w:hint="eastAsia" w:cs="方正仿宋_GBK"/>
          <w:sz w:val="32"/>
          <w:szCs w:val="32"/>
        </w:rPr>
        <w:t>预算资金366万元，实际到位资金366万元，资金到位率100%。</w:t>
      </w:r>
    </w:p>
    <w:p>
      <w:pPr>
        <w:pStyle w:val="2"/>
        <w:spacing w:before="0" w:after="0" w:line="560" w:lineRule="exact"/>
        <w:ind w:firstLine="640" w:firstLineChars="200"/>
        <w:contextualSpacing/>
        <w:jc w:val="left"/>
        <w:rPr>
          <w:rFonts w:ascii="Times New Roman" w:hAnsi="Times New Roman" w:eastAsia="仿宋_GB2312" w:cs="方正仿宋_GBK"/>
          <w:b w:val="0"/>
          <w:bCs w:val="0"/>
          <w:kern w:val="2"/>
        </w:rPr>
      </w:pPr>
      <w:r>
        <w:rPr>
          <w:rFonts w:hint="eastAsia" w:ascii="Times New Roman" w:hAnsi="Times New Roman" w:eastAsia="仿宋_GB2312" w:cs="方正仿宋_GBK"/>
          <w:b w:val="0"/>
          <w:bCs w:val="0"/>
          <w:kern w:val="2"/>
        </w:rPr>
        <w:t>此项权重分</w:t>
      </w:r>
      <w:r>
        <w:rPr>
          <w:rFonts w:ascii="Times New Roman" w:hAnsi="Times New Roman" w:eastAsia="仿宋_GB2312" w:cs="方正仿宋_GBK"/>
          <w:b w:val="0"/>
          <w:bCs w:val="0"/>
          <w:kern w:val="2"/>
        </w:rPr>
        <w:t>4</w:t>
      </w:r>
      <w:r>
        <w:rPr>
          <w:rFonts w:hint="eastAsia" w:ascii="Times New Roman" w:hAnsi="Times New Roman" w:eastAsia="仿宋_GB2312" w:cs="方正仿宋_GBK"/>
          <w:b w:val="0"/>
          <w:bCs w:val="0"/>
          <w:kern w:val="2"/>
        </w:rPr>
        <w:t>分，得分</w:t>
      </w:r>
      <w:r>
        <w:rPr>
          <w:rFonts w:ascii="Times New Roman" w:hAnsi="Times New Roman" w:eastAsia="仿宋_GB2312" w:cs="方正仿宋_GBK"/>
          <w:b w:val="0"/>
          <w:bCs w:val="0"/>
          <w:kern w:val="2"/>
        </w:rPr>
        <w:t>4</w:t>
      </w:r>
      <w:r>
        <w:rPr>
          <w:rFonts w:hint="eastAsia" w:ascii="Times New Roman" w:hAnsi="Times New Roman" w:eastAsia="仿宋_GB2312" w:cs="方正仿宋_GBK"/>
          <w:b w:val="0"/>
          <w:bCs w:val="0"/>
          <w:kern w:val="2"/>
        </w:rPr>
        <w:t>分。</w:t>
      </w:r>
    </w:p>
    <w:p>
      <w:pPr>
        <w:spacing w:line="560" w:lineRule="exact"/>
        <w:ind w:firstLine="640" w:firstLineChars="200"/>
        <w:contextualSpacing/>
        <w:jc w:val="left"/>
        <w:rPr>
          <w:rFonts w:cs="方正仿宋_GBK"/>
          <w:sz w:val="32"/>
          <w:szCs w:val="32"/>
        </w:rPr>
      </w:pPr>
      <w:r>
        <w:rPr>
          <w:rFonts w:hint="eastAsia" w:cs="方正仿宋_GBK"/>
          <w:sz w:val="32"/>
          <w:szCs w:val="32"/>
        </w:rPr>
        <w:t>2.预算执行率</w:t>
      </w:r>
    </w:p>
    <w:p>
      <w:pPr>
        <w:spacing w:line="560" w:lineRule="exact"/>
        <w:ind w:firstLine="640" w:firstLineChars="200"/>
        <w:contextualSpacing/>
        <w:jc w:val="left"/>
        <w:rPr>
          <w:rFonts w:cs="方正仿宋_GBK"/>
          <w:sz w:val="32"/>
          <w:szCs w:val="32"/>
        </w:rPr>
      </w:pPr>
      <w:r>
        <w:rPr>
          <w:rFonts w:hint="eastAsia" w:cs="方正仿宋_GBK"/>
          <w:sz w:val="32"/>
          <w:szCs w:val="32"/>
        </w:rPr>
        <w:t>年初预算数366万元，全年预算数366万元，全年执行数366万元，预算执行率为100%</w:t>
      </w:r>
    </w:p>
    <w:p>
      <w:pPr>
        <w:pStyle w:val="2"/>
        <w:spacing w:before="0" w:after="0" w:line="560" w:lineRule="exact"/>
        <w:ind w:firstLine="640" w:firstLineChars="200"/>
        <w:contextualSpacing/>
        <w:jc w:val="left"/>
        <w:rPr>
          <w:rFonts w:ascii="Times New Roman" w:hAnsi="Times New Roman" w:eastAsia="仿宋_GB2312" w:cs="方正仿宋_GBK"/>
          <w:b w:val="0"/>
          <w:bCs w:val="0"/>
          <w:kern w:val="2"/>
        </w:rPr>
      </w:pPr>
      <w:r>
        <w:rPr>
          <w:rFonts w:hint="eastAsia" w:ascii="Times New Roman" w:hAnsi="Times New Roman" w:eastAsia="仿宋_GB2312" w:cs="方正仿宋_GBK"/>
          <w:b w:val="0"/>
          <w:bCs w:val="0"/>
          <w:kern w:val="2"/>
        </w:rPr>
        <w:t>此项权重分</w:t>
      </w:r>
      <w:r>
        <w:rPr>
          <w:rFonts w:ascii="Times New Roman" w:hAnsi="Times New Roman" w:eastAsia="仿宋_GB2312" w:cs="方正仿宋_GBK"/>
          <w:b w:val="0"/>
          <w:bCs w:val="0"/>
          <w:kern w:val="2"/>
        </w:rPr>
        <w:t>4</w:t>
      </w:r>
      <w:r>
        <w:rPr>
          <w:rFonts w:hint="eastAsia" w:ascii="Times New Roman" w:hAnsi="Times New Roman" w:eastAsia="仿宋_GB2312" w:cs="方正仿宋_GBK"/>
          <w:b w:val="0"/>
          <w:bCs w:val="0"/>
          <w:kern w:val="2"/>
        </w:rPr>
        <w:t>分，得分</w:t>
      </w:r>
      <w:r>
        <w:rPr>
          <w:rFonts w:ascii="Times New Roman" w:hAnsi="Times New Roman" w:eastAsia="仿宋_GB2312" w:cs="方正仿宋_GBK"/>
          <w:b w:val="0"/>
          <w:bCs w:val="0"/>
          <w:kern w:val="2"/>
        </w:rPr>
        <w:t>4</w:t>
      </w:r>
      <w:r>
        <w:rPr>
          <w:rFonts w:hint="eastAsia" w:ascii="Times New Roman" w:hAnsi="Times New Roman" w:eastAsia="仿宋_GB2312" w:cs="方正仿宋_GBK"/>
          <w:b w:val="0"/>
          <w:bCs w:val="0"/>
          <w:kern w:val="2"/>
        </w:rPr>
        <w:t>分。</w:t>
      </w:r>
    </w:p>
    <w:p>
      <w:pPr>
        <w:spacing w:line="560" w:lineRule="exact"/>
        <w:ind w:firstLine="640" w:firstLineChars="200"/>
        <w:contextualSpacing/>
        <w:jc w:val="left"/>
        <w:rPr>
          <w:rFonts w:cs="方正仿宋_GBK"/>
          <w:sz w:val="32"/>
          <w:szCs w:val="32"/>
        </w:rPr>
      </w:pPr>
      <w:r>
        <w:rPr>
          <w:rFonts w:hint="eastAsia" w:cs="方正仿宋_GBK"/>
          <w:sz w:val="32"/>
          <w:szCs w:val="32"/>
        </w:rPr>
        <w:t>3.资金使用合规性</w:t>
      </w:r>
    </w:p>
    <w:p>
      <w:pPr>
        <w:pStyle w:val="2"/>
        <w:spacing w:before="0" w:after="0" w:line="560" w:lineRule="exact"/>
        <w:ind w:firstLine="640" w:firstLineChars="200"/>
        <w:contextualSpacing/>
        <w:jc w:val="both"/>
        <w:rPr>
          <w:rFonts w:ascii="Times New Roman" w:hAnsi="Times New Roman" w:eastAsia="仿宋_GB2312" w:cs="方正仿宋_GBK"/>
          <w:b w:val="0"/>
          <w:bCs w:val="0"/>
          <w:kern w:val="2"/>
        </w:rPr>
      </w:pPr>
      <w:r>
        <w:rPr>
          <w:rFonts w:hint="eastAsia" w:ascii="Times New Roman" w:hAnsi="Times New Roman" w:eastAsia="仿宋_GB2312" w:cs="方正仿宋_GBK"/>
          <w:b w:val="0"/>
          <w:bCs w:val="0"/>
          <w:kern w:val="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
        <w:spacing w:before="0" w:after="0" w:line="560" w:lineRule="exact"/>
        <w:ind w:firstLine="640" w:firstLineChars="200"/>
        <w:contextualSpacing/>
        <w:jc w:val="left"/>
        <w:rPr>
          <w:rFonts w:ascii="Times New Roman" w:hAnsi="Times New Roman" w:eastAsia="仿宋_GB2312" w:cs="方正仿宋_GBK"/>
          <w:b w:val="0"/>
          <w:bCs w:val="0"/>
          <w:kern w:val="2"/>
        </w:rPr>
      </w:pPr>
      <w:r>
        <w:rPr>
          <w:rFonts w:hint="eastAsia" w:ascii="Times New Roman" w:hAnsi="Times New Roman" w:eastAsia="仿宋_GB2312" w:cs="方正仿宋_GBK"/>
          <w:b w:val="0"/>
          <w:bCs w:val="0"/>
          <w:kern w:val="2"/>
        </w:rPr>
        <w:t>此项权重分</w:t>
      </w:r>
      <w:r>
        <w:rPr>
          <w:rFonts w:ascii="Times New Roman" w:hAnsi="Times New Roman" w:eastAsia="仿宋_GB2312" w:cs="方正仿宋_GBK"/>
          <w:b w:val="0"/>
          <w:bCs w:val="0"/>
          <w:kern w:val="2"/>
        </w:rPr>
        <w:t>4</w:t>
      </w:r>
      <w:r>
        <w:rPr>
          <w:rFonts w:hint="eastAsia" w:ascii="Times New Roman" w:hAnsi="Times New Roman" w:eastAsia="仿宋_GB2312" w:cs="方正仿宋_GBK"/>
          <w:b w:val="0"/>
          <w:bCs w:val="0"/>
          <w:kern w:val="2"/>
        </w:rPr>
        <w:t>分，得分</w:t>
      </w:r>
      <w:r>
        <w:rPr>
          <w:rFonts w:ascii="Times New Roman" w:hAnsi="Times New Roman" w:eastAsia="仿宋_GB2312" w:cs="方正仿宋_GBK"/>
          <w:b w:val="0"/>
          <w:bCs w:val="0"/>
          <w:kern w:val="2"/>
        </w:rPr>
        <w:t>4</w:t>
      </w:r>
      <w:r>
        <w:rPr>
          <w:rFonts w:hint="eastAsia" w:ascii="Times New Roman" w:hAnsi="Times New Roman" w:eastAsia="仿宋_GB2312" w:cs="方正仿宋_GBK"/>
          <w:b w:val="0"/>
          <w:bCs w:val="0"/>
          <w:kern w:val="2"/>
        </w:rPr>
        <w:t>分。</w:t>
      </w:r>
    </w:p>
    <w:p>
      <w:pPr>
        <w:spacing w:line="560" w:lineRule="exact"/>
        <w:ind w:firstLine="640" w:firstLineChars="200"/>
        <w:contextualSpacing/>
        <w:jc w:val="left"/>
        <w:rPr>
          <w:rFonts w:cs="方正仿宋_GBK"/>
          <w:sz w:val="32"/>
          <w:szCs w:val="32"/>
        </w:rPr>
      </w:pPr>
      <w:r>
        <w:rPr>
          <w:rFonts w:hint="eastAsia" w:cs="方正仿宋_GBK"/>
          <w:sz w:val="32"/>
          <w:szCs w:val="32"/>
        </w:rPr>
        <w:t>4.管理制度健全性</w:t>
      </w:r>
    </w:p>
    <w:p>
      <w:pPr>
        <w:pStyle w:val="2"/>
        <w:spacing w:before="0" w:after="0" w:line="560" w:lineRule="exact"/>
        <w:ind w:firstLine="640" w:firstLineChars="200"/>
        <w:contextualSpacing/>
        <w:jc w:val="both"/>
        <w:rPr>
          <w:rFonts w:ascii="Times New Roman" w:hAnsi="Times New Roman" w:eastAsia="仿宋_GB2312" w:cs="方正仿宋_GBK"/>
          <w:b w:val="0"/>
          <w:bCs w:val="0"/>
          <w:kern w:val="2"/>
        </w:rPr>
      </w:pPr>
      <w:r>
        <w:rPr>
          <w:rFonts w:hint="eastAsia" w:ascii="Times New Roman" w:hAnsi="Times New Roman" w:eastAsia="仿宋_GB2312" w:cs="方正仿宋_GBK"/>
          <w:b w:val="0"/>
          <w:bCs w:val="0"/>
          <w:kern w:val="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2"/>
        <w:spacing w:before="0" w:after="0" w:line="560" w:lineRule="exact"/>
        <w:ind w:firstLine="640" w:firstLineChars="200"/>
        <w:contextualSpacing/>
        <w:jc w:val="left"/>
        <w:rPr>
          <w:rFonts w:ascii="Times New Roman" w:hAnsi="Times New Roman" w:eastAsia="仿宋_GB2312" w:cs="方正仿宋_GBK"/>
          <w:b w:val="0"/>
          <w:bCs w:val="0"/>
          <w:kern w:val="2"/>
        </w:rPr>
      </w:pPr>
      <w:r>
        <w:rPr>
          <w:rFonts w:hint="eastAsia" w:ascii="Times New Roman" w:hAnsi="Times New Roman" w:eastAsia="仿宋_GB2312" w:cs="方正仿宋_GBK"/>
          <w:b w:val="0"/>
          <w:bCs w:val="0"/>
          <w:kern w:val="2"/>
        </w:rPr>
        <w:t>此项权重分</w:t>
      </w:r>
      <w:r>
        <w:rPr>
          <w:rFonts w:ascii="Times New Roman" w:hAnsi="Times New Roman" w:eastAsia="仿宋_GB2312" w:cs="方正仿宋_GBK"/>
          <w:b w:val="0"/>
          <w:bCs w:val="0"/>
          <w:kern w:val="2"/>
        </w:rPr>
        <w:t>4</w:t>
      </w:r>
      <w:r>
        <w:rPr>
          <w:rFonts w:hint="eastAsia" w:ascii="Times New Roman" w:hAnsi="Times New Roman" w:eastAsia="仿宋_GB2312" w:cs="方正仿宋_GBK"/>
          <w:b w:val="0"/>
          <w:bCs w:val="0"/>
          <w:kern w:val="2"/>
        </w:rPr>
        <w:t>分，得分</w:t>
      </w:r>
      <w:r>
        <w:rPr>
          <w:rFonts w:ascii="Times New Roman" w:hAnsi="Times New Roman" w:eastAsia="仿宋_GB2312" w:cs="方正仿宋_GBK"/>
          <w:b w:val="0"/>
          <w:bCs w:val="0"/>
          <w:kern w:val="2"/>
        </w:rPr>
        <w:t>4</w:t>
      </w:r>
      <w:r>
        <w:rPr>
          <w:rFonts w:hint="eastAsia" w:ascii="Times New Roman" w:hAnsi="Times New Roman" w:eastAsia="仿宋_GB2312" w:cs="方正仿宋_GBK"/>
          <w:b w:val="0"/>
          <w:bCs w:val="0"/>
          <w:kern w:val="2"/>
        </w:rPr>
        <w:t>分。</w:t>
      </w:r>
    </w:p>
    <w:p>
      <w:pPr>
        <w:spacing w:line="560" w:lineRule="exact"/>
        <w:ind w:firstLine="640" w:firstLineChars="200"/>
        <w:contextualSpacing/>
        <w:jc w:val="left"/>
        <w:rPr>
          <w:rFonts w:cs="方正仿宋_GBK"/>
          <w:sz w:val="32"/>
          <w:szCs w:val="32"/>
        </w:rPr>
      </w:pPr>
      <w:r>
        <w:rPr>
          <w:rFonts w:hint="eastAsia" w:cs="方正仿宋_GBK"/>
          <w:sz w:val="32"/>
          <w:szCs w:val="32"/>
        </w:rPr>
        <w:t>5.制度执行有效性</w:t>
      </w:r>
    </w:p>
    <w:p>
      <w:pPr>
        <w:tabs>
          <w:tab w:val="left" w:pos="312"/>
        </w:tabs>
        <w:spacing w:line="560" w:lineRule="exact"/>
        <w:ind w:firstLine="640" w:firstLineChars="200"/>
        <w:contextualSpacing/>
        <w:rPr>
          <w:rFonts w:hint="eastAsia" w:eastAsia="仿宋_GB2312" w:cs="方正仿宋_GBK"/>
          <w:sz w:val="32"/>
          <w:szCs w:val="32"/>
          <w:lang w:eastAsia="zh-CN"/>
        </w:rPr>
      </w:pPr>
      <w:r>
        <w:rPr>
          <w:rFonts w:hint="eastAsia" w:cs="方正仿宋_GBK"/>
          <w:sz w:val="32"/>
          <w:szCs w:val="32"/>
          <w:lang w:eastAsia="zh-CN"/>
        </w:rPr>
        <w:t>此项目</w:t>
      </w:r>
      <w:r>
        <w:rPr>
          <w:rFonts w:hint="eastAsia" w:cs="方正仿宋_GBK"/>
          <w:sz w:val="32"/>
          <w:szCs w:val="32"/>
        </w:rPr>
        <w:t>严格遵守相关法律法规和相关管理规定</w:t>
      </w:r>
      <w:r>
        <w:rPr>
          <w:rFonts w:hint="eastAsia" w:cs="方正仿宋_GBK"/>
          <w:sz w:val="32"/>
          <w:szCs w:val="32"/>
          <w:lang w:eastAsia="zh-CN"/>
        </w:rPr>
        <w:t>，</w:t>
      </w:r>
      <w:r>
        <w:rPr>
          <w:rFonts w:hint="eastAsia" w:cs="方正仿宋_GBK"/>
          <w:sz w:val="32"/>
          <w:szCs w:val="32"/>
        </w:rPr>
        <w:t>项目支出手续完备</w:t>
      </w:r>
      <w:r>
        <w:rPr>
          <w:rFonts w:hint="eastAsia" w:cs="方正仿宋_GBK"/>
          <w:sz w:val="32"/>
          <w:szCs w:val="32"/>
          <w:lang w:eastAsia="zh-CN"/>
        </w:rPr>
        <w:t>，</w:t>
      </w:r>
      <w:r>
        <w:rPr>
          <w:rFonts w:hint="eastAsia" w:cs="方正仿宋_GBK"/>
          <w:sz w:val="32"/>
          <w:szCs w:val="32"/>
        </w:rPr>
        <w:t>项目资料齐全并及时归档</w:t>
      </w:r>
      <w:r>
        <w:rPr>
          <w:rFonts w:hint="eastAsia" w:cs="方正仿宋_GBK"/>
          <w:sz w:val="32"/>
          <w:szCs w:val="32"/>
          <w:lang w:eastAsia="zh-CN"/>
        </w:rPr>
        <w:t>，</w:t>
      </w:r>
      <w:r>
        <w:rPr>
          <w:rFonts w:hint="eastAsia" w:cs="方正仿宋_GBK"/>
          <w:sz w:val="32"/>
          <w:szCs w:val="32"/>
        </w:rPr>
        <w:t>项目实施的基础条件均已落实到位。</w:t>
      </w:r>
      <w:r>
        <w:rPr>
          <w:rFonts w:hint="eastAsia" w:cs="方正仿宋_GBK"/>
          <w:sz w:val="32"/>
          <w:szCs w:val="32"/>
          <w:lang w:eastAsia="zh-CN"/>
        </w:rPr>
        <w:t>项目制度执行有效。</w:t>
      </w:r>
    </w:p>
    <w:p>
      <w:pPr>
        <w:pStyle w:val="2"/>
        <w:spacing w:before="0" w:after="0" w:line="560" w:lineRule="exact"/>
        <w:ind w:firstLine="640" w:firstLineChars="200"/>
        <w:contextualSpacing/>
        <w:jc w:val="left"/>
        <w:rPr>
          <w:rFonts w:ascii="Times New Roman" w:hAnsi="Times New Roman" w:eastAsia="仿宋_GB2312" w:cs="方正仿宋_GBK"/>
          <w:b w:val="0"/>
          <w:bCs w:val="0"/>
          <w:kern w:val="2"/>
        </w:rPr>
      </w:pPr>
      <w:r>
        <w:rPr>
          <w:rFonts w:hint="eastAsia" w:ascii="Times New Roman" w:hAnsi="Times New Roman" w:eastAsia="仿宋_GB2312" w:cs="方正仿宋_GBK"/>
          <w:b w:val="0"/>
          <w:bCs w:val="0"/>
          <w:kern w:val="2"/>
        </w:rPr>
        <w:t>此项权重分</w:t>
      </w:r>
      <w:r>
        <w:rPr>
          <w:rFonts w:ascii="Times New Roman" w:hAnsi="Times New Roman" w:eastAsia="仿宋_GB2312" w:cs="方正仿宋_GBK"/>
          <w:b w:val="0"/>
          <w:bCs w:val="0"/>
          <w:kern w:val="2"/>
        </w:rPr>
        <w:t>4</w:t>
      </w:r>
      <w:r>
        <w:rPr>
          <w:rFonts w:hint="eastAsia" w:ascii="Times New Roman" w:hAnsi="Times New Roman" w:eastAsia="仿宋_GB2312" w:cs="方正仿宋_GBK"/>
          <w:b w:val="0"/>
          <w:bCs w:val="0"/>
          <w:kern w:val="2"/>
        </w:rPr>
        <w:t>分，得分</w:t>
      </w:r>
      <w:r>
        <w:rPr>
          <w:rFonts w:ascii="Times New Roman" w:hAnsi="Times New Roman" w:eastAsia="仿宋_GB2312" w:cs="方正仿宋_GBK"/>
          <w:b w:val="0"/>
          <w:bCs w:val="0"/>
          <w:kern w:val="2"/>
        </w:rPr>
        <w:t>4</w:t>
      </w:r>
      <w:r>
        <w:rPr>
          <w:rFonts w:hint="eastAsia" w:ascii="Times New Roman" w:hAnsi="Times New Roman" w:eastAsia="仿宋_GB2312" w:cs="方正仿宋_GBK"/>
          <w:b w:val="0"/>
          <w:bCs w:val="0"/>
          <w:kern w:val="2"/>
        </w:rPr>
        <w:t>分。</w:t>
      </w:r>
    </w:p>
    <w:p>
      <w:pPr>
        <w:pStyle w:val="2"/>
        <w:numPr>
          <w:ilvl w:val="0"/>
          <w:numId w:val="1"/>
        </w:numPr>
        <w:spacing w:before="0" w:after="0" w:line="560" w:lineRule="exact"/>
        <w:contextualSpacing/>
        <w:jc w:val="left"/>
        <w:rPr>
          <w:rFonts w:ascii="Times New Roman" w:hAnsi="Times New Roman" w:eastAsia="仿宋_GB2312" w:cs="方正仿宋_GBK"/>
          <w:b w:val="0"/>
          <w:bCs w:val="0"/>
          <w:kern w:val="2"/>
        </w:rPr>
      </w:pPr>
      <w:bookmarkStart w:id="14" w:name="_Toc68703840"/>
      <w:r>
        <w:rPr>
          <w:rFonts w:hint="eastAsia" w:ascii="Times New Roman" w:hAnsi="Times New Roman" w:eastAsia="仿宋_GB2312" w:cs="方正仿宋_GBK"/>
          <w:b w:val="0"/>
          <w:bCs w:val="0"/>
          <w:kern w:val="2"/>
        </w:rPr>
        <w:t>项目产出情况。</w:t>
      </w:r>
      <w:bookmarkEnd w:id="14"/>
    </w:p>
    <w:p>
      <w:pPr>
        <w:tabs>
          <w:tab w:val="left" w:pos="312"/>
        </w:tabs>
        <w:spacing w:line="560" w:lineRule="exact"/>
        <w:ind w:firstLine="640" w:firstLineChars="200"/>
        <w:contextualSpacing/>
        <w:rPr>
          <w:rFonts w:hint="eastAsia" w:eastAsia="仿宋_GB2312" w:cs="方正仿宋_GBK"/>
          <w:sz w:val="32"/>
          <w:szCs w:val="32"/>
          <w:lang w:eastAsia="zh-CN"/>
        </w:rPr>
      </w:pPr>
      <w:r>
        <w:rPr>
          <w:rFonts w:hint="eastAsia" w:cs="方正仿宋_GBK"/>
          <w:sz w:val="32"/>
          <w:szCs w:val="32"/>
        </w:rPr>
        <w:t>1.数量指标完成情况：指标1：补助优秀专家人数，指标值：100人，实际完成值100人，指标完成率100%；指标2：补助农业科技人才人数，指标值：100人，实际完成值</w:t>
      </w:r>
      <w:r>
        <w:rPr>
          <w:rFonts w:hint="eastAsia" w:cs="方正仿宋_GBK"/>
          <w:sz w:val="32"/>
          <w:szCs w:val="32"/>
          <w:lang w:val="en-US" w:eastAsia="zh-CN"/>
        </w:rPr>
        <w:t>97</w:t>
      </w:r>
      <w:r>
        <w:rPr>
          <w:rFonts w:hint="eastAsia" w:cs="方正仿宋_GBK"/>
          <w:sz w:val="32"/>
          <w:szCs w:val="32"/>
        </w:rPr>
        <w:t>人，指标完成率</w:t>
      </w:r>
      <w:r>
        <w:rPr>
          <w:rFonts w:hint="eastAsia" w:cs="方正仿宋_GBK"/>
          <w:sz w:val="32"/>
          <w:szCs w:val="32"/>
          <w:lang w:val="en-US" w:eastAsia="zh-CN"/>
        </w:rPr>
        <w:t>97</w:t>
      </w:r>
      <w:r>
        <w:rPr>
          <w:rFonts w:hint="eastAsia" w:cs="方正仿宋_GBK"/>
          <w:sz w:val="32"/>
          <w:szCs w:val="32"/>
        </w:rPr>
        <w:t>%</w:t>
      </w:r>
      <w:r>
        <w:rPr>
          <w:rFonts w:hint="eastAsia" w:cs="方正仿宋_GBK"/>
          <w:sz w:val="32"/>
          <w:szCs w:val="32"/>
          <w:lang w:eastAsia="zh-CN"/>
        </w:rPr>
        <w:t>，偏差原因：因3人未达到发放补贴要求，故未发放。</w:t>
      </w:r>
    </w:p>
    <w:p>
      <w:pPr>
        <w:spacing w:line="560" w:lineRule="exact"/>
        <w:ind w:left="600" w:leftChars="200"/>
        <w:contextualSpacing/>
        <w:rPr>
          <w:rFonts w:cs="方正仿宋_GBK"/>
          <w:sz w:val="32"/>
          <w:szCs w:val="32"/>
        </w:rPr>
      </w:pPr>
      <w:r>
        <w:rPr>
          <w:rFonts w:hint="eastAsia" w:cs="方正仿宋_GBK"/>
          <w:sz w:val="32"/>
          <w:szCs w:val="32"/>
        </w:rPr>
        <w:t>此项权重分</w:t>
      </w:r>
      <w:r>
        <w:rPr>
          <w:rFonts w:cs="方正仿宋_GBK"/>
          <w:sz w:val="32"/>
          <w:szCs w:val="32"/>
        </w:rPr>
        <w:t>10</w:t>
      </w:r>
      <w:r>
        <w:rPr>
          <w:rFonts w:hint="eastAsia" w:cs="方正仿宋_GBK"/>
          <w:sz w:val="32"/>
          <w:szCs w:val="32"/>
        </w:rPr>
        <w:t>分，得分</w:t>
      </w:r>
      <w:r>
        <w:rPr>
          <w:rFonts w:hint="eastAsia" w:cs="方正仿宋_GBK"/>
          <w:sz w:val="32"/>
          <w:szCs w:val="32"/>
          <w:lang w:val="en-US" w:eastAsia="zh-CN"/>
        </w:rPr>
        <w:t>9.8</w:t>
      </w:r>
      <w:r>
        <w:rPr>
          <w:rFonts w:hint="eastAsia" w:cs="方正仿宋_GBK"/>
          <w:sz w:val="32"/>
          <w:szCs w:val="32"/>
        </w:rPr>
        <w:t>分。</w:t>
      </w:r>
    </w:p>
    <w:p>
      <w:pPr>
        <w:tabs>
          <w:tab w:val="left" w:pos="312"/>
        </w:tabs>
        <w:spacing w:line="560" w:lineRule="exact"/>
        <w:ind w:firstLine="640" w:firstLineChars="200"/>
        <w:contextualSpacing/>
        <w:rPr>
          <w:rFonts w:cs="方正仿宋_GBK"/>
          <w:sz w:val="32"/>
          <w:szCs w:val="32"/>
        </w:rPr>
      </w:pPr>
      <w:r>
        <w:rPr>
          <w:rFonts w:hint="eastAsia" w:cs="方正仿宋_GBK"/>
          <w:sz w:val="32"/>
          <w:szCs w:val="32"/>
        </w:rPr>
        <w:t>2.质量指标完成情况：指标1：补贴发放准确率，指标值：&gt;=95%，实际完成值100%，指标完成率1</w:t>
      </w:r>
      <w:r>
        <w:rPr>
          <w:rFonts w:cs="方正仿宋_GBK"/>
          <w:sz w:val="32"/>
          <w:szCs w:val="32"/>
        </w:rPr>
        <w:t>05.26</w:t>
      </w:r>
      <w:r>
        <w:rPr>
          <w:rFonts w:hint="eastAsia" w:cs="方正仿宋_GBK"/>
          <w:sz w:val="32"/>
          <w:szCs w:val="32"/>
        </w:rPr>
        <w:t>%；</w:t>
      </w:r>
    </w:p>
    <w:p>
      <w:pPr>
        <w:spacing w:line="560" w:lineRule="exact"/>
        <w:ind w:left="600" w:leftChars="200"/>
        <w:contextualSpacing/>
        <w:rPr>
          <w:rFonts w:cs="方正仿宋_GBK"/>
          <w:sz w:val="32"/>
          <w:szCs w:val="32"/>
        </w:rPr>
      </w:pPr>
      <w:r>
        <w:rPr>
          <w:rFonts w:hint="eastAsia" w:cs="方正仿宋_GBK"/>
          <w:sz w:val="32"/>
          <w:szCs w:val="32"/>
        </w:rPr>
        <w:t>此项权重分</w:t>
      </w:r>
      <w:r>
        <w:rPr>
          <w:rFonts w:cs="方正仿宋_GBK"/>
          <w:sz w:val="32"/>
          <w:szCs w:val="32"/>
        </w:rPr>
        <w:t>10</w:t>
      </w:r>
      <w:r>
        <w:rPr>
          <w:rFonts w:hint="eastAsia" w:cs="方正仿宋_GBK"/>
          <w:sz w:val="32"/>
          <w:szCs w:val="32"/>
        </w:rPr>
        <w:t>分，得分</w:t>
      </w:r>
      <w:r>
        <w:rPr>
          <w:rFonts w:cs="方正仿宋_GBK"/>
          <w:sz w:val="32"/>
          <w:szCs w:val="32"/>
        </w:rPr>
        <w:t>10</w:t>
      </w:r>
      <w:r>
        <w:rPr>
          <w:rFonts w:hint="eastAsia" w:cs="方正仿宋_GBK"/>
          <w:sz w:val="32"/>
          <w:szCs w:val="32"/>
        </w:rPr>
        <w:t>分。</w:t>
      </w:r>
    </w:p>
    <w:p>
      <w:pPr>
        <w:tabs>
          <w:tab w:val="left" w:pos="312"/>
        </w:tabs>
        <w:spacing w:line="560" w:lineRule="exact"/>
        <w:ind w:firstLine="640" w:firstLineChars="200"/>
        <w:contextualSpacing/>
        <w:rPr>
          <w:rFonts w:cs="方正仿宋_GBK"/>
          <w:sz w:val="32"/>
          <w:szCs w:val="32"/>
        </w:rPr>
      </w:pPr>
      <w:r>
        <w:rPr>
          <w:rFonts w:hint="eastAsia" w:cs="方正仿宋_GBK"/>
          <w:sz w:val="32"/>
          <w:szCs w:val="32"/>
        </w:rPr>
        <w:t>3.时效指标完成情况：指标1：补助发放完成时限，指标值：2023年12月31日，实际完成值2023年12月</w:t>
      </w:r>
      <w:r>
        <w:rPr>
          <w:rFonts w:hint="eastAsia" w:cs="方正仿宋_GBK"/>
          <w:sz w:val="32"/>
          <w:szCs w:val="32"/>
          <w:lang w:val="en-US" w:eastAsia="zh-CN"/>
        </w:rPr>
        <w:t>1</w:t>
      </w:r>
      <w:r>
        <w:rPr>
          <w:rFonts w:hint="eastAsia" w:cs="方正仿宋_GBK"/>
          <w:sz w:val="32"/>
          <w:szCs w:val="32"/>
        </w:rPr>
        <w:t>1日，指标完成率100%。</w:t>
      </w:r>
    </w:p>
    <w:p>
      <w:pPr>
        <w:tabs>
          <w:tab w:val="left" w:pos="312"/>
        </w:tabs>
        <w:spacing w:line="560" w:lineRule="exact"/>
        <w:ind w:firstLine="640" w:firstLineChars="200"/>
        <w:contextualSpacing/>
        <w:rPr>
          <w:rFonts w:cs="方正仿宋_GBK"/>
          <w:sz w:val="32"/>
          <w:szCs w:val="32"/>
        </w:rPr>
      </w:pPr>
      <w:r>
        <w:rPr>
          <w:rFonts w:hint="eastAsia" w:cs="方正仿宋_GBK"/>
          <w:sz w:val="32"/>
          <w:szCs w:val="32"/>
        </w:rPr>
        <w:t>4. 成本指标完成情况：指标1：优秀专家补助经费成本控制，指标值：&lt;=170.66万元，实际完成值=170.66万元，指标完成率100%。指标2：州级农业科技人才补助成本，指标值：&lt;=195.34万元，实际完成值=195.34万元，指标完成率100%。</w:t>
      </w:r>
    </w:p>
    <w:p>
      <w:pPr>
        <w:spacing w:line="560" w:lineRule="exact"/>
        <w:ind w:firstLine="640" w:firstLineChars="200"/>
        <w:contextualSpacing/>
        <w:rPr>
          <w:rFonts w:cs="方正仿宋_GBK"/>
          <w:sz w:val="32"/>
          <w:szCs w:val="32"/>
        </w:rPr>
      </w:pPr>
      <w:bookmarkStart w:id="15" w:name="_Toc68703841"/>
      <w:r>
        <w:rPr>
          <w:rFonts w:hint="eastAsia" w:cs="方正仿宋_GBK"/>
          <w:sz w:val="32"/>
          <w:szCs w:val="32"/>
        </w:rPr>
        <w:t>（四）项目效益情况。</w:t>
      </w:r>
      <w:bookmarkEnd w:id="15"/>
    </w:p>
    <w:p>
      <w:pPr>
        <w:spacing w:line="560" w:lineRule="exact"/>
        <w:ind w:firstLine="640" w:firstLineChars="200"/>
        <w:contextualSpacing/>
        <w:rPr>
          <w:rFonts w:cs="方正仿宋_GBK"/>
          <w:sz w:val="32"/>
          <w:szCs w:val="32"/>
        </w:rPr>
      </w:pPr>
      <w:r>
        <w:rPr>
          <w:rFonts w:hint="eastAsia" w:cs="方正仿宋_GBK"/>
          <w:sz w:val="32"/>
          <w:szCs w:val="32"/>
        </w:rPr>
        <w:t>1.社会效益指标完成情况：指标1：优秀专家工作积极性，指标值：极大提升，实际完成值：达成目标，指标完成率100%。</w:t>
      </w:r>
    </w:p>
    <w:p>
      <w:pPr>
        <w:pStyle w:val="2"/>
        <w:spacing w:before="0" w:after="0" w:line="600" w:lineRule="exact"/>
        <w:ind w:firstLine="640" w:firstLineChars="200"/>
        <w:jc w:val="both"/>
        <w:rPr>
          <w:rFonts w:ascii="Times New Roman" w:hAnsi="Times New Roman" w:eastAsia="仿宋_GB2312" w:cs="方正仿宋_GBK"/>
          <w:b w:val="0"/>
          <w:bCs w:val="0"/>
          <w:kern w:val="2"/>
        </w:rPr>
      </w:pPr>
      <w:r>
        <w:rPr>
          <w:rFonts w:hint="eastAsia" w:ascii="Times New Roman" w:hAnsi="Times New Roman" w:eastAsia="仿宋_GB2312" w:cs="方正仿宋_GBK"/>
          <w:b w:val="0"/>
          <w:bCs w:val="0"/>
          <w:kern w:val="2"/>
        </w:rPr>
        <w:t>2. 满意度指标完成情况：指标1：优秀专家满意度，指标值：</w:t>
      </w:r>
      <w:r>
        <w:rPr>
          <w:rFonts w:ascii="Times New Roman" w:hAnsi="Times New Roman" w:eastAsia="仿宋_GB2312" w:cs="方正仿宋_GBK"/>
          <w:b w:val="0"/>
          <w:bCs w:val="0"/>
          <w:kern w:val="2"/>
        </w:rPr>
        <w:t>&gt;=95%，</w:t>
      </w:r>
      <w:r>
        <w:rPr>
          <w:rFonts w:hint="eastAsia" w:ascii="Times New Roman" w:hAnsi="Times New Roman" w:eastAsia="仿宋_GB2312" w:cs="方正仿宋_GBK"/>
          <w:b w:val="0"/>
          <w:bCs w:val="0"/>
          <w:kern w:val="2"/>
        </w:rPr>
        <w:t>实际完成值：</w:t>
      </w:r>
      <w:r>
        <w:rPr>
          <w:rFonts w:ascii="Times New Roman" w:hAnsi="Times New Roman" w:eastAsia="仿宋_GB2312" w:cs="方正仿宋_GBK"/>
          <w:b w:val="0"/>
          <w:bCs w:val="0"/>
          <w:kern w:val="2"/>
        </w:rPr>
        <w:t>100%，</w:t>
      </w:r>
      <w:r>
        <w:rPr>
          <w:rFonts w:hint="eastAsia" w:ascii="Times New Roman" w:hAnsi="Times New Roman" w:eastAsia="仿宋_GB2312" w:cs="方正仿宋_GBK"/>
          <w:b w:val="0"/>
          <w:bCs w:val="0"/>
          <w:kern w:val="2"/>
        </w:rPr>
        <w:t>指标完成率105.26%。</w:t>
      </w:r>
    </w:p>
    <w:p>
      <w:pPr>
        <w:spacing w:line="560" w:lineRule="exact"/>
        <w:ind w:firstLine="643" w:firstLineChars="200"/>
        <w:contextualSpacing/>
        <w:rPr>
          <w:b/>
          <w:sz w:val="32"/>
        </w:rPr>
      </w:pPr>
      <w:bookmarkStart w:id="16" w:name="_Toc68703842"/>
      <w:r>
        <w:rPr>
          <w:rFonts w:hint="eastAsia"/>
          <w:b/>
          <w:sz w:val="32"/>
        </w:rPr>
        <w:t>五、预算执行进度与绩效指标总体完成率偏差</w:t>
      </w:r>
    </w:p>
    <w:p>
      <w:pPr>
        <w:pStyle w:val="21"/>
        <w:spacing w:line="560" w:lineRule="exact"/>
        <w:ind w:firstLine="640" w:firstLineChars="200"/>
        <w:contextualSpacing/>
        <w:rPr>
          <w:rFonts w:cs="方正仿宋_GBK"/>
          <w:kern w:val="2"/>
          <w:sz w:val="32"/>
          <w:szCs w:val="32"/>
        </w:rPr>
      </w:pPr>
      <w:r>
        <w:rPr>
          <w:rFonts w:hint="eastAsia" w:cs="方正仿宋_GBK"/>
          <w:kern w:val="2"/>
          <w:sz w:val="32"/>
          <w:szCs w:val="32"/>
        </w:rPr>
        <w:t>人才发展专项经费项目年初预算366万元，全年预算366万元，实际支出366万元，预算执行率为100%，项目绩效指标总体完成率为</w:t>
      </w:r>
      <w:r>
        <w:rPr>
          <w:rFonts w:hint="eastAsia" w:cs="方正仿宋_GBK"/>
          <w:kern w:val="2"/>
          <w:sz w:val="32"/>
          <w:szCs w:val="32"/>
          <w:lang w:val="en-US" w:eastAsia="zh-CN"/>
        </w:rPr>
        <w:t>100.94</w:t>
      </w:r>
      <w:r>
        <w:rPr>
          <w:rFonts w:hint="eastAsia" w:cs="方正仿宋_GBK"/>
          <w:kern w:val="2"/>
          <w:sz w:val="32"/>
          <w:szCs w:val="32"/>
        </w:rPr>
        <w:t>%。</w:t>
      </w:r>
    </w:p>
    <w:p>
      <w:pPr>
        <w:spacing w:line="560" w:lineRule="exact"/>
        <w:ind w:firstLine="643" w:firstLineChars="200"/>
        <w:contextualSpacing/>
        <w:rPr>
          <w:b/>
          <w:sz w:val="32"/>
        </w:rPr>
      </w:pPr>
      <w:r>
        <w:rPr>
          <w:rFonts w:hint="eastAsia"/>
          <w:b/>
          <w:sz w:val="32"/>
        </w:rPr>
        <w:t>六、主要经验及做法、存在的问题及原因分析</w:t>
      </w:r>
      <w:bookmarkEnd w:id="16"/>
      <w:bookmarkStart w:id="17" w:name="_Toc68703843"/>
    </w:p>
    <w:p>
      <w:pPr>
        <w:pStyle w:val="21"/>
        <w:spacing w:line="560" w:lineRule="exact"/>
        <w:ind w:firstLine="640" w:firstLineChars="200"/>
        <w:contextualSpacing/>
        <w:rPr>
          <w:rFonts w:cs="方正仿宋_GBK"/>
          <w:kern w:val="2"/>
          <w:sz w:val="32"/>
          <w:szCs w:val="32"/>
        </w:rPr>
      </w:pPr>
      <w:r>
        <w:rPr>
          <w:rFonts w:hint="eastAsia" w:cs="方正仿宋_GBK"/>
          <w:kern w:val="2"/>
          <w:sz w:val="32"/>
          <w:szCs w:val="32"/>
        </w:rPr>
        <w:t>（一）主要经验及做法</w:t>
      </w:r>
      <w:bookmarkEnd w:id="17"/>
    </w:p>
    <w:p>
      <w:pPr>
        <w:pStyle w:val="21"/>
        <w:spacing w:line="560" w:lineRule="exact"/>
        <w:ind w:firstLine="640" w:firstLineChars="200"/>
        <w:contextualSpacing/>
        <w:rPr>
          <w:rFonts w:cs="方正仿宋_GBK"/>
          <w:kern w:val="2"/>
          <w:sz w:val="32"/>
          <w:szCs w:val="32"/>
        </w:rPr>
      </w:pPr>
      <w:r>
        <w:rPr>
          <w:rFonts w:cs="方正仿宋_GBK"/>
          <w:kern w:val="2"/>
          <w:sz w:val="32"/>
          <w:szCs w:val="32"/>
        </w:rPr>
        <w:t>评选出100名“州管优秀专家”，形成了自治州高层次人才队伍选拔培养的梯次构架，为助力自治州高质量发展提供充足的人才储备。评选中坚持利用好援疆资源和兵团资源，邀请17名援疆干部人才和兵团专家担任复评评委。制定印发《自治州州管优秀专家考核办法（试行）》和《自治州优秀专家工作室考核办法（试行）》全面加强对巴州优秀专家和专家工作室的管理。</w:t>
      </w:r>
    </w:p>
    <w:p>
      <w:pPr>
        <w:pStyle w:val="21"/>
        <w:spacing w:line="560" w:lineRule="exact"/>
        <w:ind w:firstLine="640" w:firstLineChars="200"/>
        <w:contextualSpacing/>
        <w:rPr>
          <w:rFonts w:cs="方正仿宋_GBK"/>
          <w:kern w:val="2"/>
          <w:sz w:val="32"/>
          <w:szCs w:val="32"/>
        </w:rPr>
      </w:pPr>
      <w:r>
        <w:rPr>
          <w:rFonts w:cs="方正仿宋_GBK"/>
          <w:kern w:val="2"/>
          <w:sz w:val="32"/>
          <w:szCs w:val="32"/>
        </w:rPr>
        <w:t>积极推动人才助力乡村振兴。下发《关于组织推荐农业科技人才服务促进乡村振兴专家团队人选的通知》，以县市为单位组建服务促进乡村振兴专家团队，确定100名自治州骨干人才，带动1000名县市技术人才，到县包乡联村带户，开展农业科技服务，实现全覆盖。</w:t>
      </w:r>
      <w:bookmarkStart w:id="18" w:name="_Toc68703844"/>
    </w:p>
    <w:p>
      <w:pPr>
        <w:pStyle w:val="21"/>
        <w:spacing w:line="560" w:lineRule="exact"/>
        <w:contextualSpacing/>
        <w:rPr>
          <w:rFonts w:cs="方正仿宋_GBK"/>
          <w:kern w:val="2"/>
          <w:sz w:val="32"/>
          <w:szCs w:val="32"/>
        </w:rPr>
      </w:pPr>
      <w:r>
        <w:rPr>
          <w:rFonts w:hint="eastAsia" w:cs="方正仿宋_GBK"/>
          <w:kern w:val="2"/>
          <w:sz w:val="32"/>
          <w:szCs w:val="32"/>
        </w:rPr>
        <w:t>（二）存在的问题及原因分析</w:t>
      </w:r>
      <w:bookmarkEnd w:id="18"/>
      <w:bookmarkStart w:id="19" w:name="_Toc68703845"/>
    </w:p>
    <w:p>
      <w:pPr>
        <w:pStyle w:val="21"/>
        <w:spacing w:line="560" w:lineRule="exact"/>
        <w:ind w:firstLine="851" w:firstLineChars="266"/>
        <w:contextualSpacing/>
        <w:rPr>
          <w:rFonts w:cs="方正仿宋_GBK"/>
          <w:kern w:val="2"/>
          <w:sz w:val="32"/>
          <w:szCs w:val="32"/>
        </w:rPr>
      </w:pPr>
      <w:r>
        <w:rPr>
          <w:rFonts w:hint="eastAsia" w:cs="方正仿宋_GBK"/>
          <w:kern w:val="2"/>
          <w:sz w:val="32"/>
          <w:szCs w:val="32"/>
        </w:rPr>
        <w:t>在农业科技人才服务乡村振兴活动中，科技人才服务基层，但取得的效益难以量化，只能单纯的以下基层服务天数作为考核评价指标。</w:t>
      </w:r>
    </w:p>
    <w:p>
      <w:pPr>
        <w:spacing w:line="560" w:lineRule="exact"/>
        <w:ind w:firstLine="640" w:firstLineChars="200"/>
        <w:contextualSpacing/>
        <w:rPr>
          <w:rFonts w:eastAsia="黑体"/>
          <w:sz w:val="32"/>
          <w:szCs w:val="32"/>
        </w:rPr>
      </w:pPr>
      <w:r>
        <w:rPr>
          <w:rFonts w:hint="eastAsia" w:eastAsia="黑体"/>
          <w:sz w:val="32"/>
          <w:szCs w:val="32"/>
        </w:rPr>
        <w:t>七、有关建议</w:t>
      </w:r>
      <w:bookmarkEnd w:id="19"/>
    </w:p>
    <w:p>
      <w:pPr>
        <w:spacing w:line="560" w:lineRule="exact"/>
        <w:ind w:firstLine="640" w:firstLineChars="200"/>
        <w:contextualSpacing/>
        <w:rPr>
          <w:rFonts w:cs="方正仿宋_GBK"/>
          <w:sz w:val="32"/>
          <w:szCs w:val="32"/>
        </w:rPr>
      </w:pPr>
      <w:r>
        <w:rPr>
          <w:rFonts w:cs="方正仿宋_GBK"/>
          <w:sz w:val="32"/>
          <w:szCs w:val="32"/>
        </w:rPr>
        <w:t>加强统筹谋划，在农业科技人才服务乡村振兴方面，提出更加接地气的激励方式，充分调动人才服务基层的积极性，更好地服务于巴州经济社会高质量发展。</w:t>
      </w:r>
    </w:p>
    <w:p>
      <w:pPr>
        <w:spacing w:line="560" w:lineRule="exact"/>
        <w:ind w:firstLine="640" w:firstLineChars="200"/>
        <w:contextualSpacing/>
        <w:rPr>
          <w:rFonts w:eastAsia="黑体"/>
          <w:sz w:val="32"/>
          <w:szCs w:val="32"/>
        </w:rPr>
      </w:pPr>
      <w:bookmarkStart w:id="20" w:name="_Toc68703846"/>
      <w:r>
        <w:rPr>
          <w:rFonts w:hint="eastAsia" w:eastAsia="黑体"/>
          <w:sz w:val="32"/>
          <w:szCs w:val="32"/>
        </w:rPr>
        <w:t>八、其他需要说明的问题</w:t>
      </w:r>
      <w:bookmarkEnd w:id="20"/>
    </w:p>
    <w:p>
      <w:pPr>
        <w:spacing w:line="560" w:lineRule="exact"/>
        <w:ind w:firstLine="640" w:firstLineChars="200"/>
        <w:contextualSpacing/>
        <w:outlineLvl w:val="0"/>
        <w:rPr>
          <w:rFonts w:cs="方正仿宋_GBK"/>
          <w:sz w:val="32"/>
          <w:szCs w:val="32"/>
        </w:rPr>
      </w:pPr>
      <w:bookmarkStart w:id="21" w:name="_GoBack"/>
      <w:r>
        <w:rPr>
          <w:rFonts w:hint="eastAsia" w:cs="方正仿宋_GBK"/>
          <w:sz w:val="32"/>
          <w:szCs w:val="32"/>
        </w:rPr>
        <w:t>无。</w:t>
      </w:r>
    </w:p>
    <w:bookmarkEnd w:id="21"/>
    <w:p>
      <w:pPr>
        <w:spacing w:line="560" w:lineRule="exact"/>
        <w:ind w:firstLine="600" w:firstLineChars="200"/>
      </w:pPr>
    </w:p>
    <w:p>
      <w:pPr>
        <w:spacing w:line="560" w:lineRule="exact"/>
        <w:ind w:firstLine="600" w:firstLineChars="200"/>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方正仿宋_GBK">
    <w:altName w:val="微软雅黑"/>
    <w:panose1 w:val="03000509000000000000"/>
    <w:charset w:val="86"/>
    <w:family w:val="script"/>
    <w:pitch w:val="default"/>
    <w:sig w:usb0="00000000" w:usb1="00000000" w:usb2="00000010" w:usb3="00000000" w:csb0="00040000" w:csb1="00000000"/>
  </w:font>
  <w:font w:name="红豆小标宋简体">
    <w:altName w:val="宋体"/>
    <w:panose1 w:val="00000000000000000000"/>
    <w:charset w:val="86"/>
    <w:family w:val="auto"/>
    <w:pitch w:val="default"/>
    <w:sig w:usb0="00000000" w:usb1="00000000" w:usb2="00000012"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CD280A"/>
    <w:multiLevelType w:val="multilevel"/>
    <w:tmpl w:val="18CD280A"/>
    <w:lvl w:ilvl="0" w:tentative="0">
      <w:start w:val="3"/>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RkOTIwZjc5YmU2ZTY5MjQ2MTljMmZlZWEzNGY0OTAifQ=="/>
    <w:docVar w:name="KSO_WPS_MARK_KEY" w:val="b3fc2acd-51a9-45ce-8d80-18e6d2738da8"/>
  </w:docVars>
  <w:rsids>
    <w:rsidRoot w:val="007D49C5"/>
    <w:rsid w:val="00085E58"/>
    <w:rsid w:val="000D63FA"/>
    <w:rsid w:val="0012709D"/>
    <w:rsid w:val="00140634"/>
    <w:rsid w:val="00174C8C"/>
    <w:rsid w:val="00202639"/>
    <w:rsid w:val="002036F1"/>
    <w:rsid w:val="0035515A"/>
    <w:rsid w:val="00450245"/>
    <w:rsid w:val="004729CA"/>
    <w:rsid w:val="00485127"/>
    <w:rsid w:val="004D50B6"/>
    <w:rsid w:val="00574FE0"/>
    <w:rsid w:val="005863D4"/>
    <w:rsid w:val="005B17E4"/>
    <w:rsid w:val="005B5003"/>
    <w:rsid w:val="005B64E8"/>
    <w:rsid w:val="005F09C8"/>
    <w:rsid w:val="00607A47"/>
    <w:rsid w:val="00614288"/>
    <w:rsid w:val="006F1AA5"/>
    <w:rsid w:val="00792CFE"/>
    <w:rsid w:val="007D49C5"/>
    <w:rsid w:val="008175E0"/>
    <w:rsid w:val="00835EAA"/>
    <w:rsid w:val="00864ABE"/>
    <w:rsid w:val="008C631D"/>
    <w:rsid w:val="00974802"/>
    <w:rsid w:val="009E2B8D"/>
    <w:rsid w:val="00A114ED"/>
    <w:rsid w:val="00A15640"/>
    <w:rsid w:val="00B24331"/>
    <w:rsid w:val="00DD329D"/>
    <w:rsid w:val="00E21D91"/>
    <w:rsid w:val="00E61CF1"/>
    <w:rsid w:val="00E70215"/>
    <w:rsid w:val="00E712BB"/>
    <w:rsid w:val="00E939F3"/>
    <w:rsid w:val="00EB3433"/>
    <w:rsid w:val="00F821FB"/>
    <w:rsid w:val="031A7868"/>
    <w:rsid w:val="05227DA5"/>
    <w:rsid w:val="065772B0"/>
    <w:rsid w:val="07D14A60"/>
    <w:rsid w:val="08BA49DD"/>
    <w:rsid w:val="08D20D13"/>
    <w:rsid w:val="0C4D0F1B"/>
    <w:rsid w:val="0F2A6BF7"/>
    <w:rsid w:val="0F876FCC"/>
    <w:rsid w:val="1616144D"/>
    <w:rsid w:val="17B907F9"/>
    <w:rsid w:val="183818B5"/>
    <w:rsid w:val="19304354"/>
    <w:rsid w:val="1B0E6672"/>
    <w:rsid w:val="1D723F37"/>
    <w:rsid w:val="1D785367"/>
    <w:rsid w:val="20E922CD"/>
    <w:rsid w:val="23834AD2"/>
    <w:rsid w:val="23BA76CC"/>
    <w:rsid w:val="24502F21"/>
    <w:rsid w:val="25E76B1F"/>
    <w:rsid w:val="27D36DD5"/>
    <w:rsid w:val="2CC74884"/>
    <w:rsid w:val="32AE0DEC"/>
    <w:rsid w:val="36B72533"/>
    <w:rsid w:val="374530BA"/>
    <w:rsid w:val="4057649F"/>
    <w:rsid w:val="43182414"/>
    <w:rsid w:val="46507BB3"/>
    <w:rsid w:val="46E879E3"/>
    <w:rsid w:val="49007A36"/>
    <w:rsid w:val="4A7C25BE"/>
    <w:rsid w:val="4B985147"/>
    <w:rsid w:val="4C22332E"/>
    <w:rsid w:val="50A36C1C"/>
    <w:rsid w:val="54283B02"/>
    <w:rsid w:val="55303CD0"/>
    <w:rsid w:val="56796849"/>
    <w:rsid w:val="5DA95371"/>
    <w:rsid w:val="5F8A104C"/>
    <w:rsid w:val="65860509"/>
    <w:rsid w:val="66564EF2"/>
    <w:rsid w:val="67880AE7"/>
    <w:rsid w:val="68F11999"/>
    <w:rsid w:val="6DA53394"/>
    <w:rsid w:val="717E19C2"/>
    <w:rsid w:val="73E942C6"/>
    <w:rsid w:val="759C56CD"/>
    <w:rsid w:val="763A0251"/>
    <w:rsid w:val="78E6021E"/>
    <w:rsid w:val="7AFD3B58"/>
    <w:rsid w:val="7D68074E"/>
    <w:rsid w:val="7E99432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Body Text Indent"/>
    <w:basedOn w:val="1"/>
    <w:qFormat/>
    <w:uiPriority w:val="99"/>
    <w:pPr>
      <w:spacing w:after="120"/>
      <w:ind w:left="420" w:leftChars="200"/>
    </w:pPr>
    <w:rPr>
      <w:szCs w:val="20"/>
    </w:rPr>
  </w:style>
  <w:style w:type="paragraph" w:styleId="7">
    <w:name w:val="Balloon Text"/>
    <w:basedOn w:val="1"/>
    <w:link w:val="24"/>
    <w:semiHidden/>
    <w:unhideWhenUsed/>
    <w:qFormat/>
    <w:uiPriority w:val="99"/>
    <w:rPr>
      <w:sz w:val="18"/>
      <w:szCs w:val="18"/>
    </w:r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1">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2">
    <w:name w:val="Body Text First Indent 2"/>
    <w:basedOn w:val="6"/>
    <w:qFormat/>
    <w:uiPriority w:val="99"/>
    <w:pPr>
      <w:ind w:firstLine="420"/>
    </w:pPr>
    <w:rPr>
      <w:sz w:val="28"/>
      <w:szCs w:val="22"/>
    </w:rPr>
  </w:style>
  <w:style w:type="character" w:styleId="15">
    <w:name w:val="Hyperlink"/>
    <w:basedOn w:val="14"/>
    <w:unhideWhenUsed/>
    <w:qFormat/>
    <w:uiPriority w:val="99"/>
    <w:rPr>
      <w:color w:val="0563C1" w:themeColor="hyperlink"/>
      <w:u w:val="single"/>
    </w:rPr>
  </w:style>
  <w:style w:type="character" w:customStyle="1" w:styleId="16">
    <w:name w:val="标题 1 字符"/>
    <w:basedOn w:val="14"/>
    <w:link w:val="3"/>
    <w:qFormat/>
    <w:uiPriority w:val="9"/>
    <w:rPr>
      <w:rFonts w:ascii="Times New Roman" w:hAnsi="Times New Roman" w:eastAsia="仿宋_GB2312" w:cs="Times New Roman"/>
      <w:b/>
      <w:bCs/>
      <w:kern w:val="44"/>
      <w:sz w:val="44"/>
      <w:szCs w:val="44"/>
    </w:rPr>
  </w:style>
  <w:style w:type="character" w:customStyle="1" w:styleId="17">
    <w:name w:val="标题 2 字符"/>
    <w:basedOn w:val="14"/>
    <w:link w:val="4"/>
    <w:qFormat/>
    <w:uiPriority w:val="9"/>
    <w:rPr>
      <w:rFonts w:asciiTheme="majorHAnsi" w:hAnsiTheme="majorHAnsi" w:eastAsiaTheme="majorEastAsia" w:cstheme="majorBidi"/>
      <w:b/>
      <w:bCs/>
      <w:sz w:val="32"/>
      <w:szCs w:val="32"/>
    </w:rPr>
  </w:style>
  <w:style w:type="paragraph" w:customStyle="1" w:styleId="18">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9">
    <w:name w:val="页眉 字符"/>
    <w:basedOn w:val="14"/>
    <w:link w:val="9"/>
    <w:qFormat/>
    <w:uiPriority w:val="99"/>
    <w:rPr>
      <w:rFonts w:ascii="Times New Roman" w:hAnsi="Times New Roman" w:eastAsia="仿宋_GB2312" w:cs="Times New Roman"/>
      <w:sz w:val="18"/>
      <w:szCs w:val="18"/>
    </w:rPr>
  </w:style>
  <w:style w:type="character" w:customStyle="1" w:styleId="20">
    <w:name w:val="页脚 字符"/>
    <w:basedOn w:val="14"/>
    <w:link w:val="8"/>
    <w:qFormat/>
    <w:uiPriority w:val="99"/>
    <w:rPr>
      <w:rFonts w:ascii="Times New Roman" w:hAnsi="Times New Roman" w:eastAsia="仿宋_GB2312" w:cs="Times New Roman"/>
      <w:sz w:val="18"/>
      <w:szCs w:val="18"/>
    </w:rPr>
  </w:style>
  <w:style w:type="paragraph" w:customStyle="1" w:styleId="21">
    <w:name w:val="闻政-正文段落文字"/>
    <w:basedOn w:val="1"/>
    <w:qFormat/>
    <w:uiPriority w:val="3"/>
    <w:pPr>
      <w:spacing w:line="500" w:lineRule="exact"/>
      <w:ind w:firstLine="200"/>
    </w:pPr>
    <w:rPr>
      <w:kern w:val="0"/>
      <w:szCs w:val="28"/>
    </w:rPr>
  </w:style>
  <w:style w:type="paragraph" w:styleId="22">
    <w:name w:val="List Paragraph"/>
    <w:basedOn w:val="1"/>
    <w:unhideWhenUsed/>
    <w:qFormat/>
    <w:uiPriority w:val="99"/>
    <w:pPr>
      <w:ind w:firstLine="420" w:firstLineChars="200"/>
    </w:pPr>
  </w:style>
  <w:style w:type="paragraph" w:customStyle="1" w:styleId="23">
    <w:name w:val="常用"/>
    <w:basedOn w:val="1"/>
    <w:qFormat/>
    <w:uiPriority w:val="0"/>
    <w:pPr>
      <w:ind w:firstLine="636" w:firstLineChars="200"/>
    </w:pPr>
    <w:rPr>
      <w:rFonts w:eastAsia="方正仿宋_GBK"/>
      <w:spacing w:val="4"/>
      <w:sz w:val="31"/>
    </w:rPr>
  </w:style>
  <w:style w:type="character" w:customStyle="1" w:styleId="24">
    <w:name w:val="批注框文本 字符"/>
    <w:basedOn w:val="14"/>
    <w:link w:val="7"/>
    <w:semiHidden/>
    <w:qFormat/>
    <w:uiPriority w:val="99"/>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14</Pages>
  <Words>963</Words>
  <Characters>5492</Characters>
  <Lines>45</Lines>
  <Paragraphs>12</Paragraphs>
  <TotalTime>290</TotalTime>
  <ScaleCrop>false</ScaleCrop>
  <LinksUpToDate>false</LinksUpToDate>
  <CharactersWithSpaces>6443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cp:lastPrinted>2024-05-21T08:22:00Z</cp:lastPrinted>
  <dcterms:modified xsi:type="dcterms:W3CDTF">2024-05-22T11:25:48Z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