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eastAsia="宋体" w:cs="Arial"/>
          <w:b/>
          <w:bCs/>
          <w:sz w:val="52"/>
          <w:szCs w:val="52"/>
        </w:rPr>
      </w:pPr>
      <w:r>
        <w:rPr>
          <w:rFonts w:hint="eastAsia" w:ascii="宋体" w:hAnsi="宋体" w:eastAsia="宋体" w:cs="Arial"/>
          <w:b/>
          <w:bCs/>
          <w:sz w:val="52"/>
          <w:szCs w:val="52"/>
        </w:rPr>
        <w:t>项目支出绩效评价报告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（2</w:t>
      </w:r>
      <w:r>
        <w:rPr>
          <w:rFonts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02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年度）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hint="eastAsia" w:ascii="仿宋_GB2312" w:hAnsi="仿宋_GB2312" w:cs="仿宋_GB2312"/>
          <w:b/>
          <w:kern w:val="0"/>
          <w:sz w:val="50"/>
          <w:szCs w:val="50"/>
          <w:lang w:val="en-US" w:eastAsia="zh-CN" w:bidi="en-US"/>
        </w:rPr>
      </w:pPr>
      <w:r>
        <w:rPr>
          <w:rFonts w:hint="eastAsia" w:ascii="仿宋_GB2312" w:hAnsi="仿宋_GB2312" w:cs="仿宋_GB2312"/>
          <w:b/>
          <w:kern w:val="0"/>
          <w:sz w:val="50"/>
          <w:szCs w:val="50"/>
          <w:lang w:val="en-US" w:eastAsia="zh-CN" w:bidi="en-US"/>
        </w:rPr>
        <w:t xml:space="preserve"> </w:t>
      </w:r>
    </w:p>
    <w:p>
      <w:pPr>
        <w:pStyle w:val="2"/>
        <w:rPr>
          <w:rFonts w:hint="eastAsia" w:ascii="仿宋_GB2312" w:hAnsi="仿宋_GB2312" w:cs="仿宋_GB2312"/>
          <w:b/>
          <w:kern w:val="0"/>
          <w:sz w:val="50"/>
          <w:szCs w:val="50"/>
          <w:lang w:val="en-US" w:eastAsia="zh-CN" w:bidi="en-US"/>
        </w:rPr>
      </w:pPr>
    </w:p>
    <w:p>
      <w:pPr>
        <w:rPr>
          <w:rFonts w:hint="eastAsia" w:ascii="仿宋_GB2312" w:hAnsi="仿宋_GB2312" w:cs="仿宋_GB2312"/>
          <w:b/>
          <w:kern w:val="0"/>
          <w:sz w:val="50"/>
          <w:szCs w:val="50"/>
          <w:lang w:val="en-US" w:eastAsia="zh-CN" w:bidi="en-US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项目名称：2023保健医疗费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实施单位（公章）：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新疆巴州卫生健康委员会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主管部门（公章）：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新疆巴州卫生健康委员会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项目负责人（签章）：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宋志鹏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仿宋_GB2312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填报时间：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202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年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月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日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ascii="宋体" w:hAnsi="宋体" w:eastAsia="宋体" w:cs="Arial"/>
          <w:b/>
          <w:bCs/>
          <w:sz w:val="36"/>
          <w:szCs w:val="36"/>
        </w:rPr>
        <w:br w:type="page"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项目支出绩效评价报告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hint="eastAsia" w:ascii="宋体" w:hAnsi="宋体" w:eastAsia="宋体" w:cs="宋体"/>
          <w:color w:val="auto"/>
          <w:szCs w:val="30"/>
          <w:highlight w:val="none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3" w:firstLineChars="200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bookmarkStart w:id="0" w:name="_Toc68703827"/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一、基本情况</w:t>
      </w:r>
      <w:bookmarkEnd w:id="0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</w:pPr>
      <w:bookmarkStart w:id="1" w:name="_Toc68703828"/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（一）项目概况</w:t>
      </w:r>
      <w:bookmarkEnd w:id="1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项目背景，主要内容及实施情况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（1）项目背景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right="0"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pacing w:val="0"/>
          <w:position w:val="0"/>
          <w:sz w:val="30"/>
          <w:szCs w:val="30"/>
          <w:highlight w:val="none"/>
          <w:shd w:val="clear" w:fill="auto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position w:val="0"/>
          <w:sz w:val="30"/>
          <w:szCs w:val="30"/>
          <w:highlight w:val="none"/>
          <w:shd w:val="clear" w:fill="auto"/>
          <w:lang w:eastAsia="zh-CN"/>
        </w:rPr>
        <w:t>贯彻落实</w:t>
      </w:r>
      <w:r>
        <w:rPr>
          <w:rFonts w:hint="default" w:ascii="Times New Roman" w:hAnsi="Times New Roman" w:eastAsia="宋体" w:cs="Times New Roman"/>
          <w:color w:val="auto"/>
          <w:spacing w:val="0"/>
          <w:position w:val="0"/>
          <w:sz w:val="30"/>
          <w:szCs w:val="30"/>
          <w:highlight w:val="none"/>
          <w:shd w:val="clear" w:fill="auto"/>
        </w:rPr>
        <w:t>《关于印发&lt;巴音郭楞蒙古自治州州直行政、事业、企业单位干部医疗保健管理实施办法&gt;的通知》（巴保健委字[2004]01号）</w:t>
      </w:r>
      <w:r>
        <w:rPr>
          <w:rFonts w:hint="default" w:ascii="Times New Roman" w:hAnsi="Times New Roman" w:eastAsia="宋体" w:cs="Times New Roman"/>
          <w:color w:val="auto"/>
          <w:spacing w:val="0"/>
          <w:position w:val="0"/>
          <w:sz w:val="30"/>
          <w:szCs w:val="30"/>
          <w:highlight w:val="none"/>
          <w:shd w:val="clear" w:fill="auto"/>
          <w:lang w:eastAsia="zh-CN"/>
        </w:rPr>
        <w:t>和</w:t>
      </w:r>
      <w:r>
        <w:rPr>
          <w:rFonts w:hint="default" w:ascii="Times New Roman" w:hAnsi="Times New Roman" w:eastAsia="宋体" w:cs="Times New Roman"/>
          <w:color w:val="auto"/>
          <w:spacing w:val="0"/>
          <w:position w:val="0"/>
          <w:sz w:val="30"/>
          <w:szCs w:val="30"/>
          <w:highlight w:val="none"/>
          <w:shd w:val="clear" w:fill="auto"/>
        </w:rPr>
        <w:t>《关于印发&lt;自治州本级干部保健医疗实施方案&gt;的通知》（巴政办发[2018]113号）</w:t>
      </w:r>
      <w:r>
        <w:rPr>
          <w:rFonts w:hint="default" w:ascii="Times New Roman" w:hAnsi="Times New Roman" w:eastAsia="宋体" w:cs="Times New Roman"/>
          <w:color w:val="auto"/>
          <w:spacing w:val="0"/>
          <w:position w:val="0"/>
          <w:sz w:val="30"/>
          <w:szCs w:val="30"/>
          <w:highlight w:val="none"/>
          <w:shd w:val="clear" w:fill="auto"/>
          <w:lang w:eastAsia="zh-CN"/>
        </w:rPr>
        <w:t>要求，努力提高干部保健服务水平，加强构建预防、保健、医疗康复一体化服务模式，积极为保健对象提供优质、高效、安全的医疗救治和预防保健服务。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（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）主要内容及实施情况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right="0" w:firstLine="60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pacing w:val="0"/>
          <w:position w:val="0"/>
          <w:sz w:val="30"/>
          <w:szCs w:val="30"/>
          <w:highlight w:val="none"/>
          <w:shd w:val="clear" w:fill="auto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position w:val="0"/>
          <w:sz w:val="30"/>
          <w:szCs w:val="30"/>
          <w:highlight w:val="none"/>
          <w:shd w:val="clear" w:fill="auto"/>
          <w:lang w:eastAsia="zh-CN"/>
        </w:rPr>
        <w:t>主要内容：为进一步提高自治州干部保健服务水平，畅通干部就医绿色通道，推动干部保健工作规范化、制度化、科学化，计划对40名一类保健对象、474名二类保健对象落实医疗保险报销政策，开通绿色就医通道，规范健康档案管理服务，为保健对象提供优质高效的医疗保健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right="0"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pacing w:val="0"/>
          <w:position w:val="0"/>
          <w:sz w:val="30"/>
          <w:szCs w:val="30"/>
          <w:highlight w:val="none"/>
          <w:shd w:val="clear" w:fill="auto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position w:val="0"/>
          <w:sz w:val="30"/>
          <w:szCs w:val="30"/>
          <w:highlight w:val="none"/>
          <w:shd w:val="clear" w:fill="auto"/>
          <w:lang w:eastAsia="zh-CN"/>
        </w:rPr>
        <w:t>实施情况：项目在实施过程中严格按照目标设立的各阶段任务进行开展工作，在前期立项过程中严格把质量关，建立安全防护机制，保证项目实施各阶段安全顺利进行。</w:t>
      </w:r>
      <w:r>
        <w:rPr>
          <w:rFonts w:hint="default" w:ascii="Times New Roman" w:hAnsi="Times New Roman" w:eastAsia="宋体" w:cs="Times New Roman"/>
          <w:color w:val="auto"/>
          <w:spacing w:val="0"/>
          <w:position w:val="0"/>
          <w:sz w:val="30"/>
          <w:szCs w:val="30"/>
          <w:highlight w:val="none"/>
          <w:shd w:val="clear" w:fill="auto"/>
          <w:lang w:val="en-US" w:eastAsia="zh-CN"/>
        </w:rPr>
        <w:t>截至2023年底已完成：</w:t>
      </w:r>
      <w:r>
        <w:rPr>
          <w:rFonts w:hint="default" w:ascii="Times New Roman" w:hAnsi="Times New Roman" w:eastAsia="宋体" w:cs="Times New Roman"/>
          <w:color w:val="auto"/>
          <w:spacing w:val="0"/>
          <w:position w:val="0"/>
          <w:sz w:val="30"/>
          <w:szCs w:val="30"/>
          <w:highlight w:val="none"/>
          <w:shd w:val="clear" w:fill="auto"/>
          <w:lang w:eastAsia="zh-CN"/>
        </w:rPr>
        <w:t>全州一类保健医疗对象32人，二类保健医疗对象501人，报销的保健医疗费用共计788.02万元，其中一类保健对象报销500万元，二类保健对象报销288.02万元，目前已完成全部报销工作。对所有保健对象落实医疗保险报销政策，开通绿色就医通道，规范健康档案管理服务，为保健对象提供优质高效的医疗保健服务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资金投入和使用情况</w:t>
      </w:r>
    </w:p>
    <w:p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outlineLvl w:val="0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资金投入情况：该项目年初预算数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1000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万元，全年预算数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1000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万元，实际总投入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1000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万元，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该项目资金已全部落实到位，资金来源为州本级财政资金。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资金使用情况：该项目年初预算数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1000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万元，全年预算数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1000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万元，全年执行数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788.02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万元，预算执行率为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78.8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%，用于：</w:t>
      </w:r>
      <w:r>
        <w:rPr>
          <w:rFonts w:hint="default" w:ascii="Times New Roman" w:hAnsi="Times New Roman" w:eastAsia="宋体" w:cs="Times New Roman"/>
          <w:color w:val="auto"/>
          <w:spacing w:val="0"/>
          <w:position w:val="0"/>
          <w:sz w:val="30"/>
          <w:szCs w:val="30"/>
          <w:highlight w:val="none"/>
          <w:shd w:val="clear" w:fill="auto"/>
          <w:lang w:eastAsia="zh-CN"/>
        </w:rPr>
        <w:t>全州32名一类保健对象报销500万元保健医疗费，501名二类保健对象报销288.02万元保健医疗费，共计788.02万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val="en-US" w:eastAsia="zh-CN"/>
        </w:rPr>
      </w:pPr>
      <w:bookmarkStart w:id="2" w:name="_Toc68703829"/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（二）项目绩效目标</w:t>
      </w:r>
      <w:bookmarkEnd w:id="2"/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包括总体目标和阶段性目标。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1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总体目标：为进一步提高自治州干部保健服务水平，畅通干部就医绿色通道，推动干部保健工作规范化、制度化、科学化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计划对40名一类保健对象、474名二类保健对象落实医疗保险报销政策，开通绿色就医通道，规范健康档案管理服务，为保健对象提供优质高效的医疗保健服务。</w:t>
      </w:r>
    </w:p>
    <w:p>
      <w:pPr>
        <w:pStyle w:val="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2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阶段性目标：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结合本单位保健医疗方面管理职能，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保障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州直干部医疗保健对象就诊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工作顺利开展，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按照年度工作计划，按季度与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保健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医疗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定点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医院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巴州人民医院、巴州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燕赵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蒙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医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医院、库尔勒市第一人民医院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库尔勒市中医医院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）进行保健对象医疗费核销工作；卫生健康服务指导中心按月</w:t>
      </w:r>
      <w:r>
        <w:rPr>
          <w:rFonts w:hint="eastAsia" w:eastAsia="宋体" w:cs="Times New Roman"/>
          <w:color w:val="auto"/>
          <w:sz w:val="32"/>
          <w:szCs w:val="32"/>
          <w:highlight w:val="none"/>
          <w:lang w:val="en-US" w:eastAsia="zh-CN"/>
        </w:rPr>
        <w:t>给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未在定点医院就医的保健医疗对象进行二次核算报销业务工作。</w:t>
      </w:r>
      <w:r>
        <w:rPr>
          <w:rFonts w:hint="default" w:ascii="Times New Roman" w:hAnsi="Times New Roman" w:eastAsia="宋体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进一步提高自治州干部保健服务水平，畅通干部就医绿色通道，为保健对象提供优质高效的医疗保健服务。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3" w:firstLineChars="200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bookmarkStart w:id="3" w:name="_Toc68703830"/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二、绩效评价工作开展情况</w:t>
      </w:r>
      <w:bookmarkEnd w:id="3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</w:pPr>
      <w:bookmarkStart w:id="4" w:name="_Toc68703831"/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（一）绩效评价目的、对象和范围。</w:t>
      </w:r>
      <w:bookmarkEnd w:id="4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绩效评价目的：</w:t>
      </w:r>
    </w:p>
    <w:p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绩效评价对象：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2023保健医疗费项目。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绩效评价范围：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本次评价从项目决策（包括绩效目标、决策过程）、项目管理（包括项目资金、项目实施）、项目产出（包括项目产出数量、产出质量、产出时效和产出成本）项目效益四个维度进行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2023保健医疗费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评价，评价核心为资金的支出完成情况和效果。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</w:pPr>
      <w:bookmarkStart w:id="5" w:name="_Toc68703832"/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（二）绩效评价原则、评价指标体系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eastAsia="zh-CN"/>
        </w:rPr>
        <w:t>（附表说明）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、评价方法、评价标准等。</w:t>
      </w:r>
      <w:bookmarkEnd w:id="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1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绩效评价原则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本次项目绩效评价遵循以下基本原则：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bCs/>
          <w:color w:val="auto"/>
          <w:sz w:val="32"/>
          <w:szCs w:val="32"/>
          <w:highlight w:val="none"/>
        </w:rPr>
        <w:t>（一）科学公正。本次项目支出绩效评价运用科学合理的方法，按照规范的程序，对项目绩效进行客观、公正的反映。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bCs/>
          <w:color w:val="auto"/>
          <w:sz w:val="32"/>
          <w:szCs w:val="32"/>
          <w:highlight w:val="none"/>
        </w:rPr>
        <w:t>（二）统筹兼顾。本次项目支出绩效评价由本单位自主实施，即“谁支出、谁自评”。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bCs/>
          <w:color w:val="auto"/>
          <w:sz w:val="32"/>
          <w:szCs w:val="32"/>
          <w:highlight w:val="none"/>
        </w:rPr>
        <w:t>（三）激励约束。本次项目支出绩效评价结果与预算安排、政策调整、改进管理实质性挂钩，体现奖优罚劣和激励相容导向，有效要安排、低效要压减、无效要问责。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bCs/>
          <w:color w:val="auto"/>
          <w:sz w:val="32"/>
          <w:szCs w:val="32"/>
          <w:highlight w:val="none"/>
        </w:rPr>
        <w:t>（四）公开透明。本次项目支出绩效评价结果已依法依规公开在网站上，并自觉接受社会监督。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2、评价指标体系（附表说明）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08" w:firstLineChars="200"/>
        <w:textAlignment w:val="auto"/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  <w:t>绩效评价框架是开展绩效评价的核心。绩效评价框架包括评价准则、关键评价问题、评价指标、数据来源、数据收集方法等。指标体系建立过程如下：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08" w:firstLineChars="200"/>
        <w:textAlignment w:val="auto"/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  <w:t>（1）确定评价指标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08" w:firstLineChars="200"/>
        <w:textAlignment w:val="auto"/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08" w:firstLineChars="200"/>
        <w:textAlignment w:val="auto"/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  <w:t>（2）确定权重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08" w:firstLineChars="200"/>
        <w:textAlignment w:val="auto"/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08" w:firstLineChars="200"/>
        <w:textAlignment w:val="auto"/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  <w:t>（3）确定指标标准值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08" w:firstLineChars="200"/>
        <w:textAlignment w:val="auto"/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  <w:t>指标标准值是绩效评价指标的尺度，既要反映同类项目的先进水平，又要符合项目的实际绩效水平。具体采用计划标准等确定此次绩效评价指标标准值。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708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pacing w:val="17"/>
          <w:kern w:val="2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17"/>
          <w:kern w:val="2"/>
          <w:highlight w:val="none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3、评价方法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  <w:lang w:val="en-US" w:eastAsia="zh-CN" w:bidi="ar-SA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08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  <w:lang w:val="en-US" w:eastAsia="zh-CN" w:bidi="ar-SA"/>
        </w:rPr>
        <w:t>本次评价指标中，既有定性指标又有定量指标，各类指标因考核内容不同和客观标准不同存在较大差异，因此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  <w:lang w:val="en-US" w:eastAsia="zh-CN" w:bidi="ar-SA"/>
        </w:rPr>
        <w:t xml:space="preserve">本次项目支出绩效自评采用成本效益分析法方法，原因是：作为一种经济决策方法，将成本费用分析法用于计划决策中，以寻求在投资决策以最小成本获取最大的收益。对支出目标，提出若干实现该目标的方案，运用一定的技术方法，计算出每种方案的成本和收益，通过成本效益分析法方法方法，并依据一定的原则，选择出最优的决策方案。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4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评价标准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</w:pPr>
      <w:bookmarkStart w:id="6" w:name="_Toc68703833"/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本次项目支出绩效自评采用计划标准，原因是：采用计划标准是对项目支出绩效自评一种有力监管工具，体现事前制定的项目目标、项目计划、预算、定额等指标的严肃性，使决策者能够把精力集中在对项目价值最关键的决策上，确保项目支出的实施和目标的实现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（三）绩效评价工作过程。</w:t>
      </w:r>
      <w:bookmarkEnd w:id="6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7" w:name="_Toc68703834"/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1.前期准备。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开始前期准备工作，州</w:t>
      </w:r>
      <w:r>
        <w:rPr>
          <w:rFonts w:hint="eastAsia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卫健委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分管领导、财务</w:t>
      </w:r>
      <w:r>
        <w:rPr>
          <w:rFonts w:hint="eastAsia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科室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、</w:t>
      </w:r>
      <w:r>
        <w:rPr>
          <w:rFonts w:hint="eastAsia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卫生健康服务指导中心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相关人员组成绩效评价组，从项目立项，申请资金、资金使用管理办法和流程，绩效所需清单等方面，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最后制定评价实施方案并进行论证。</w:t>
      </w:r>
    </w:p>
    <w:p>
      <w:pPr>
        <w:spacing w:line="560" w:lineRule="exact"/>
        <w:ind w:firstLine="320" w:firstLineChars="100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2.组织实施。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评价工作进入实施阶段，评价组收集绩效评价相关数据资料，以会议形式，对</w:t>
      </w:r>
      <w:r>
        <w:rPr>
          <w:rFonts w:hint="eastAsia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保健医疗费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项目经费使用情况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、项目效果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进行评价，对项目资金的内容、操作流程、管理机制、资金使用方向再次梳理分析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 xml:space="preserve">形成初步结论。 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3.分析评价。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评价组按照绩效评价的原则和规范，对</w:t>
      </w:r>
      <w:r>
        <w:rPr>
          <w:rFonts w:hint="eastAsia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保健医疗费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项目经费取得的资料进行审查核实，对采集的数据进行分析，按照绩效评价指标评分表逐项进行打分、分析，汇总各方评价结果，综合分析并形成评价结论。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3" w:firstLineChars="200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三、综合评价情况及评价结论</w:t>
      </w:r>
      <w:bookmarkEnd w:id="7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eastAsia="zh-CN"/>
        </w:rPr>
      </w:pPr>
      <w:bookmarkStart w:id="8" w:name="_Toc68703835"/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（一）综合评价情况</w:t>
      </w:r>
      <w:bookmarkEnd w:id="8"/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eastAsia="zh-CN"/>
        </w:rPr>
        <w:t>及评价结论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综合评价情况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highlight w:val="none"/>
          <w:lang w:eastAsia="zh-CN"/>
        </w:rPr>
        <w:t>保健医疗费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本项目严格按照</w:t>
      </w:r>
      <w:r>
        <w:rPr>
          <w:rFonts w:hint="default" w:ascii="Times New Roman" w:hAnsi="Times New Roman" w:eastAsia="宋体" w:cs="Times New Roman"/>
          <w:bCs/>
          <w:color w:val="auto"/>
          <w:kern w:val="0"/>
          <w:sz w:val="32"/>
          <w:szCs w:val="32"/>
          <w:highlight w:val="none"/>
        </w:rPr>
        <w:t>科学公正、统筹兼顾、激励约束、公开透明的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绩效评价原则，采用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比较法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，坚持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使用</w:t>
      </w: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  <w:lang w:val="en-US" w:eastAsia="zh-CN"/>
        </w:rPr>
        <w:t>计划标准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对本项目的立项、绩效目标、资金投入、资金管理、组织实施、产出数量、产出质量、产出时效、产出成本、项目效益进行了综合评价。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</w:pPr>
      <w:bookmarkStart w:id="9" w:name="_Toc68703836"/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评价结论</w:t>
      </w:r>
      <w:bookmarkEnd w:id="9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val="en-US" w:eastAsia="zh-CN"/>
        </w:rPr>
        <w:t>97.03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 xml:space="preserve">分，属于“优”。其中，项目决策类指标权重为20分，得分为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 xml:space="preserve">分，得分率为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%。项目过程类指标权重为20分，得分为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val="en-US" w:eastAsia="zh-CN"/>
        </w:rPr>
        <w:t>19.15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 xml:space="preserve">分，得分率为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val="en-US" w:eastAsia="zh-CN"/>
        </w:rPr>
        <w:t>95.75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%。项目产出类指标权重为40分，得分为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val="en-US" w:eastAsia="zh-CN"/>
        </w:rPr>
        <w:t>37.88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 xml:space="preserve">分，得分率为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val="en-US" w:eastAsia="zh-CN"/>
        </w:rPr>
        <w:t>94.7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%。项目效益类指标权重为20分，得分为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分，得分率为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%。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eastAsia="zh-CN"/>
        </w:rPr>
        <w:t>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eastAsia="zh-CN"/>
        </w:rPr>
        <w:t>相关评分表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具体打分情况详见：附件1综合评分表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center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2023年保健医疗费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项目评价得分情况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2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2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2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  <w:t>19.15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  <w:t>37.88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highlight w:val="none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2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2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highlight w:val="none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2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highlight w:val="none"/>
                <w:lang w:val="en-US" w:eastAsia="zh-CN"/>
              </w:rPr>
              <w:t>97.03</w:t>
            </w:r>
          </w:p>
        </w:tc>
      </w:tr>
    </w:tbl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3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3" w:firstLineChars="200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bookmarkStart w:id="10" w:name="_Toc68703837"/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四、绩效评价指标分析</w:t>
      </w:r>
      <w:bookmarkEnd w:id="10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</w:pPr>
      <w:bookmarkStart w:id="11" w:name="_Toc68703838"/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（一）项目决策情况。</w:t>
      </w:r>
      <w:bookmarkEnd w:id="11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1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立项依据充分性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08" w:firstLineChars="200"/>
        <w:textAlignment w:val="auto"/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  <w:lang w:val="en-US" w:eastAsia="zh-CN"/>
        </w:rPr>
        <w:t>2023年保健医疗费项目立项依据《</w:t>
      </w: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  <w:t>关于印发&lt;巴音郭楞蒙古自治州州直行政、事业、企业单位干部医疗保健管理实施办法&gt;的通知》（巴保健委字[2004]01号）</w:t>
      </w: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  <w:t>《关于印发&lt;自治州本级干部保健医疗实施方案&gt;的通知》（巴政办发[2018]113号）符合国家法律法规、国民经济发展规划和相关政策</w:t>
      </w: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  <w:lang w:val="en-US" w:eastAsia="zh-CN"/>
        </w:rPr>
        <w:t>，符合</w:t>
      </w: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  <w:t>行业发展规划和政策要求</w:t>
      </w: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  <w:t>与部门职责范围相符，属于部门履职所需</w:t>
      </w: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  <w:lang w:val="en-US" w:eastAsia="zh-CN"/>
        </w:rPr>
        <w:t>围绕本年度工作重点和工作计划制定经费预算，</w:t>
      </w: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</w:rPr>
        <w:t>属于公共财政支持范围，符合中央、地方事权支出责任划分原则；</w:t>
      </w:r>
      <w:r>
        <w:rPr>
          <w:rFonts w:hint="default" w:ascii="Times New Roman" w:hAnsi="Times New Roman" w:eastAsia="宋体" w:cs="Times New Roman"/>
          <w:color w:val="auto"/>
          <w:spacing w:val="17"/>
          <w:sz w:val="32"/>
          <w:szCs w:val="32"/>
          <w:highlight w:val="none"/>
          <w:lang w:val="en-US" w:eastAsia="zh-CN"/>
        </w:rPr>
        <w:t>本项目与部门内部其他相关项目不重复。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2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立项程序规范性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项目申请、设立过程符合相关要求，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32"/>
          <w:szCs w:val="32"/>
          <w:highlight w:val="none"/>
          <w:lang w:val="en-US" w:eastAsia="zh-Hans"/>
        </w:rPr>
        <w:t>严格按照审批流程准备符合要求的文件、材料；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根据决算依据编制工作计划和经费预算，经过与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保健医疗费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3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绩效目标合理性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2023年保健医疗费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项目设立了项目绩效目标，与保健对象落实医疗保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健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报销政策，开通绿色就医通道，规范健康档案管理服务具有相关性，项目的预期产出效益和效果也均能符合正常的业绩水平，并且与预算确定的项目资金量相匹配。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4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绩效指标明确性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green"/>
        </w:rPr>
      </w:pPr>
      <w:bookmarkStart w:id="12" w:name="_Hlk68699917"/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2023年保健医疗费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项目将项目绩效目标细化分解为具体的绩效指标，一级指标共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条，二级指标共</w: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条，三级指标共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条，其中量化指标条数共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条，所有绩效指标均通过清晰、可衡量的指标值予以体现，并且做到了与项目目标计划数相对应。</w:t>
      </w:r>
      <w:bookmarkEnd w:id="12"/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5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预算编制科学性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Hans"/>
        </w:rPr>
        <w:t>年初结合实际工作内容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设定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保健医疗费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绩效目标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Hans"/>
        </w:rPr>
        <w:t>，绩效目标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保健医疗费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项目投资额相匹配，对项目任务进行了详细分解。项目预期产出效益及效果符合正常的业绩水平。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6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资金分配合理性</w:t>
      </w:r>
    </w:p>
    <w:p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0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资金分配额度与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保健医疗费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项目实际工作内容相适应，资金分配额度合理，资金分配依据充分。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此项权重分3分，得分3分。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</w:pPr>
      <w:bookmarkStart w:id="13" w:name="_Toc68703839"/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（二）项目过程情况。</w:t>
      </w:r>
      <w:bookmarkEnd w:id="13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1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资金到位率：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预算资金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1000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万元，实际到位资金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1000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万元，资金到位率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%。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2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预算执行率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年初预算数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1000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万元，全年预算数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1000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万元，全年执行数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788.02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万元，预算执行率为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78.8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%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此项权重分4分，得分3.15分。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3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资金使用合规性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32"/>
          <w:szCs w:val="32"/>
          <w:highlight w:val="none"/>
          <w:lang w:val="en-US" w:eastAsia="zh-CN"/>
        </w:rPr>
        <w:t>保健医疗费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32"/>
          <w:szCs w:val="32"/>
          <w:highlight w:val="none"/>
          <w:lang w:val="en-US" w:eastAsia="zh-CN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此项权重分4分，得分4分。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管理制度健全性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制定了相关管理办法，对财政资金进行严格管理，做到专款专用，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保健医疗费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项目资金使用符合相关的财务管理制度规定，能够反映和考核项目资金的规范运行情况；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该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项目实施的财务和业务管理制度健全，能够反映和考核财务和业务管理制度对项目顺利实施的保障情况。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5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制度执行有效性</w:t>
      </w:r>
    </w:p>
    <w:p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0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对资金使用的合法合规性进行监督，年末对资金使用效果进行评价。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保健医疗费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项目管理、实施人员落实到位，有效按照计划执行。项目执行情况等资料齐全，项目相关手续完备，及时进行归档。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</w:pPr>
      <w:bookmarkStart w:id="14" w:name="_Toc68703840"/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（三）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项目产出情况。</w:t>
      </w:r>
      <w:bookmarkEnd w:id="14"/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数量指标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完成情况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：指标1：一类保健对象保障人数，指标值：&gt;=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40人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，实际完成值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32人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，指标完成率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80%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，偏差原因：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因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人事调动或死亡等原因，较年初一类保健对象人数减少；指标2：二类保健对象保障人数，指标值：&gt;=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474人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，实际完成值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501人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，指标完成率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105.6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%，偏差原因：人事调动情况较大，较年初二类保健对象人数新增较多。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质量指标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完成情况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：指标1：保健对象保障覆盖率，指标值：=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100%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，实际完成值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100%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，指标完成率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%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时效指标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完成情况：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指标1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保健对象医疗保险报销及时率，指标值：&gt;=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95%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，实际完成值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100%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，指标完成率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105.26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%，偏差原因：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按照工作实际，对符合报销的医疗保健对象做到及时准确报销医疗费用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此项权重分10分，得分10分。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4.经济成本指标完成情况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指标1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一类保健对象报销成本，指标值：&lt;=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500万元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，实际完成值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500万元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，指标完成率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%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指标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：二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类保健对象报销成本，指标值：&lt;=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500万元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，实际完成值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288.02万元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，指标完成率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57.6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%，偏差原因：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根据实际情况，二类保健对象就医人数较少，部分进行报销业务</w:t>
      </w:r>
      <w:r>
        <w:rPr>
          <w:rFonts w:hint="eastAsia" w:eastAsia="宋体" w:cs="Times New Roman"/>
          <w:color w:val="auto"/>
          <w:highlight w:val="none"/>
          <w:lang w:eastAsia="zh-CN"/>
        </w:rPr>
        <w:t>，导致与计划存在偏差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此项权重分10分，得分7.88分。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val="en-US" w:eastAsia="zh-CN"/>
        </w:rPr>
      </w:pPr>
      <w:bookmarkStart w:id="15" w:name="_Toc68703841"/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eastAsia="zh-CN"/>
        </w:rPr>
        <w:t>四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）项目效益情况。</w:t>
      </w:r>
      <w:bookmarkEnd w:id="1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1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社会效益指标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完成情况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：指标1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推动干部保健工作规范化、制度化、科学化，指标值：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有效推动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，实际完成值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达成目标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，指标完成率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%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此项权重分</w: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0分，得分</w: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highlight w:val="none"/>
        </w:rPr>
        <w:t>2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满意度指标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完成情况分析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：指标1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：保健对象满意度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，指标值：&gt;=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90%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，实际完成值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90%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，指标完成率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%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此项权重分</w: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0分，得分</w: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Hans"/>
        </w:rPr>
      </w:pPr>
      <w:bookmarkStart w:id="16" w:name="_Toc68703842"/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Hans"/>
        </w:rPr>
        <w:t>五、预算执行进度与绩效指标总体完成率偏差</w:t>
      </w:r>
    </w:p>
    <w:p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highlight w:val="green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2023年保健医疗费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项目年初预算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1000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万元，全年预算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1000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万元，实际支出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788.02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万元，预算执行率为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78.8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%，项目绩效指标总体完成率为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93.56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%，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Hans"/>
        </w:rPr>
        <w:t>总体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偏差率为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14.76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%,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Hans"/>
        </w:rPr>
        <w:t>偏差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原因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因干部人事职务职级晋升、调动或死亡等原因，较年初一类保健对象人数有所减少，二类保健对象较年初有所增加，二类保健对象年龄偏年轻化，实际发生看病就医人员频次</w:t>
      </w:r>
      <w:r>
        <w:rPr>
          <w:rFonts w:hint="eastAsia" w:eastAsia="宋体" w:cs="Times New Roman"/>
          <w:color w:val="auto"/>
          <w:sz w:val="32"/>
          <w:szCs w:val="32"/>
          <w:highlight w:val="none"/>
          <w:lang w:val="en-US" w:eastAsia="zh-CN"/>
        </w:rPr>
        <w:t>减少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eastAsia="宋体" w:cs="Times New Roman"/>
          <w:color w:val="auto"/>
          <w:sz w:val="32"/>
          <w:szCs w:val="32"/>
          <w:highlight w:val="none"/>
          <w:lang w:val="en-US" w:eastAsia="zh-CN"/>
        </w:rPr>
        <w:t>导致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保健</w:t>
      </w:r>
      <w:r>
        <w:rPr>
          <w:rFonts w:hint="eastAsia" w:eastAsia="宋体" w:cs="Times New Roman"/>
          <w:color w:val="auto"/>
          <w:sz w:val="32"/>
          <w:szCs w:val="32"/>
          <w:highlight w:val="none"/>
          <w:lang w:eastAsia="zh-CN"/>
        </w:rPr>
        <w:t>医疗费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低于年初设定指标值，所以出现偏差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Hans"/>
        </w:rPr>
        <w:t>改进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措施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今后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工作中继续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加强政策宣传，确保符合报销条件的保健对象更全面的了解报销政策，保障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受益群体的权益，提高资金使用效率。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3" w:firstLineChars="200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、主要经验及做法、存在的问题及原因分析</w:t>
      </w:r>
      <w:bookmarkEnd w:id="16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</w:pPr>
      <w:bookmarkStart w:id="17" w:name="_Toc68703843"/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（一）主要经验及做法</w:t>
      </w:r>
      <w:bookmarkEnd w:id="17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为确保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保健医疗费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CN"/>
        </w:rPr>
        <w:t>保健对象满意度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调查及项目防范工作。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</w:pPr>
      <w:bookmarkStart w:id="18" w:name="_Toc68703844"/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</w:rPr>
        <w:t>（二）存在的问题及原因分析</w:t>
      </w:r>
      <w:bookmarkEnd w:id="18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bookmarkStart w:id="19" w:name="_Toc68703845"/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在绩效自评过程中，由于保健医疗对象因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人事职务职级晋升、调动或死亡等原因</w:t>
      </w:r>
      <w:r>
        <w:rPr>
          <w:rFonts w:hint="eastAsia" w:eastAsia="宋体" w:cs="Times New Roman"/>
          <w:color w:val="auto"/>
          <w:sz w:val="32"/>
          <w:szCs w:val="32"/>
          <w:highlight w:val="none"/>
          <w:lang w:val="en-US" w:eastAsia="zh-CN"/>
        </w:rPr>
        <w:t>，人数不可精准估算，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自评工作还存在自我审定的局限性，影响评价质量。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、有关建议</w:t>
      </w:r>
      <w:bookmarkEnd w:id="19"/>
    </w:p>
    <w:p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0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eastAsia="宋体" w:cs="Times New Roman"/>
          <w:color w:val="auto"/>
          <w:sz w:val="32"/>
          <w:szCs w:val="32"/>
          <w:highlight w:val="none"/>
          <w:lang w:val="en-US" w:eastAsia="zh-CN"/>
        </w:rPr>
        <w:t>建议进一步强化部门预算管理，科学合理编制预算，有效控制预算执行率。严格按照</w:t>
      </w:r>
      <w:bookmarkStart w:id="21" w:name="_GoBack"/>
      <w:bookmarkEnd w:id="21"/>
      <w:r>
        <w:rPr>
          <w:rFonts w:hint="eastAsia" w:eastAsia="宋体" w:cs="Times New Roman"/>
          <w:color w:val="auto"/>
          <w:sz w:val="32"/>
          <w:szCs w:val="32"/>
          <w:highlight w:val="none"/>
          <w:lang w:val="en-US" w:eastAsia="zh-CN"/>
        </w:rPr>
        <w:t>预算编制的相关制度和要求进行预算编制，全面编制预算项目，进一步提高预算编制的科学性、严谨性和可控性。</w:t>
      </w:r>
    </w:p>
    <w:p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0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宋体" w:cs="Times New Roman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建议财政部门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多进行有关绩效管理工作方面的培训。积极组织第三方开展绩效管理工作培训，进一步夯实业务基础，提高我单位绩效人员水平。</w:t>
      </w:r>
    </w:p>
    <w:p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0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宋体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.进一步加强对绩效管理工作的组织领导，提高对预算绩效管理工作重要性的认识，加大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全州卫生系统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对全面实施预算绩效管理和绩效管理工作的学习力度，让“花钱必问效，无效必问责”的理念深入工作每个环节。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firstLine="643" w:firstLineChars="200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bookmarkStart w:id="20" w:name="_Toc68703846"/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、其他需要说明的问题</w:t>
      </w:r>
      <w:bookmarkEnd w:id="20"/>
    </w:p>
    <w:p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firstLine="640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lang w:eastAsia="zh-Hans"/>
        </w:rPr>
        <w:t>本项目无其他需说明的问题。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color w:val="auto"/>
          <w:highlight w:val="none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0D1E6F"/>
    <w:multiLevelType w:val="singleLevel"/>
    <w:tmpl w:val="D10D1E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EFA44E2"/>
    <w:multiLevelType w:val="singleLevel"/>
    <w:tmpl w:val="2EFA44E2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OTIwZjc5YmU2ZTY5MjQ2MTljMmZlZWEzNGY0OTA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31A7868"/>
    <w:rsid w:val="042E26EB"/>
    <w:rsid w:val="044C3E9A"/>
    <w:rsid w:val="05227DA5"/>
    <w:rsid w:val="07DA78EE"/>
    <w:rsid w:val="08426019"/>
    <w:rsid w:val="085417B6"/>
    <w:rsid w:val="08D20D13"/>
    <w:rsid w:val="0C4D0F1B"/>
    <w:rsid w:val="0D1C310E"/>
    <w:rsid w:val="0E063EAC"/>
    <w:rsid w:val="0F2A6BF7"/>
    <w:rsid w:val="12117034"/>
    <w:rsid w:val="132D29E8"/>
    <w:rsid w:val="143A2D40"/>
    <w:rsid w:val="148641BA"/>
    <w:rsid w:val="14DC29CA"/>
    <w:rsid w:val="15E36674"/>
    <w:rsid w:val="15F3690F"/>
    <w:rsid w:val="17527B50"/>
    <w:rsid w:val="177A5491"/>
    <w:rsid w:val="17EB6A4A"/>
    <w:rsid w:val="196C5C41"/>
    <w:rsid w:val="1A651406"/>
    <w:rsid w:val="1B7F1E29"/>
    <w:rsid w:val="1C1C2FAC"/>
    <w:rsid w:val="1D723F37"/>
    <w:rsid w:val="1D785367"/>
    <w:rsid w:val="203330E1"/>
    <w:rsid w:val="22E04CE8"/>
    <w:rsid w:val="274A287E"/>
    <w:rsid w:val="277B4352"/>
    <w:rsid w:val="29D45BF9"/>
    <w:rsid w:val="2A847B4B"/>
    <w:rsid w:val="2B7938DE"/>
    <w:rsid w:val="2DB35787"/>
    <w:rsid w:val="30EE43D4"/>
    <w:rsid w:val="320E1ED6"/>
    <w:rsid w:val="328714F2"/>
    <w:rsid w:val="32AE0DEC"/>
    <w:rsid w:val="36B72533"/>
    <w:rsid w:val="3A1B0664"/>
    <w:rsid w:val="3B341131"/>
    <w:rsid w:val="3B4C2F55"/>
    <w:rsid w:val="3B9B1DDA"/>
    <w:rsid w:val="3D233F03"/>
    <w:rsid w:val="3FFC185D"/>
    <w:rsid w:val="4057649F"/>
    <w:rsid w:val="4185310F"/>
    <w:rsid w:val="41AF06D0"/>
    <w:rsid w:val="41CB477D"/>
    <w:rsid w:val="43182414"/>
    <w:rsid w:val="46507BB3"/>
    <w:rsid w:val="49433FBF"/>
    <w:rsid w:val="4A7C25BE"/>
    <w:rsid w:val="4C0F7955"/>
    <w:rsid w:val="4C22332E"/>
    <w:rsid w:val="4ECD6554"/>
    <w:rsid w:val="4F741C7D"/>
    <w:rsid w:val="4FBF6DE2"/>
    <w:rsid w:val="50B51EA2"/>
    <w:rsid w:val="50C92B17"/>
    <w:rsid w:val="51621ACD"/>
    <w:rsid w:val="566246CD"/>
    <w:rsid w:val="56796849"/>
    <w:rsid w:val="571F34FB"/>
    <w:rsid w:val="582165A1"/>
    <w:rsid w:val="5B9C20DB"/>
    <w:rsid w:val="5BD12C2E"/>
    <w:rsid w:val="5C6617A4"/>
    <w:rsid w:val="5DA95371"/>
    <w:rsid w:val="5E3B3CA9"/>
    <w:rsid w:val="62367D31"/>
    <w:rsid w:val="640A78AC"/>
    <w:rsid w:val="68F11999"/>
    <w:rsid w:val="69FA2AEA"/>
    <w:rsid w:val="6ADB565B"/>
    <w:rsid w:val="6B9E319B"/>
    <w:rsid w:val="6C0C1250"/>
    <w:rsid w:val="6D8B72F6"/>
    <w:rsid w:val="6E5F07A0"/>
    <w:rsid w:val="73EF26C0"/>
    <w:rsid w:val="748E25CA"/>
    <w:rsid w:val="763A0251"/>
    <w:rsid w:val="76B46F6C"/>
    <w:rsid w:val="78561604"/>
    <w:rsid w:val="786A67B8"/>
    <w:rsid w:val="7BC21821"/>
    <w:rsid w:val="7C432B6A"/>
    <w:rsid w:val="7E0F61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7">
    <w:name w:val="footer"/>
    <w:basedOn w:val="1"/>
    <w:link w:val="2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1">
    <w:name w:val="Body Text First Indent 2"/>
    <w:basedOn w:val="6"/>
    <w:qFormat/>
    <w:uiPriority w:val="0"/>
    <w:pPr>
      <w:ind w:firstLine="420" w:firstLineChars="200"/>
    </w:pPr>
  </w:style>
  <w:style w:type="character" w:styleId="14">
    <w:name w:val="Strong"/>
    <w:qFormat/>
    <w:uiPriority w:val="0"/>
    <w:rPr>
      <w:b/>
      <w:bCs/>
    </w:rPr>
  </w:style>
  <w:style w:type="character" w:styleId="15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标题 1 Char"/>
    <w:basedOn w:val="13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7">
    <w:name w:val="标题 2 Char"/>
    <w:basedOn w:val="13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8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9">
    <w:name w:val="页眉 Char"/>
    <w:basedOn w:val="13"/>
    <w:link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20">
    <w:name w:val="页脚 Char"/>
    <w:basedOn w:val="13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21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paragraph" w:customStyle="1" w:styleId="22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5042</Words>
  <Characters>5242</Characters>
  <Lines>37</Lines>
  <Paragraphs>10</Paragraphs>
  <TotalTime>3</TotalTime>
  <ScaleCrop>false</ScaleCrop>
  <LinksUpToDate>false</LinksUpToDate>
  <CharactersWithSpaces>5253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new</cp:lastModifiedBy>
  <cp:lastPrinted>2024-05-08T02:33:00Z</cp:lastPrinted>
  <dcterms:modified xsi:type="dcterms:W3CDTF">2024-05-08T10:23:06Z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E3627F481A904465855678F638DB3FFE</vt:lpwstr>
  </property>
</Properties>
</file>