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E5D4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035C90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5F100D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30A04D0">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326292C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8189346">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543C1C5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168328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CEFF33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C2B087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386AED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E59E7AC">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项目名称：非公有制经济组织教育调研及党建工作</w:t>
      </w:r>
    </w:p>
    <w:p w14:paraId="14C7065B">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实施单位（公章）：新疆巴州工商业联合会</w:t>
      </w:r>
    </w:p>
    <w:p w14:paraId="59E6AF3E">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主管部门（公章）：新疆巴州工商业联合会</w:t>
      </w:r>
    </w:p>
    <w:p w14:paraId="70B80794">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项目负责人（签章）：胥勇</w:t>
      </w:r>
      <w:bookmarkStart w:id="21" w:name="_GoBack"/>
      <w:bookmarkEnd w:id="21"/>
    </w:p>
    <w:p w14:paraId="60062534">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日</w:t>
      </w:r>
    </w:p>
    <w:p w14:paraId="221AA3AD">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3678D22">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D6086FB">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4FC64A81">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0A8F2C92">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76E2FA0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2987513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7D7B877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 xml:space="preserve">  近年来，在巴州党委、政府的坚强领导下，在自治区工商联的正确指导下，巴州工商联瞄准高质量发展任务，发挥桥梁纽带和助手作用，牢牢把握“两个健康”工作主题，坚持把“信任、团结、服务、引导、教育”十字方针贯穿于工商联工作全过程，把“强信心、拼经济、促发展”摆在突出位置，创新服务、奋勇担当，在助力自治州聚焦“争先创优、争先进位”目标全面发力、全力攻坚进程中彰显了新作为。根据《自治区党委、自治区人民政府贯彻落实&lt;中共中央、国务院关于加强和改进新形势下工商联工作的意见&gt;的实施意见》（新党发{2011]26号)、《中共巴音郭楞蒙古自治州委员会、巴音郭楞蒙古自治州人民政府关于加强和改进新形势下工商联工作的实施意见》（巴党发[2013]3号）、《关于转发&lt;中共中央组织部 财政部 国家税务总局关于非公有制企业党组织工作经费问题的通知&gt;的通知》（新党组通字[2015]21号）、《中共巴音郭楞蒙古自治州委员会、巴音郭楞蒙古自治州人民政府关于大力推动非公有制经济加快发展的实施意见》（巴党发[2016]7号）、自治区党委办公厅自治区人民政府办公厅印发《自治区贯彻落实&lt;关于促进工商联所属商会改革和发展的实施意见&gt;的实施意见》的通知（新党厅字[2018]117号）、《关于进一步明确理顺党政机构涉改单位基层党组织关系的通知》（巴党组通字[2019]6号）、中共中央办公厅印发《关于加强新时代民营经济统战工作的意见》、自治区党委 自治区人民政府印发《关于营造更好发展环境支持民营企业改革发展的实施方案》的通知（新党发[2020]16号），把握主线，强化民营经济人士思想政治引导，发挥优势，凝聚民营经济高质量发展合力，聚焦重点，稳抓民营企业服务质效提升，打造平台，发挥商协会集中办公优势。</w:t>
      </w:r>
    </w:p>
    <w:p w14:paraId="1E61F2B9">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5D3E6DB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加强和改进非公有制经济人士思想政治工作，围绕民营经济发展开展调研活动，推动经贸交流与协作，组织企业参加各类展会，组织非公有制经济人士对外经济联络和经贸考察交流、对外招商、项目对接洽谈活动。加强自治州非公有制经济组织党的建设工作，走访慰问非公有制经济党组织老党员、老模范、困难党员。代表并维护会员的合法权益，协调和帮助民营企业解决实际困难和问题。从而促进非公有制经济人士健康成长，支持非公有制经济健康发展，维护非公经济合法权益，促进和谐劳动关系。</w:t>
      </w:r>
    </w:p>
    <w:p w14:paraId="2D8669C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color w:val="FF0000"/>
          <w:highlight w:val="none"/>
          <w:lang w:eastAsia="zh-CN"/>
        </w:rPr>
      </w:pPr>
      <w:r>
        <w:rPr>
          <w:rFonts w:hint="eastAsia" w:ascii="仿宋_GB2312"/>
          <w:highlight w:val="none"/>
        </w:rPr>
        <w:t>实施情况：</w:t>
      </w:r>
      <w:r>
        <w:rPr>
          <w:rFonts w:hint="eastAsia" w:ascii="仿宋_GB2312"/>
          <w:b w:val="0"/>
          <w:bCs w:val="0"/>
          <w:color w:val="auto"/>
          <w:highlight w:val="none"/>
        </w:rPr>
        <w:t>我单位</w:t>
      </w:r>
      <w:r>
        <w:rPr>
          <w:rFonts w:hint="eastAsia" w:ascii="仿宋_GB2312"/>
          <w:b w:val="0"/>
          <w:bCs w:val="0"/>
          <w:color w:val="auto"/>
          <w:highlight w:val="none"/>
          <w:lang w:eastAsia="zh-CN"/>
        </w:rPr>
        <w:t>于</w:t>
      </w:r>
      <w:r>
        <w:rPr>
          <w:rFonts w:hint="eastAsia" w:ascii="仿宋_GB2312"/>
          <w:b w:val="0"/>
          <w:bCs w:val="0"/>
          <w:color w:val="auto"/>
          <w:highlight w:val="none"/>
          <w:lang w:val="en-US" w:eastAsia="zh-CN"/>
        </w:rPr>
        <w:t>2023年11月30日前</w:t>
      </w:r>
      <w:r>
        <w:rPr>
          <w:rFonts w:hint="eastAsia" w:ascii="仿宋_GB2312"/>
          <w:b w:val="0"/>
          <w:bCs w:val="0"/>
          <w:color w:val="auto"/>
          <w:highlight w:val="none"/>
          <w:lang w:eastAsia="zh-CN"/>
        </w:rPr>
        <w:t>完成</w:t>
      </w:r>
      <w:r>
        <w:rPr>
          <w:rFonts w:hint="eastAsia" w:ascii="仿宋_GB2312"/>
          <w:b w:val="0"/>
          <w:bCs w:val="0"/>
          <w:color w:val="auto"/>
          <w:highlight w:val="none"/>
        </w:rPr>
        <w:t>购置办公设备4台，保障</w:t>
      </w:r>
      <w:r>
        <w:rPr>
          <w:rFonts w:hint="eastAsia" w:ascii="仿宋_GB2312"/>
          <w:b w:val="0"/>
          <w:bCs w:val="0"/>
          <w:color w:val="auto"/>
          <w:highlight w:val="none"/>
          <w:lang w:eastAsia="zh-CN"/>
        </w:rPr>
        <w:t>了</w:t>
      </w:r>
      <w:r>
        <w:rPr>
          <w:rFonts w:hint="eastAsia" w:ascii="仿宋_GB2312"/>
          <w:b w:val="0"/>
          <w:bCs w:val="0"/>
          <w:color w:val="auto"/>
          <w:highlight w:val="none"/>
        </w:rPr>
        <w:t>8名办公人员的工作经费及时支付</w:t>
      </w:r>
      <w:r>
        <w:rPr>
          <w:rFonts w:hint="eastAsia" w:ascii="仿宋_GB2312"/>
          <w:b w:val="0"/>
          <w:bCs w:val="0"/>
          <w:color w:val="auto"/>
          <w:highlight w:val="none"/>
          <w:lang w:eastAsia="zh-CN"/>
        </w:rPr>
        <w:t>，参与民营经济调研、参展、招商等活动5次，维护了非公经济合法权益，促进了和谐劳动关系。</w:t>
      </w:r>
    </w:p>
    <w:p w14:paraId="43F31D6F">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1938EED9">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14.50</w:t>
      </w:r>
      <w:r>
        <w:rPr>
          <w:rFonts w:hint="eastAsia"/>
          <w:color w:val="auto"/>
        </w:rPr>
        <w:t>万元，全年预算数</w:t>
      </w:r>
      <w:r>
        <w:rPr>
          <w:rFonts w:hint="eastAsia"/>
          <w:color w:val="auto"/>
          <w:lang w:val="en-US" w:eastAsia="zh-CN"/>
        </w:rPr>
        <w:t>14.50</w:t>
      </w:r>
      <w:r>
        <w:rPr>
          <w:rFonts w:hint="eastAsia"/>
          <w:color w:val="auto"/>
        </w:rPr>
        <w:t>万元，实际总投入</w:t>
      </w:r>
      <w:r>
        <w:rPr>
          <w:rFonts w:hint="eastAsia"/>
          <w:color w:val="auto"/>
          <w:lang w:val="en-US" w:eastAsia="zh-CN"/>
        </w:rPr>
        <w:t>14.50</w:t>
      </w:r>
      <w:r>
        <w:rPr>
          <w:rFonts w:hint="eastAsia"/>
          <w:color w:val="auto"/>
        </w:rPr>
        <w:t>万元，该项目资金已全部落实到位，资金来源为</w:t>
      </w:r>
      <w:r>
        <w:rPr>
          <w:rFonts w:hint="eastAsia"/>
          <w:color w:val="auto"/>
          <w:lang w:eastAsia="zh-CN"/>
        </w:rPr>
        <w:t>本级财政拨款</w:t>
      </w:r>
      <w:r>
        <w:rPr>
          <w:rFonts w:hint="eastAsia"/>
          <w:color w:val="auto"/>
        </w:rPr>
        <w:t>。</w:t>
      </w:r>
    </w:p>
    <w:p w14:paraId="34C9F61E">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资金使用情况：该项目年初预算数</w:t>
      </w:r>
      <w:r>
        <w:rPr>
          <w:rFonts w:hint="eastAsia"/>
          <w:color w:val="auto"/>
          <w:lang w:val="en-US" w:eastAsia="zh-CN"/>
        </w:rPr>
        <w:t>14.50</w:t>
      </w:r>
      <w:r>
        <w:rPr>
          <w:rFonts w:hint="eastAsia"/>
          <w:color w:val="auto"/>
        </w:rPr>
        <w:t>万元，全年预算数</w:t>
      </w:r>
      <w:r>
        <w:rPr>
          <w:rFonts w:hint="eastAsia"/>
          <w:color w:val="auto"/>
          <w:lang w:val="en-US" w:eastAsia="zh-CN"/>
        </w:rPr>
        <w:t>14.50</w:t>
      </w:r>
      <w:r>
        <w:rPr>
          <w:rFonts w:hint="eastAsia"/>
          <w:color w:val="auto"/>
        </w:rPr>
        <w:t>万元，全年执行数</w:t>
      </w:r>
      <w:r>
        <w:rPr>
          <w:rFonts w:hint="eastAsia"/>
          <w:color w:val="auto"/>
          <w:lang w:val="en-US" w:eastAsia="zh-CN"/>
        </w:rPr>
        <w:t>14.50</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eastAsia="zh-CN"/>
        </w:rPr>
        <w:t>办公设备购置</w:t>
      </w:r>
      <w:r>
        <w:rPr>
          <w:rFonts w:hint="eastAsia"/>
          <w:color w:val="auto"/>
          <w:lang w:val="en-US" w:eastAsia="zh-CN"/>
        </w:rPr>
        <w:t>1.39</w:t>
      </w:r>
      <w:r>
        <w:rPr>
          <w:rFonts w:hint="eastAsia"/>
          <w:color w:val="auto"/>
        </w:rPr>
        <w:t>万元</w:t>
      </w:r>
      <w:r>
        <w:rPr>
          <w:rFonts w:hint="eastAsia"/>
          <w:color w:val="auto"/>
          <w:lang w:eastAsia="zh-CN"/>
        </w:rPr>
        <w:t>，人员工作经费</w:t>
      </w:r>
      <w:r>
        <w:rPr>
          <w:rFonts w:hint="eastAsia"/>
          <w:color w:val="auto"/>
          <w:lang w:val="en-US" w:eastAsia="zh-CN"/>
        </w:rPr>
        <w:t>4.50万元，参与民营经济调研、参展、招商等活动费用8.61万元</w:t>
      </w:r>
      <w:r>
        <w:rPr>
          <w:rFonts w:hint="eastAsia"/>
          <w:color w:val="auto"/>
        </w:rPr>
        <w:t>。</w:t>
      </w:r>
    </w:p>
    <w:p w14:paraId="21540886">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07CD7E9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1</w:t>
      </w:r>
      <w:r>
        <w:rPr>
          <w:rFonts w:hint="eastAsia"/>
          <w:color w:val="auto"/>
          <w:lang w:val="en-US" w:eastAsia="zh-CN"/>
        </w:rPr>
        <w:t>.</w:t>
      </w:r>
      <w:r>
        <w:rPr>
          <w:rFonts w:hint="eastAsia"/>
          <w:color w:val="auto"/>
        </w:rPr>
        <w:t>总体目标：加强和改进非公有制经济人士思想政治工作，围绕民营经济发展开展调研活动，推动经贸交流与协作，参与民营经济调研、参展、招商等活动四次，组织非公有制经济党组织老党员、老模范、困难党员。代表维护会员的合法权益，协调和帮助民营企业解决实际困难和问题。为更好的保障该项目能够按照预期制定的目标实施，我单位购置办公设备2台，保障10名办公人员的工作经费及时支付，为促进非公有制经济人士健康成长，支持非公有制经济健康发展，维护非公经济合法权益，促进和谐劳动关系。</w:t>
      </w:r>
    </w:p>
    <w:p w14:paraId="6C4ED466">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highlight w:val="none"/>
        </w:rPr>
        <w:t>2</w:t>
      </w:r>
      <w:r>
        <w:rPr>
          <w:rFonts w:hint="eastAsia"/>
          <w:highlight w:val="none"/>
          <w:lang w:val="en-US" w:eastAsia="zh-CN"/>
        </w:rPr>
        <w:t>.</w:t>
      </w:r>
      <w:r>
        <w:rPr>
          <w:rFonts w:hint="eastAsia"/>
          <w:highlight w:val="none"/>
        </w:rPr>
        <w:t>阶段性目标：</w:t>
      </w:r>
      <w:r>
        <w:rPr>
          <w:rFonts w:hint="eastAsia"/>
          <w:highlight w:val="none"/>
          <w:lang w:eastAsia="zh-CN"/>
        </w:rPr>
        <w:t>（</w:t>
      </w:r>
      <w:r>
        <w:rPr>
          <w:rFonts w:hint="eastAsia"/>
          <w:lang w:val="en-US" w:eastAsia="zh-CN"/>
        </w:rPr>
        <w:t>1</w:t>
      </w:r>
      <w:r>
        <w:rPr>
          <w:rFonts w:hint="eastAsia"/>
          <w:lang w:eastAsia="zh-CN"/>
        </w:rPr>
        <w:t>）</w:t>
      </w:r>
      <w:r>
        <w:rPr>
          <w:rFonts w:hint="eastAsia"/>
          <w:lang w:val="en-US" w:eastAsia="zh-CN"/>
        </w:rPr>
        <w:t>2023年</w:t>
      </w:r>
      <w:r>
        <w:rPr>
          <w:rFonts w:hint="eastAsia"/>
          <w:lang w:eastAsia="zh-CN"/>
        </w:rPr>
        <w:t>参与民营经济调研、参展、招商等活动共</w:t>
      </w:r>
      <w:r>
        <w:rPr>
          <w:rFonts w:hint="eastAsia"/>
          <w:lang w:val="en-US" w:eastAsia="zh-CN"/>
        </w:rPr>
        <w:t>5次，</w:t>
      </w:r>
      <w:r>
        <w:rPr>
          <w:rFonts w:hint="eastAsia"/>
          <w:lang w:eastAsia="zh-CN"/>
        </w:rPr>
        <w:t>第二季度</w:t>
      </w:r>
      <w:r>
        <w:rPr>
          <w:rFonts w:hint="eastAsia"/>
          <w:lang w:val="en-US" w:eastAsia="zh-CN"/>
        </w:rPr>
        <w:t>2次，第三季度2次，第四季度1次。（2）2023年第四季度购买办公设备4台。</w:t>
      </w:r>
    </w:p>
    <w:p w14:paraId="062F2470">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5A262D26">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3782C4A5">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796BEABA">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通过绩效评价，客观地评判项目的管理绩效，了解和掌握非公有制经济组织教育调研及党建工作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14:paraId="71E9FCCE">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0525C2A7">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非公有制经济组织教育调研及党建工作</w:t>
      </w:r>
    </w:p>
    <w:p w14:paraId="3B5D7F21">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0261DDA4">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非公有制经济组织教育调研及党建工作评价，评价核心为资金的支出完成情况和效果。</w:t>
      </w:r>
    </w:p>
    <w:p w14:paraId="4DD906F7">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1C0D9F5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5A55802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A37CBB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Cs/>
          <w:color w:val="auto"/>
          <w:sz w:val="32"/>
          <w:szCs w:val="32"/>
          <w:lang w:eastAsia="zh-CN"/>
        </w:rPr>
      </w:pPr>
      <w:r>
        <w:rPr>
          <w:rFonts w:hint="eastAsia" w:ascii="仿宋_GB2312"/>
          <w:bCs/>
          <w:color w:val="auto"/>
          <w:sz w:val="32"/>
          <w:szCs w:val="32"/>
        </w:rPr>
        <w:t>（一）科学公正。本次项目支出绩效评价运用科学合理的方法，按照规范的程序，对项目绩效进行客观、公正的反映。</w:t>
      </w:r>
      <w:r>
        <w:rPr>
          <w:rFonts w:hint="eastAsia" w:ascii="仿宋_GB2312"/>
          <w:bCs/>
          <w:color w:val="auto"/>
          <w:sz w:val="32"/>
          <w:szCs w:val="32"/>
          <w:lang w:eastAsia="zh-CN"/>
        </w:rPr>
        <w:t>本次项目支出绩效使用定性和定量的指标对项目进行评价，确保评价方法的科学性，并依据项目实施前后的对比数据，来评估项目的实际影响。</w:t>
      </w:r>
    </w:p>
    <w:p w14:paraId="2682FF9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Cs/>
          <w:color w:val="auto"/>
          <w:sz w:val="32"/>
          <w:szCs w:val="32"/>
          <w:lang w:eastAsia="zh-CN"/>
        </w:rPr>
      </w:pPr>
      <w:r>
        <w:rPr>
          <w:rFonts w:hint="eastAsia" w:ascii="仿宋_GB2312"/>
          <w:bCs/>
          <w:color w:val="auto"/>
          <w:sz w:val="32"/>
          <w:szCs w:val="32"/>
        </w:rPr>
        <w:t>（二）统筹兼顾。本次项目支出绩效评价由本单位自主实施，即“谁支出、谁自评”</w:t>
      </w:r>
      <w:r>
        <w:rPr>
          <w:rFonts w:hint="eastAsia" w:ascii="仿宋_GB2312"/>
          <w:bCs/>
          <w:color w:val="auto"/>
          <w:sz w:val="32"/>
          <w:szCs w:val="32"/>
          <w:lang w:eastAsia="zh-CN"/>
        </w:rPr>
        <w:t>，在项目的各个阶段和方面，如规划、实施、监督和结果由本单位进行统筹，关注项目对资源利用效率、经济成本以及满意度等各个方面的影响。</w:t>
      </w:r>
    </w:p>
    <w:p w14:paraId="471A688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Cs/>
          <w:color w:val="auto"/>
          <w:sz w:val="32"/>
          <w:szCs w:val="32"/>
          <w:lang w:eastAsia="zh-CN"/>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r>
        <w:rPr>
          <w:rFonts w:hint="eastAsia" w:ascii="仿宋_GB2312"/>
          <w:bCs/>
          <w:color w:val="auto"/>
          <w:sz w:val="32"/>
          <w:szCs w:val="32"/>
          <w:lang w:eastAsia="zh-CN"/>
        </w:rPr>
        <w:t>根据计划标准、历史标准等明确项目成功的标准，并根据这些标准奖励或推荐改进措施，对于未达到预定目标的情况，提出具体的责任追究和整改建议。此外，将绩效评价结果与未来的项目资金分配和政策支持挂钩，以激发更好的项目执行效果。</w:t>
      </w:r>
    </w:p>
    <w:p w14:paraId="361067C2">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eastAsia="zh-CN"/>
        </w:rPr>
        <w:t>巴州人民政府</w:t>
      </w:r>
      <w:r>
        <w:rPr>
          <w:rFonts w:hint="eastAsia" w:ascii="仿宋_GB2312"/>
          <w:bCs/>
          <w:color w:val="auto"/>
          <w:sz w:val="32"/>
          <w:szCs w:val="32"/>
        </w:rPr>
        <w:t>网站上，并自觉接受社会监督。</w:t>
      </w:r>
    </w:p>
    <w:p w14:paraId="7BBF41C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0B1E2A02">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5B7523A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19AC2E61">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2FF6410">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0FF4F14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项目决策权重为20分，项目过程权重为20分，项目产出权重为40分，项目效益权重为20分。</w:t>
      </w:r>
    </w:p>
    <w:p w14:paraId="7ADC72E9">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2CF08E0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C0322E1">
      <w:pPr>
        <w:pStyle w:val="11"/>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E79A874">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lang w:val="en-US" w:eastAsia="zh-CN"/>
        </w:rPr>
      </w:pPr>
      <w:r>
        <w:rPr>
          <w:rFonts w:hint="eastAsia"/>
          <w:b w:val="0"/>
          <w:bCs w:val="0"/>
          <w:color w:val="auto"/>
          <w:spacing w:val="17"/>
          <w:lang w:val="en-US" w:eastAsia="zh-CN"/>
        </w:rPr>
        <w:t>具体评价指标体系详情见附件1。</w:t>
      </w:r>
    </w:p>
    <w:p w14:paraId="7892642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5C73BEC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34DF4C4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D50F8EC">
      <w:pPr>
        <w:pStyle w:val="11"/>
        <w:keepNext w:val="0"/>
        <w:keepLines w:val="0"/>
        <w:pageBreakBefore w:val="0"/>
        <w:widowControl/>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cs="Times New Roman"/>
          <w:b w:val="0"/>
          <w:bCs w:val="0"/>
          <w:color w:val="000000"/>
          <w:spacing w:val="17"/>
          <w:kern w:val="2"/>
          <w:sz w:val="32"/>
          <w:szCs w:val="32"/>
          <w:lang w:val="en-US" w:eastAsia="zh-CN" w:bidi="ar-SA"/>
        </w:rPr>
      </w:pPr>
      <w:r>
        <w:rPr>
          <w:rFonts w:ascii="Times New Roman" w:hAnsi="Times New Roman" w:eastAsia="仿宋_GB2312" w:cs="Times New Roman"/>
          <w:b w:val="0"/>
          <w:bCs w:val="0"/>
          <w:color w:val="000000"/>
          <w:spacing w:val="17"/>
          <w:kern w:val="2"/>
          <w:sz w:val="32"/>
          <w:szCs w:val="32"/>
          <w:lang w:val="en-US" w:eastAsia="zh-CN" w:bidi="ar-SA"/>
        </w:rPr>
        <w:t>因素分析法</w:t>
      </w:r>
    </w:p>
    <w:p w14:paraId="7CBF9217">
      <w:pPr>
        <w:pStyle w:val="11"/>
        <w:keepNext w:val="0"/>
        <w:keepLines w:val="0"/>
        <w:pageBreakBefore w:val="0"/>
        <w:widowControl/>
        <w:kinsoku/>
        <w:wordWrap/>
        <w:overflowPunct/>
        <w:topLinePunct w:val="0"/>
        <w:autoSpaceDE/>
        <w:autoSpaceDN/>
        <w:bidi w:val="0"/>
        <w:adjustRightInd/>
        <w:snapToGrid/>
        <w:spacing w:before="0" w:after="0" w:line="560" w:lineRule="exact"/>
        <w:jc w:val="left"/>
        <w:textAlignment w:val="auto"/>
        <w:rPr>
          <w:rFonts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 xml:space="preserve">   </w:t>
      </w:r>
      <w:r>
        <w:rPr>
          <w:rFonts w:ascii="Times New Roman" w:hAnsi="Times New Roman" w:eastAsia="仿宋_GB2312" w:cs="Times New Roman"/>
          <w:b w:val="0"/>
          <w:bCs w:val="0"/>
          <w:color w:val="000000"/>
          <w:spacing w:val="17"/>
          <w:kern w:val="2"/>
          <w:sz w:val="32"/>
          <w:szCs w:val="32"/>
          <w:lang w:val="en-US" w:eastAsia="zh-CN" w:bidi="ar-SA"/>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0BAD3F6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3AB632C6">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highlight w:val="none"/>
        </w:rPr>
      </w:pPr>
      <w:r>
        <w:rPr>
          <w:rFonts w:hint="eastAsia" w:eastAsia="仿宋_GB2312"/>
          <w:color w:val="000000"/>
          <w:spacing w:val="17"/>
          <w:sz w:val="32"/>
          <w:szCs w:val="32"/>
        </w:rPr>
        <w:t>绩效评价标准通常包括计划标准、行业标准、历史标准等，用于对绩效指标完成情况进行比较、分析、评价。</w:t>
      </w:r>
      <w:r>
        <w:rPr>
          <w:rFonts w:hint="eastAsia"/>
          <w:color w:val="000000"/>
          <w:spacing w:val="17"/>
          <w:sz w:val="32"/>
          <w:szCs w:val="32"/>
          <w:lang w:eastAsia="zh-CN"/>
        </w:rPr>
        <w:t>本</w:t>
      </w:r>
      <w:r>
        <w:rPr>
          <w:rFonts w:hint="eastAsia"/>
          <w:color w:val="000000"/>
          <w:spacing w:val="17"/>
          <w:sz w:val="32"/>
          <w:szCs w:val="32"/>
          <w:highlight w:val="none"/>
          <w:lang w:eastAsia="zh-CN"/>
        </w:rPr>
        <w:t>次评价主要采用了</w:t>
      </w:r>
      <w:r>
        <w:rPr>
          <w:rFonts w:hint="eastAsia"/>
          <w:color w:val="000000"/>
          <w:spacing w:val="17"/>
          <w:sz w:val="32"/>
          <w:szCs w:val="32"/>
          <w:highlight w:val="none"/>
          <w:lang w:val="en-US" w:eastAsia="zh-CN"/>
        </w:rPr>
        <w:t>计划标准和历史标准</w:t>
      </w:r>
      <w:r>
        <w:rPr>
          <w:rFonts w:hint="eastAsia"/>
          <w:color w:val="000000"/>
          <w:spacing w:val="17"/>
          <w:sz w:val="32"/>
          <w:szCs w:val="32"/>
          <w:highlight w:val="none"/>
          <w:lang w:eastAsia="zh-CN"/>
        </w:rPr>
        <w:t>。</w:t>
      </w:r>
    </w:p>
    <w:p w14:paraId="133D4A3F">
      <w:pPr>
        <w:pageBreakBefore w:val="0"/>
        <w:kinsoku/>
        <w:wordWrap/>
        <w:overflowPunct/>
        <w:topLinePunct w:val="0"/>
        <w:autoSpaceDE/>
        <w:autoSpaceDN/>
        <w:bidi w:val="0"/>
        <w:adjustRightInd/>
        <w:snapToGrid/>
        <w:spacing w:line="560" w:lineRule="exact"/>
        <w:ind w:firstLine="708" w:firstLineChars="200"/>
        <w:textAlignment w:val="auto"/>
        <w:rPr>
          <w:rFonts w:hint="eastAsia"/>
          <w:color w:val="000000"/>
          <w:spacing w:val="17"/>
          <w:sz w:val="32"/>
          <w:szCs w:val="32"/>
          <w:highlight w:val="none"/>
          <w:lang w:eastAsia="zh-CN"/>
        </w:rPr>
      </w:pPr>
      <w:r>
        <w:rPr>
          <w:rFonts w:hint="eastAsia"/>
          <w:color w:val="000000"/>
          <w:spacing w:val="17"/>
          <w:sz w:val="32"/>
          <w:szCs w:val="32"/>
          <w:lang w:eastAsia="zh-CN"/>
        </w:rPr>
        <w:t>由于计划标准能满足单位的需要，且符合国家的发展政策，计划标准也能够对提高经济效益和社会效益起到推动作用。历史标准是基于过去的实践和经验制定的，反映了过去一段时间内技术和管理的成熟度，还已经被证明是有效的，能够保持连续性和稳定性。因此本次评价主要采</w:t>
      </w:r>
      <w:r>
        <w:rPr>
          <w:rFonts w:hint="eastAsia"/>
          <w:color w:val="000000"/>
          <w:spacing w:val="17"/>
          <w:sz w:val="32"/>
          <w:szCs w:val="32"/>
          <w:highlight w:val="none"/>
          <w:lang w:eastAsia="zh-CN"/>
        </w:rPr>
        <w:t>用了</w:t>
      </w:r>
      <w:r>
        <w:rPr>
          <w:rFonts w:hint="eastAsia"/>
          <w:color w:val="000000"/>
          <w:spacing w:val="17"/>
          <w:sz w:val="32"/>
          <w:szCs w:val="32"/>
          <w:highlight w:val="none"/>
          <w:lang w:val="en-US" w:eastAsia="zh-CN"/>
        </w:rPr>
        <w:t>计划标准和历史标准</w:t>
      </w:r>
      <w:r>
        <w:rPr>
          <w:rFonts w:hint="eastAsia"/>
          <w:color w:val="000000"/>
          <w:spacing w:val="17"/>
          <w:sz w:val="32"/>
          <w:szCs w:val="32"/>
          <w:highlight w:val="none"/>
          <w:lang w:eastAsia="zh-CN"/>
        </w:rPr>
        <w:t>。</w:t>
      </w:r>
    </w:p>
    <w:p w14:paraId="2E89FD0A">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553046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lang w:eastAsia="zh-CN"/>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r>
        <w:rPr>
          <w:rFonts w:hint="eastAsia"/>
          <w:bCs/>
          <w:color w:val="auto"/>
          <w:sz w:val="32"/>
          <w:szCs w:val="32"/>
          <w:lang w:eastAsia="zh-CN"/>
        </w:rPr>
        <w:t>具体过程如下：</w:t>
      </w:r>
    </w:p>
    <w:p w14:paraId="342A2F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bCs/>
          <w:color w:val="auto"/>
          <w:sz w:val="32"/>
          <w:szCs w:val="32"/>
          <w:lang w:eastAsia="zh-CN"/>
        </w:rPr>
        <w:t>（</w:t>
      </w:r>
      <w:r>
        <w:rPr>
          <w:rFonts w:hint="eastAsia"/>
          <w:bCs/>
          <w:color w:val="auto"/>
          <w:sz w:val="32"/>
          <w:szCs w:val="32"/>
          <w:lang w:val="en-US" w:eastAsia="zh-CN"/>
        </w:rPr>
        <w:t>1</w:t>
      </w:r>
      <w:r>
        <w:rPr>
          <w:rFonts w:hint="eastAsia"/>
          <w:bCs/>
          <w:color w:val="auto"/>
          <w:sz w:val="32"/>
          <w:szCs w:val="32"/>
          <w:lang w:eastAsia="zh-CN"/>
        </w:rPr>
        <w:t>）</w:t>
      </w:r>
      <w:r>
        <w:rPr>
          <w:rFonts w:hint="eastAsia" w:eastAsia="仿宋_GB2312"/>
          <w:bCs/>
          <w:color w:val="auto"/>
          <w:sz w:val="32"/>
          <w:szCs w:val="32"/>
        </w:rPr>
        <w:t>成立评价工作组：在项目绩效评价开始前，首先成立由专业评价人员组成的评价工作组，明确各成员的职责和分工。工作组成立后，开展项目前期调研，深入了解项目的背景、目标、实施情况等关键信息。</w:t>
      </w:r>
    </w:p>
    <w:p w14:paraId="74A60A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bCs/>
          <w:color w:val="auto"/>
          <w:sz w:val="32"/>
          <w:szCs w:val="32"/>
          <w:lang w:eastAsia="zh-CN"/>
        </w:rPr>
        <w:t>（</w:t>
      </w:r>
      <w:r>
        <w:rPr>
          <w:rFonts w:hint="eastAsia"/>
          <w:bCs/>
          <w:color w:val="auto"/>
          <w:sz w:val="32"/>
          <w:szCs w:val="32"/>
          <w:lang w:val="en-US" w:eastAsia="zh-CN"/>
        </w:rPr>
        <w:t>2</w:t>
      </w:r>
      <w:r>
        <w:rPr>
          <w:rFonts w:hint="eastAsia"/>
          <w:bCs/>
          <w:color w:val="auto"/>
          <w:sz w:val="32"/>
          <w:szCs w:val="32"/>
          <w:lang w:eastAsia="zh-CN"/>
        </w:rPr>
        <w:t>）</w:t>
      </w:r>
      <w:r>
        <w:rPr>
          <w:rFonts w:hint="eastAsia" w:eastAsia="仿宋_GB2312"/>
          <w:bCs/>
          <w:color w:val="auto"/>
          <w:sz w:val="32"/>
          <w:szCs w:val="32"/>
        </w:rPr>
        <w:t>明确绩效目标：在前期调研的基础上，评价工作组与项目相关方共同明确项目的绩效目标，确保评价工作能够围绕项目的核心目标展开。</w:t>
      </w:r>
    </w:p>
    <w:p w14:paraId="30BD87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bCs/>
          <w:color w:val="auto"/>
          <w:sz w:val="32"/>
          <w:szCs w:val="32"/>
          <w:lang w:eastAsia="zh-CN"/>
        </w:rPr>
        <w:t>（</w:t>
      </w:r>
      <w:r>
        <w:rPr>
          <w:rFonts w:hint="eastAsia"/>
          <w:bCs/>
          <w:color w:val="auto"/>
          <w:sz w:val="32"/>
          <w:szCs w:val="32"/>
          <w:lang w:val="en-US" w:eastAsia="zh-CN"/>
        </w:rPr>
        <w:t>3</w:t>
      </w:r>
      <w:r>
        <w:rPr>
          <w:rFonts w:hint="eastAsia"/>
          <w:bCs/>
          <w:color w:val="auto"/>
          <w:sz w:val="32"/>
          <w:szCs w:val="32"/>
          <w:lang w:eastAsia="zh-CN"/>
        </w:rPr>
        <w:t>）</w:t>
      </w:r>
      <w:r>
        <w:rPr>
          <w:rFonts w:hint="eastAsia" w:eastAsia="仿宋_GB2312"/>
          <w:bCs/>
          <w:color w:val="auto"/>
          <w:sz w:val="32"/>
          <w:szCs w:val="32"/>
        </w:rPr>
        <w:t>设计绩效评价指标体系：根据项目的特点和绩效目标，设计一套科学、合理、可操作的绩效评价指标体系</w:t>
      </w:r>
      <w:r>
        <w:rPr>
          <w:rFonts w:hint="eastAsia"/>
          <w:bCs/>
          <w:color w:val="auto"/>
          <w:sz w:val="32"/>
          <w:szCs w:val="32"/>
          <w:lang w:eastAsia="zh-CN"/>
        </w:rPr>
        <w:t>，使</w:t>
      </w:r>
      <w:r>
        <w:rPr>
          <w:rFonts w:hint="eastAsia" w:eastAsia="仿宋_GB2312"/>
          <w:bCs/>
          <w:color w:val="auto"/>
          <w:sz w:val="32"/>
          <w:szCs w:val="32"/>
        </w:rPr>
        <w:t>这些指标能够全面、客观地反映项目的实施效果和效益。</w:t>
      </w:r>
    </w:p>
    <w:p w14:paraId="2CC371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bCs/>
          <w:color w:val="auto"/>
          <w:sz w:val="32"/>
          <w:szCs w:val="32"/>
          <w:lang w:eastAsia="zh-CN"/>
        </w:rPr>
        <w:t>（</w:t>
      </w:r>
      <w:r>
        <w:rPr>
          <w:rFonts w:hint="eastAsia"/>
          <w:bCs/>
          <w:color w:val="auto"/>
          <w:sz w:val="32"/>
          <w:szCs w:val="32"/>
          <w:lang w:val="en-US" w:eastAsia="zh-CN"/>
        </w:rPr>
        <w:t>4</w:t>
      </w:r>
      <w:r>
        <w:rPr>
          <w:rFonts w:hint="eastAsia"/>
          <w:bCs/>
          <w:color w:val="auto"/>
          <w:sz w:val="32"/>
          <w:szCs w:val="32"/>
          <w:lang w:eastAsia="zh-CN"/>
        </w:rPr>
        <w:t>）</w:t>
      </w:r>
      <w:r>
        <w:rPr>
          <w:rFonts w:hint="eastAsia" w:eastAsia="仿宋_GB2312"/>
          <w:bCs/>
          <w:color w:val="auto"/>
          <w:sz w:val="32"/>
          <w:szCs w:val="32"/>
        </w:rPr>
        <w:t>确定绩效评价方法：根据绩效评价指标体系，确定定量评价、定性评价</w:t>
      </w:r>
      <w:r>
        <w:rPr>
          <w:rFonts w:hint="eastAsia"/>
          <w:bCs/>
          <w:color w:val="auto"/>
          <w:sz w:val="32"/>
          <w:szCs w:val="32"/>
          <w:lang w:eastAsia="zh-CN"/>
        </w:rPr>
        <w:t>等绩效评价方法</w:t>
      </w:r>
      <w:r>
        <w:rPr>
          <w:rFonts w:hint="eastAsia" w:eastAsia="仿宋_GB2312"/>
          <w:bCs/>
          <w:color w:val="auto"/>
          <w:sz w:val="32"/>
          <w:szCs w:val="32"/>
        </w:rPr>
        <w:t>，以确保评价结果的准确性和可靠性。</w:t>
      </w:r>
    </w:p>
    <w:p w14:paraId="591AD3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bCs/>
          <w:color w:val="auto"/>
          <w:sz w:val="32"/>
          <w:szCs w:val="32"/>
          <w:lang w:eastAsia="zh-CN"/>
        </w:rPr>
        <w:t>（</w:t>
      </w:r>
      <w:r>
        <w:rPr>
          <w:rFonts w:hint="eastAsia"/>
          <w:bCs/>
          <w:color w:val="auto"/>
          <w:sz w:val="32"/>
          <w:szCs w:val="32"/>
          <w:lang w:val="en-US" w:eastAsia="zh-CN"/>
        </w:rPr>
        <w:t>5</w:t>
      </w:r>
      <w:r>
        <w:rPr>
          <w:rFonts w:hint="eastAsia"/>
          <w:bCs/>
          <w:color w:val="auto"/>
          <w:sz w:val="32"/>
          <w:szCs w:val="32"/>
          <w:lang w:eastAsia="zh-CN"/>
        </w:rPr>
        <w:t>）</w:t>
      </w:r>
      <w:r>
        <w:rPr>
          <w:rFonts w:hint="eastAsia" w:eastAsia="仿宋_GB2312"/>
          <w:bCs/>
          <w:color w:val="auto"/>
          <w:sz w:val="32"/>
          <w:szCs w:val="32"/>
        </w:rPr>
        <w:t>设计资料清单：根据项目特点和评价需要，设计一份详细的资料清单，明确需要收集的项目相关资料，以便后续评价工作的顺利开展。</w:t>
      </w:r>
    </w:p>
    <w:p w14:paraId="292D37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bCs/>
          <w:color w:val="auto"/>
          <w:sz w:val="32"/>
          <w:szCs w:val="32"/>
          <w:lang w:eastAsia="zh-CN"/>
        </w:rPr>
        <w:t>（</w:t>
      </w:r>
      <w:r>
        <w:rPr>
          <w:rFonts w:hint="eastAsia"/>
          <w:bCs/>
          <w:color w:val="auto"/>
          <w:sz w:val="32"/>
          <w:szCs w:val="32"/>
          <w:lang w:val="en-US" w:eastAsia="zh-CN"/>
        </w:rPr>
        <w:t>6</w:t>
      </w:r>
      <w:r>
        <w:rPr>
          <w:rFonts w:hint="eastAsia"/>
          <w:bCs/>
          <w:color w:val="auto"/>
          <w:sz w:val="32"/>
          <w:szCs w:val="32"/>
          <w:lang w:eastAsia="zh-CN"/>
        </w:rPr>
        <w:t>）</w:t>
      </w:r>
      <w:r>
        <w:rPr>
          <w:rFonts w:hint="eastAsia" w:eastAsia="仿宋_GB2312"/>
          <w:bCs/>
          <w:color w:val="auto"/>
          <w:sz w:val="32"/>
          <w:szCs w:val="32"/>
        </w:rPr>
        <w:t>制定评价实施方案：在以上工作的基础上，制定详细的评价实施方案，包括评价工作的目标、任务、时间安排、人员分工等，并进行充分论证，确保实施方案的科学性和可行性。</w:t>
      </w:r>
    </w:p>
    <w:p w14:paraId="76C825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bCs/>
          <w:color w:val="auto"/>
          <w:sz w:val="32"/>
          <w:szCs w:val="32"/>
          <w:lang w:eastAsia="zh-CN"/>
        </w:rPr>
        <w:t>具体过程如下：</w:t>
      </w:r>
    </w:p>
    <w:p w14:paraId="7B9DB6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1</w:t>
      </w:r>
      <w:r>
        <w:rPr>
          <w:rFonts w:hint="eastAsia"/>
          <w:bCs/>
          <w:color w:val="auto"/>
          <w:sz w:val="32"/>
          <w:szCs w:val="32"/>
          <w:lang w:eastAsia="zh-CN"/>
        </w:rPr>
        <w:t>）制定绩效评价工作方案：在前期准备阶段的基础上，制定详细的绩效评价工作方案。方案明确了项目概况、评价思路、方法手段、组织实施、进度安排等内容，为评价工作的具体实施提供指导。</w:t>
      </w:r>
    </w:p>
    <w:p w14:paraId="78EA3A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2</w:t>
      </w:r>
      <w:r>
        <w:rPr>
          <w:rFonts w:hint="eastAsia"/>
          <w:bCs/>
          <w:color w:val="auto"/>
          <w:sz w:val="32"/>
          <w:szCs w:val="32"/>
          <w:lang w:eastAsia="zh-CN"/>
        </w:rPr>
        <w:t>）收集评价资料：按照资料清单的要求，收集项目立项依据、相关会议纪要、实施方案、财政资金分配方案、支付管理情况等相关评价资料，并进行认真梳理和核实，确保评价资料的完整性和准确性。</w:t>
      </w:r>
    </w:p>
    <w:p w14:paraId="66073B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3</w:t>
      </w:r>
      <w:r>
        <w:rPr>
          <w:rFonts w:hint="eastAsia"/>
          <w:bCs/>
          <w:color w:val="auto"/>
          <w:sz w:val="32"/>
          <w:szCs w:val="32"/>
          <w:lang w:eastAsia="zh-CN"/>
        </w:rPr>
        <w:t>）组织现场评价：根据项目特点和评价需要，组织现场评价活动，深入项目现场了解项目实施情况，与项目相关方进行沟通交流，获取第一手评价资料。</w:t>
      </w:r>
    </w:p>
    <w:p w14:paraId="4B7403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4</w:t>
      </w:r>
      <w:r>
        <w:rPr>
          <w:rFonts w:hint="eastAsia"/>
          <w:bCs/>
          <w:color w:val="auto"/>
          <w:sz w:val="32"/>
          <w:szCs w:val="32"/>
          <w:lang w:eastAsia="zh-CN"/>
        </w:rPr>
        <w:t>）开展非现场评价：在收集资料的基础上，利用问卷调查等手段开展非现场评价活动，对项目的绩效进行全面、客观的分析和评价。</w:t>
      </w:r>
    </w:p>
    <w:p w14:paraId="10CCEB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r>
        <w:rPr>
          <w:rFonts w:hint="eastAsia"/>
          <w:bCs/>
          <w:color w:val="auto"/>
          <w:sz w:val="32"/>
          <w:szCs w:val="32"/>
          <w:lang w:eastAsia="zh-CN"/>
        </w:rPr>
        <w:t>具体过程如下：</w:t>
      </w:r>
    </w:p>
    <w:p w14:paraId="08A0CD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1</w:t>
      </w:r>
      <w:r>
        <w:rPr>
          <w:rFonts w:hint="eastAsia"/>
          <w:bCs/>
          <w:color w:val="auto"/>
          <w:sz w:val="32"/>
          <w:szCs w:val="32"/>
          <w:lang w:eastAsia="zh-CN"/>
        </w:rPr>
        <w:t>）全面分析评价：根据收集梳理的资料和现场评价、非现场评价的结果，围绕项目立项、资金落实、业务管理、财务管理、项目产出、项目效益等内容进行全面、深入的分析评价。</w:t>
      </w:r>
    </w:p>
    <w:p w14:paraId="3E5E04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2</w:t>
      </w:r>
      <w:r>
        <w:rPr>
          <w:rFonts w:hint="eastAsia"/>
          <w:bCs/>
          <w:color w:val="auto"/>
          <w:sz w:val="32"/>
          <w:szCs w:val="32"/>
          <w:lang w:eastAsia="zh-CN"/>
        </w:rPr>
        <w:t>）对照指标打分：将分析评价的结果与已确定的绩效评价指标进行对照，逐项打分，确保评价结果的客观性和公正性。</w:t>
      </w:r>
    </w:p>
    <w:p w14:paraId="28C089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3</w:t>
      </w:r>
      <w:r>
        <w:rPr>
          <w:rFonts w:hint="eastAsia"/>
          <w:bCs/>
          <w:color w:val="auto"/>
          <w:sz w:val="32"/>
          <w:szCs w:val="32"/>
          <w:lang w:eastAsia="zh-CN"/>
        </w:rPr>
        <w:t>）形成最终评价结果：在全面分析评价的基础上，形成项目的绩效评价最终结果。该结果应明确反映项目的实施效果和效益，并提出针对性的改进建议，为项目的后续管理和决策提供有力支持。</w:t>
      </w:r>
    </w:p>
    <w:p w14:paraId="27AC75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eastAsia="zh-CN"/>
        </w:rPr>
      </w:pPr>
      <w:r>
        <w:rPr>
          <w:rFonts w:hint="eastAsia"/>
          <w:bCs/>
          <w:color w:val="auto"/>
          <w:sz w:val="32"/>
          <w:szCs w:val="32"/>
          <w:lang w:eastAsia="zh-CN"/>
        </w:rPr>
        <w:t>（</w:t>
      </w:r>
      <w:r>
        <w:rPr>
          <w:rFonts w:hint="eastAsia"/>
          <w:bCs/>
          <w:color w:val="auto"/>
          <w:sz w:val="32"/>
          <w:szCs w:val="32"/>
          <w:lang w:val="en-US" w:eastAsia="zh-CN"/>
        </w:rPr>
        <w:t>4</w:t>
      </w:r>
      <w:r>
        <w:rPr>
          <w:rFonts w:hint="eastAsia"/>
          <w:bCs/>
          <w:color w:val="auto"/>
          <w:sz w:val="32"/>
          <w:szCs w:val="32"/>
          <w:lang w:eastAsia="zh-CN"/>
        </w:rPr>
        <w:t>）撰写评价报告：将评价工作的过程、方法、结果和建议等形成书面报告，评价报告准确、清晰地反映评价工作的全貌和成果，为项目的持续改进和提升提供有价值的参考。</w:t>
      </w:r>
    </w:p>
    <w:p w14:paraId="1239D566">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7CBC3494">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6C495237">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A61864B">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color w:val="auto"/>
          <w:lang w:eastAsia="zh-CN"/>
        </w:rPr>
        <w:t>因素分析法</w:t>
      </w:r>
      <w:r>
        <w:rPr>
          <w:rFonts w:hint="eastAsia"/>
          <w:color w:val="auto"/>
        </w:rPr>
        <w:t>，坚持</w:t>
      </w:r>
      <w:r>
        <w:rPr>
          <w:rFonts w:hint="eastAsia"/>
          <w:color w:val="auto"/>
          <w:lang w:eastAsia="zh-CN"/>
        </w:rPr>
        <w:t>计划标准和历史标准</w:t>
      </w:r>
      <w:r>
        <w:rPr>
          <w:rFonts w:hint="eastAsia"/>
          <w:color w:val="auto"/>
        </w:rPr>
        <w:t>对本项目的立项、绩效目标、资金投入、资金管理、组织实施、产出数量、产出质量、产出时效、产出成本、项目效益进行了综合评价。</w:t>
      </w:r>
    </w:p>
    <w:p w14:paraId="30B3816E">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2395D439">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w:t>
      </w:r>
      <w:r>
        <w:rPr>
          <w:rFonts w:hint="eastAsia" w:ascii="Times New Roman" w:hAnsi="Times New Roman" w:eastAsia="仿宋_GB2312"/>
          <w:b w:val="0"/>
          <w:bCs w:val="0"/>
          <w:highlight w:val="none"/>
        </w:rPr>
        <w:t>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98</w:t>
      </w:r>
      <w:r>
        <w:rPr>
          <w:rFonts w:hint="eastAsia" w:ascii="Times New Roman" w:hAnsi="Times New Roman" w:eastAsia="仿宋_GB2312"/>
          <w:b w:val="0"/>
          <w:bCs w:val="0"/>
          <w:color w:val="auto"/>
          <w:highlight w:val="none"/>
        </w:rPr>
        <w:t xml:space="preserve">分，属于“优”。其中，项目决策类指标权重为20分，得分为 </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38</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95</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14:paraId="583C27BA">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15F4EF09">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28D9721">
      <w:pPr>
        <w:pageBreakBefore w:val="0"/>
        <w:kinsoku/>
        <w:wordWrap/>
        <w:overflowPunct/>
        <w:topLinePunct w:val="0"/>
        <w:autoSpaceDE/>
        <w:autoSpaceDN/>
        <w:bidi w:val="0"/>
        <w:adjustRightInd/>
        <w:snapToGrid/>
        <w:spacing w:line="560" w:lineRule="exact"/>
        <w:ind w:firstLine="600" w:firstLineChars="200"/>
        <w:jc w:val="center"/>
        <w:textAlignment w:val="auto"/>
        <w:rPr>
          <w:b w:val="0"/>
          <w:bCs w:val="0"/>
          <w:color w:val="auto"/>
        </w:rPr>
      </w:pPr>
      <w:r>
        <w:rPr>
          <w:rFonts w:hint="eastAsia"/>
          <w:b w:val="0"/>
          <w:bCs w:val="0"/>
          <w:color w:val="auto"/>
          <w:lang w:val="en-US" w:eastAsia="zh-CN"/>
        </w:rPr>
        <w:t>非公有制经济组织教育调研及党建工作</w:t>
      </w:r>
      <w:r>
        <w:rPr>
          <w:rFonts w:hint="eastAsia"/>
          <w:b w:val="0"/>
          <w:bCs w:val="0"/>
          <w:color w:val="auto"/>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75EC2EA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D18570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1942C73">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C703842">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2F63A5D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B66D3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46195F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A2349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FEFEC2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C8A508">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AADBD8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D451C87">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5661D04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FAE34CC">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AC598A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4C3D95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38</w:t>
            </w:r>
          </w:p>
        </w:tc>
      </w:tr>
      <w:tr w14:paraId="6A4FCED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3231A3">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A5267E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FD9385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3D1137A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8431B4">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B911A4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750C99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98</w:t>
            </w:r>
          </w:p>
        </w:tc>
      </w:tr>
    </w:tbl>
    <w:p w14:paraId="0896FC69">
      <w:pPr>
        <w:pStyle w:val="11"/>
        <w:pageBreakBefore w:val="0"/>
        <w:kinsoku/>
        <w:wordWrap/>
        <w:overflowPunct/>
        <w:topLinePunct w:val="0"/>
        <w:autoSpaceDE/>
        <w:autoSpaceDN/>
        <w:bidi w:val="0"/>
        <w:adjustRightInd/>
        <w:snapToGrid/>
        <w:spacing w:before="0" w:after="0" w:line="560" w:lineRule="exact"/>
        <w:ind w:firstLine="640" w:firstLineChars="200"/>
        <w:textAlignment w:val="auto"/>
      </w:pPr>
    </w:p>
    <w:p w14:paraId="4EA5D99C">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4D4E314E">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53EE9E2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259EAA2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CN"/>
        </w:rPr>
        <w:t>本</w:t>
      </w:r>
      <w:r>
        <w:rPr>
          <w:rFonts w:hint="eastAsia"/>
          <w:color w:val="auto"/>
        </w:rPr>
        <w:t>项目立项依据《自治区党委、自治区人民政府贯彻落实＜中共中央、国务院关于加强和改进新形势下工商联工作的意见＞的实施意见》（新党发[2011]26号)；《中共巴音郭楞蒙古自治州委员会、巴音郭楞蒙古自治州人民政府关于加强和改进新形势下工商联工作的实施意见》（巴党发[2013]3号）；《关于转发＜中共中央组织部 财政部 国家税务总局关于非公有制企业党组织工作经费问题的通知＞的通知》（新党组通字[2015]21号）；《中共巴音郭楞蒙古自治州委员会、巴音郭楞蒙古自治州人民政府关于大力推动非公有制经济加快发展的实施意见》（巴党发[2016]7号）</w:t>
      </w:r>
      <w:r>
        <w:rPr>
          <w:rFonts w:hint="eastAsia"/>
          <w:color w:val="auto"/>
          <w:lang w:eastAsia="zh-CN"/>
        </w:rPr>
        <w:t>等文件规定，</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属于公共财政支持范围，符合中央、地方事权支出责任划分原则</w:t>
      </w:r>
      <w:r>
        <w:rPr>
          <w:rFonts w:hint="eastAsia"/>
          <w:color w:val="auto"/>
          <w:lang w:eastAsia="zh-CN"/>
        </w:rPr>
        <w:t>，</w:t>
      </w:r>
      <w:r>
        <w:rPr>
          <w:rFonts w:hint="eastAsia"/>
          <w:color w:val="auto"/>
          <w:lang w:val="en-US" w:eastAsia="zh-CN"/>
        </w:rPr>
        <w:t>本项目与部门内部其他相关项目不重复。</w:t>
      </w:r>
    </w:p>
    <w:p w14:paraId="692ED24B">
      <w:pPr>
        <w:pStyle w:val="11"/>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727A9D5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594CBD56">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项目申请、设立过程符合相关要求，</w:t>
      </w:r>
      <w:r>
        <w:rPr>
          <w:rFonts w:hint="eastAsia" w:ascii="仿宋_GB2312" w:hAnsi="仿宋_GB2312" w:eastAsia="仿宋_GB2312" w:cs="仿宋_GB2312"/>
          <w:b w:val="0"/>
          <w:bCs w:val="0"/>
          <w:color w:val="auto"/>
          <w:sz w:val="32"/>
          <w:szCs w:val="32"/>
          <w:lang w:val="en-US" w:eastAsia="zh-Hans"/>
        </w:rPr>
        <w:t>严格按照审批流程准备符合要求的文件、材料；</w:t>
      </w:r>
      <w:r>
        <w:rPr>
          <w:rFonts w:hint="eastAsia" w:ascii="仿宋_GB2312" w:hAnsi="仿宋_GB2312" w:eastAsia="仿宋_GB2312" w:cs="仿宋_GB2312"/>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1CE0617">
      <w:pPr>
        <w:pStyle w:val="11"/>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01E32E9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1E6530C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非公有制经济组织教育调研及党建工作项目设立了项目绩效目标，与民营经济调研、参展、招商等活动具有相关性，项目的预期产出效益和效果也均能符合正常的业绩水平，并且与预算确定的项目投资额或资金量相匹配。</w:t>
      </w:r>
    </w:p>
    <w:p w14:paraId="0E48F436">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7C4097B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21E3160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rPr>
        <w:t>非公有制经济组织教育调研及党建工作项目将项目绩效目标细化分解为具体的绩效指标，一级指标共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16</w:t>
      </w:r>
      <w:r>
        <w:rPr>
          <w:rFonts w:hint="eastAsia"/>
          <w:color w:val="auto"/>
        </w:rPr>
        <w:t>条，其中量化指标条数共</w:t>
      </w:r>
      <w:r>
        <w:rPr>
          <w:rFonts w:hint="eastAsia"/>
          <w:color w:val="auto"/>
          <w:lang w:val="en-US" w:eastAsia="zh-CN"/>
        </w:rPr>
        <w:t>16</w:t>
      </w:r>
      <w:r>
        <w:rPr>
          <w:rFonts w:hint="eastAsia"/>
          <w:color w:val="auto"/>
        </w:rPr>
        <w:t>条，所有绩效指标均通过清晰、可衡量的指标值予以体现，并且做到了与项目目标任务数或计划数相对应。</w:t>
      </w:r>
      <w:bookmarkEnd w:id="12"/>
    </w:p>
    <w:p w14:paraId="72E4CF52">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4D12AD7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2AD0904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预算编制经过科学论证</w:t>
      </w:r>
      <w:r>
        <w:rPr>
          <w:rFonts w:hint="eastAsia"/>
          <w:color w:val="auto"/>
          <w:lang w:eastAsia="zh-CN"/>
        </w:rPr>
        <w:t>，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w:t>
      </w:r>
      <w:r>
        <w:rPr>
          <w:rFonts w:hint="eastAsia"/>
          <w:color w:val="auto"/>
        </w:rPr>
        <w:t>预算内容与项目内容</w:t>
      </w:r>
      <w:r>
        <w:rPr>
          <w:rFonts w:hint="eastAsia"/>
          <w:color w:val="auto"/>
          <w:lang w:eastAsia="zh-CN"/>
        </w:rPr>
        <w:t>相</w:t>
      </w:r>
      <w:r>
        <w:rPr>
          <w:rFonts w:hint="eastAsia"/>
          <w:color w:val="auto"/>
        </w:rPr>
        <w:t>匹配</w:t>
      </w:r>
      <w:r>
        <w:rPr>
          <w:rFonts w:hint="eastAsia"/>
          <w:color w:val="auto"/>
          <w:lang w:eastAsia="zh-CN"/>
        </w:rPr>
        <w:t>，</w:t>
      </w:r>
      <w:r>
        <w:rPr>
          <w:rFonts w:hint="eastAsia"/>
          <w:color w:val="auto"/>
        </w:rPr>
        <w:t>预算额度测算依据充分，按照标准编制</w:t>
      </w:r>
      <w:r>
        <w:rPr>
          <w:rFonts w:hint="eastAsia"/>
          <w:color w:val="auto"/>
          <w:lang w:eastAsia="zh-CN"/>
        </w:rPr>
        <w:t>，</w:t>
      </w:r>
      <w:r>
        <w:rPr>
          <w:rFonts w:hint="eastAsia"/>
          <w:color w:val="auto"/>
        </w:rPr>
        <w:t>预算确定的项目投资额与工作任务相匹配。</w:t>
      </w:r>
    </w:p>
    <w:p w14:paraId="77A74BCE">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1C0CF13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43521C6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预算资金分配依据充分</w:t>
      </w:r>
      <w:r>
        <w:rPr>
          <w:rFonts w:hint="eastAsia"/>
          <w:color w:val="auto"/>
          <w:lang w:eastAsia="zh-CN"/>
        </w:rPr>
        <w:t>，</w:t>
      </w:r>
      <w:r>
        <w:rPr>
          <w:rFonts w:hint="eastAsia"/>
          <w:color w:val="auto"/>
        </w:rPr>
        <w:t>资金分配额度合理，与项目单位相适应。</w:t>
      </w:r>
      <w:r>
        <w:rPr>
          <w:rFonts w:hint="eastAsia"/>
          <w:color w:val="auto"/>
          <w:lang w:eastAsia="zh-CN"/>
        </w:rPr>
        <w:t>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14:paraId="66CCA7AD">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17B173CE">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61C8DFE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21074B8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预算资金</w:t>
      </w:r>
      <w:r>
        <w:rPr>
          <w:rFonts w:hint="eastAsia"/>
          <w:color w:val="auto"/>
          <w:lang w:val="en-US" w:eastAsia="zh-CN"/>
        </w:rPr>
        <w:t>14.5</w:t>
      </w:r>
      <w:r>
        <w:rPr>
          <w:rFonts w:hint="eastAsia"/>
          <w:color w:val="auto"/>
        </w:rPr>
        <w:t>万元，实际到位资金</w:t>
      </w:r>
      <w:r>
        <w:rPr>
          <w:rFonts w:hint="eastAsia"/>
          <w:color w:val="auto"/>
          <w:lang w:val="en-US" w:eastAsia="zh-CN"/>
        </w:rPr>
        <w:t>14.5</w:t>
      </w:r>
      <w:r>
        <w:rPr>
          <w:rFonts w:hint="eastAsia"/>
          <w:color w:val="auto"/>
        </w:rPr>
        <w:t>万元，资金到位率</w:t>
      </w:r>
      <w:r>
        <w:rPr>
          <w:rFonts w:hint="eastAsia"/>
          <w:color w:val="auto"/>
          <w:lang w:val="en-US" w:eastAsia="zh-CN"/>
        </w:rPr>
        <w:t>100</w:t>
      </w:r>
      <w:r>
        <w:rPr>
          <w:rFonts w:hint="eastAsia"/>
          <w:color w:val="auto"/>
        </w:rPr>
        <w:t>%。</w:t>
      </w:r>
    </w:p>
    <w:p w14:paraId="7C31ABA2">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1A3FD88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07C874AB">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14.5</w:t>
      </w:r>
      <w:r>
        <w:rPr>
          <w:rFonts w:hint="eastAsia"/>
          <w:color w:val="auto"/>
        </w:rPr>
        <w:t>万元，全年预算数</w:t>
      </w:r>
      <w:r>
        <w:rPr>
          <w:rFonts w:hint="eastAsia"/>
          <w:color w:val="auto"/>
          <w:lang w:val="en-US" w:eastAsia="zh-CN"/>
        </w:rPr>
        <w:t>14.5</w:t>
      </w:r>
      <w:r>
        <w:rPr>
          <w:rFonts w:hint="eastAsia"/>
          <w:color w:val="auto"/>
        </w:rPr>
        <w:t>万元，全年执行数</w:t>
      </w:r>
      <w:r>
        <w:rPr>
          <w:rFonts w:hint="eastAsia"/>
          <w:color w:val="auto"/>
          <w:lang w:val="en-US" w:eastAsia="zh-CN"/>
        </w:rPr>
        <w:t>14.5</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14:paraId="16551FEA">
      <w:pPr>
        <w:pStyle w:val="11"/>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26BEFEA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217191FE">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b w:val="0"/>
          <w:bCs w:val="0"/>
          <w:color w:val="auto"/>
          <w:sz w:val="32"/>
          <w:szCs w:val="32"/>
          <w:lang w:val="en-US" w:eastAsia="zh-CN"/>
        </w:rPr>
        <w:t>项目严格按照预期绩效目标执行预算资金。根据《行政单位财务规则》和《事业单位财务规则》制定了《巴州工商业联合会预算管理内部控制制度》和《巴州工商联收支管理内部控制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不存在截留、挤占、挪用、虚列支出等情况。</w:t>
      </w:r>
    </w:p>
    <w:p w14:paraId="5F26D0D8">
      <w:pPr>
        <w:pStyle w:val="11"/>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5A95206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0D7996BC">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根据《巴州工商业联合会预算管理内部控制制度》和《巴州工商联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5C5BDEC">
      <w:pPr>
        <w:pStyle w:val="11"/>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78BA3E9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708ED8E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eastAsia="zh-CN"/>
        </w:rPr>
        <w:t>项目</w:t>
      </w:r>
      <w:r>
        <w:rPr>
          <w:rFonts w:hint="eastAsia"/>
          <w:color w:val="auto"/>
        </w:rPr>
        <w:t>遵守</w:t>
      </w:r>
      <w:r>
        <w:rPr>
          <w:rFonts w:hint="eastAsia"/>
          <w:color w:val="auto"/>
          <w:lang w:eastAsia="zh-CN"/>
        </w:rPr>
        <w:t>了《行政事业单位内部控制规范(试行) 》以及《政府会计制度》等</w:t>
      </w:r>
      <w:r>
        <w:rPr>
          <w:rFonts w:hint="eastAsia"/>
          <w:color w:val="auto"/>
        </w:rPr>
        <w:t>相关法律法规和相关管理规定</w:t>
      </w:r>
      <w:r>
        <w:rPr>
          <w:rFonts w:hint="eastAsia"/>
          <w:color w:val="auto"/>
          <w:lang w:eastAsia="zh-CN"/>
        </w:rPr>
        <w:t>，严格执行本单位的内控制度，做到</w:t>
      </w:r>
      <w:r>
        <w:rPr>
          <w:rFonts w:hint="eastAsia"/>
          <w:color w:val="auto"/>
        </w:rPr>
        <w:t>项目调整及支出调整手续完备</w:t>
      </w:r>
      <w:r>
        <w:rPr>
          <w:rFonts w:hint="eastAsia"/>
          <w:color w:val="auto"/>
          <w:lang w:eastAsia="zh-CN"/>
        </w:rPr>
        <w:t>，</w:t>
      </w:r>
      <w:r>
        <w:rPr>
          <w:rFonts w:hint="eastAsia"/>
          <w:color w:val="auto"/>
          <w:lang w:val="en-US" w:eastAsia="zh-CN"/>
        </w:rPr>
        <w:t>项目管理、实施人员落实到位，有效按照计划执行。项目执行情况等资料齐全，项目相关手续完备，及时进行归档。</w:t>
      </w:r>
    </w:p>
    <w:p w14:paraId="6E874A83">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334960F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w:t>
      </w:r>
      <w:r>
        <w:rPr>
          <w:rFonts w:hint="eastAsia" w:ascii="仿宋_GB2312" w:eastAsia="仿宋_GB2312"/>
          <w:b w:val="0"/>
          <w:bCs w:val="0"/>
          <w:highlight w:val="none"/>
        </w:rPr>
        <w:t>产出情况。</w:t>
      </w:r>
      <w:bookmarkEnd w:id="14"/>
    </w:p>
    <w:p w14:paraId="791491F5">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w:t>
      </w:r>
    </w:p>
    <w:p w14:paraId="101010C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指标1：参与民营经济调研、参展、招商等活动次数，指标值：&gt;=4次，实际完成值</w:t>
      </w:r>
      <w:r>
        <w:rPr>
          <w:rFonts w:hint="eastAsia"/>
          <w:color w:val="auto"/>
          <w:lang w:eastAsia="zh-CN"/>
        </w:rPr>
        <w:t>：</w:t>
      </w:r>
      <w:r>
        <w:rPr>
          <w:rFonts w:hint="eastAsia"/>
          <w:color w:val="auto"/>
        </w:rPr>
        <w:t>=5次，指标完成率</w:t>
      </w:r>
      <w:r>
        <w:rPr>
          <w:rFonts w:hint="eastAsia"/>
          <w:color w:val="auto"/>
          <w:lang w:val="en-US" w:eastAsia="zh-CN"/>
        </w:rPr>
        <w:t>125</w:t>
      </w:r>
      <w:r>
        <w:rPr>
          <w:rFonts w:hint="eastAsia"/>
          <w:color w:val="auto"/>
        </w:rPr>
        <w:t>%，偏差原因：根据州党委政府高质量发展要求，我单位加大了招商引资的力度。</w:t>
      </w:r>
    </w:p>
    <w:p w14:paraId="760D4D3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2</w:t>
      </w:r>
      <w:r>
        <w:rPr>
          <w:rFonts w:hint="eastAsia"/>
          <w:color w:val="auto"/>
        </w:rPr>
        <w:t>：购置办公设备数量，指标值：&gt;=</w:t>
      </w:r>
      <w:r>
        <w:rPr>
          <w:rFonts w:hint="eastAsia"/>
          <w:color w:val="auto"/>
          <w:lang w:val="en-US" w:eastAsia="zh-CN"/>
        </w:rPr>
        <w:t>2台</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4台</w:t>
      </w:r>
      <w:r>
        <w:rPr>
          <w:rFonts w:hint="eastAsia"/>
          <w:color w:val="auto"/>
        </w:rPr>
        <w:t>，指标完成率</w:t>
      </w:r>
      <w:r>
        <w:rPr>
          <w:rFonts w:hint="eastAsia"/>
          <w:color w:val="auto"/>
          <w:lang w:val="en-US" w:eastAsia="zh-CN"/>
        </w:rPr>
        <w:t>200</w:t>
      </w:r>
      <w:r>
        <w:rPr>
          <w:rFonts w:hint="eastAsia"/>
          <w:color w:val="auto"/>
        </w:rPr>
        <w:t>%，偏差原因：根据我单位工作需要，购置办公设备4台。</w:t>
      </w:r>
    </w:p>
    <w:p w14:paraId="0D00170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：保障办公人员数量，指标值：=10人，实际完成值</w:t>
      </w:r>
      <w:r>
        <w:rPr>
          <w:rFonts w:hint="eastAsia"/>
          <w:color w:val="auto"/>
          <w:lang w:eastAsia="zh-CN"/>
        </w:rPr>
        <w:t>：</w:t>
      </w:r>
      <w:r>
        <w:rPr>
          <w:rFonts w:hint="eastAsia"/>
          <w:color w:val="auto"/>
        </w:rPr>
        <w:t>=</w:t>
      </w:r>
      <w:r>
        <w:rPr>
          <w:rFonts w:hint="eastAsia"/>
          <w:color w:val="auto"/>
          <w:lang w:val="en-US" w:eastAsia="zh-CN"/>
        </w:rPr>
        <w:t>8</w:t>
      </w:r>
      <w:r>
        <w:rPr>
          <w:rFonts w:hint="eastAsia"/>
          <w:color w:val="auto"/>
        </w:rPr>
        <w:t>人，指标完成率</w:t>
      </w:r>
      <w:r>
        <w:rPr>
          <w:rFonts w:hint="eastAsia"/>
          <w:color w:val="auto"/>
          <w:lang w:val="en-US" w:eastAsia="zh-CN"/>
        </w:rPr>
        <w:t>80</w:t>
      </w:r>
      <w:r>
        <w:rPr>
          <w:rFonts w:hint="eastAsia"/>
          <w:color w:val="auto"/>
        </w:rPr>
        <w:t>%，偏差原因：我单位退休2人。</w:t>
      </w:r>
    </w:p>
    <w:p w14:paraId="4DC344EF">
      <w:pPr>
        <w:pStyle w:val="11"/>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6BB8CB5B">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rPr>
        <w:t>质量指标</w:t>
      </w:r>
      <w:r>
        <w:rPr>
          <w:rFonts w:hint="eastAsia"/>
          <w:color w:val="auto"/>
          <w:lang w:eastAsia="zh-CN"/>
        </w:rPr>
        <w:t>完成情况</w:t>
      </w:r>
      <w:r>
        <w:rPr>
          <w:rFonts w:hint="eastAsia"/>
          <w:color w:val="auto"/>
        </w:rPr>
        <w:t>：</w:t>
      </w:r>
    </w:p>
    <w:p w14:paraId="2CD4297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指标1：政府采购率，指标值：&gt;=</w:t>
      </w:r>
      <w:r>
        <w:rPr>
          <w:rFonts w:hint="eastAsia"/>
          <w:color w:val="auto"/>
          <w:lang w:val="en-US" w:eastAsia="zh-CN"/>
        </w:rPr>
        <w:t>95%</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，偏差原因：我单位在政采云平台采购办公设备，政府采购率达到100%。</w:t>
      </w:r>
    </w:p>
    <w:p w14:paraId="173B985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2</w:t>
      </w:r>
      <w:r>
        <w:rPr>
          <w:rFonts w:hint="eastAsia"/>
          <w:color w:val="auto"/>
        </w:rPr>
        <w:t>：办公设备质量合格率，指标值：&gt;=</w:t>
      </w:r>
      <w:r>
        <w:rPr>
          <w:rFonts w:hint="eastAsia"/>
          <w:color w:val="auto"/>
          <w:lang w:val="en-US" w:eastAsia="zh-CN"/>
        </w:rPr>
        <w:t>95%</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，偏差原因：我单位采购办公设备经验收，质量合格率达到100%。</w:t>
      </w:r>
    </w:p>
    <w:p w14:paraId="2F7778F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：办公设备验收合格率，指标值：&gt;=</w:t>
      </w:r>
      <w:r>
        <w:rPr>
          <w:rFonts w:hint="eastAsia"/>
          <w:color w:val="auto"/>
          <w:lang w:val="en-US" w:eastAsia="zh-CN"/>
        </w:rPr>
        <w:t>95%</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，偏差原因：我单位采购办公设备经验收，验收合格率达到100%。</w:t>
      </w:r>
    </w:p>
    <w:p w14:paraId="2E28C7E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4</w:t>
      </w:r>
      <w:r>
        <w:rPr>
          <w:rFonts w:hint="eastAsia"/>
          <w:color w:val="auto"/>
        </w:rPr>
        <w:t>：参与民营经济调研、参展、招商等活动商会覆盖率，指标值：&gt;=</w:t>
      </w:r>
      <w:r>
        <w:rPr>
          <w:rFonts w:hint="eastAsia"/>
          <w:color w:val="auto"/>
          <w:lang w:val="en-US" w:eastAsia="zh-CN"/>
        </w:rPr>
        <w:t>80%</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，指标完成率</w:t>
      </w:r>
      <w:r>
        <w:rPr>
          <w:rFonts w:hint="eastAsia"/>
          <w:color w:val="auto"/>
          <w:lang w:val="en-US" w:eastAsia="zh-CN"/>
        </w:rPr>
        <w:t>125%</w:t>
      </w:r>
      <w:r>
        <w:rPr>
          <w:rFonts w:hint="eastAsia"/>
          <w:color w:val="auto"/>
        </w:rPr>
        <w:t>，偏差原因：参与民营经济调研、参展、招商等活动商会覆盖率达到100%。</w:t>
      </w:r>
    </w:p>
    <w:p w14:paraId="6C319708">
      <w:pPr>
        <w:pStyle w:val="11"/>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6F7ED336">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rPr>
        <w:t>时效指标</w:t>
      </w:r>
      <w:r>
        <w:rPr>
          <w:rFonts w:hint="eastAsia"/>
          <w:color w:val="auto"/>
          <w:lang w:eastAsia="zh-CN"/>
        </w:rPr>
        <w:t>完成情况</w:t>
      </w:r>
      <w:r>
        <w:rPr>
          <w:rFonts w:hint="eastAsia"/>
          <w:color w:val="auto"/>
        </w:rPr>
        <w:t>：</w:t>
      </w:r>
    </w:p>
    <w:p w14:paraId="0A67905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指标1：经费支付及时率，指标值：&gt;=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，偏差原因：我单位非公有制经济组织教育调研及党建工作项目经费按时支付，经费支付及时率达到100%</w:t>
      </w:r>
      <w:r>
        <w:rPr>
          <w:rFonts w:hint="eastAsia"/>
          <w:color w:val="auto"/>
          <w:lang w:eastAsia="zh-CN"/>
        </w:rPr>
        <w:t>。</w:t>
      </w:r>
    </w:p>
    <w:p w14:paraId="00880C1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2</w:t>
      </w:r>
      <w:r>
        <w:rPr>
          <w:rFonts w:hint="eastAsia"/>
          <w:color w:val="auto"/>
        </w:rPr>
        <w:t>：设备采购完成时间，指标值：=2023年11月30日，实际完成值</w:t>
      </w:r>
      <w:r>
        <w:rPr>
          <w:rFonts w:hint="eastAsia"/>
          <w:color w:val="auto"/>
          <w:lang w:eastAsia="zh-CN"/>
        </w:rPr>
        <w:t>：</w:t>
      </w:r>
      <w:r>
        <w:rPr>
          <w:rFonts w:hint="eastAsia"/>
          <w:color w:val="auto"/>
        </w:rPr>
        <w:t>=2023年11月30日，指标完成率</w:t>
      </w:r>
      <w:r>
        <w:rPr>
          <w:rFonts w:hint="eastAsia"/>
          <w:color w:val="auto"/>
          <w:lang w:val="en-US" w:eastAsia="zh-CN"/>
        </w:rPr>
        <w:t>100%</w:t>
      </w:r>
      <w:r>
        <w:rPr>
          <w:rFonts w:hint="eastAsia"/>
          <w:color w:val="auto"/>
        </w:rPr>
        <w:t>。</w:t>
      </w:r>
    </w:p>
    <w:p w14:paraId="1F98925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：各类活动按时完成率，指标值：&gt;=</w:t>
      </w:r>
      <w:r>
        <w:rPr>
          <w:rFonts w:hint="eastAsia"/>
          <w:color w:val="auto"/>
          <w:lang w:val="en-US" w:eastAsia="zh-CN"/>
        </w:rPr>
        <w:t>95%</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，偏差原因：我单位参与民营经济调研、参展、招商等活动，活动按时完成率达到100%。</w:t>
      </w:r>
    </w:p>
    <w:p w14:paraId="459AC10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color w:val="auto"/>
          <w:lang w:val="en-US" w:eastAsia="zh-CN"/>
        </w:rPr>
        <w:t>此项权重分10分，得分10分。</w:t>
      </w:r>
    </w:p>
    <w:p w14:paraId="2E944BFD">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p>
    <w:p w14:paraId="0475DC3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指标1：人员工作保障经费，指标值：&lt;=4.50万元，实际完成值</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4.50万元</w:t>
      </w:r>
      <w:r>
        <w:rPr>
          <w:rFonts w:hint="eastAsia"/>
          <w:color w:val="auto"/>
          <w:highlight w:val="none"/>
        </w:rPr>
        <w:t>，指标完成率</w:t>
      </w:r>
      <w:r>
        <w:rPr>
          <w:rFonts w:hint="eastAsia"/>
          <w:color w:val="auto"/>
          <w:highlight w:val="none"/>
          <w:lang w:val="en-US" w:eastAsia="zh-CN"/>
        </w:rPr>
        <w:t>100%</w:t>
      </w:r>
      <w:r>
        <w:rPr>
          <w:rFonts w:hint="eastAsia"/>
          <w:color w:val="auto"/>
          <w:highlight w:val="none"/>
          <w:lang w:eastAsia="zh-CN"/>
        </w:rPr>
        <w:t>。</w:t>
      </w:r>
    </w:p>
    <w:p w14:paraId="73D0687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指标</w:t>
      </w:r>
      <w:r>
        <w:rPr>
          <w:rFonts w:hint="eastAsia"/>
          <w:color w:val="auto"/>
          <w:highlight w:val="none"/>
          <w:lang w:val="en-US" w:eastAsia="zh-CN"/>
        </w:rPr>
        <w:t>2</w:t>
      </w:r>
      <w:r>
        <w:rPr>
          <w:rFonts w:hint="eastAsia"/>
          <w:color w:val="auto"/>
          <w:highlight w:val="none"/>
        </w:rPr>
        <w:t>：参与民营经济调研、参展、招商等活动费用控制数，指标值：&lt;=</w:t>
      </w:r>
      <w:r>
        <w:rPr>
          <w:rFonts w:hint="eastAsia"/>
          <w:color w:val="auto"/>
          <w:highlight w:val="none"/>
          <w:lang w:val="en-US" w:eastAsia="zh-CN"/>
        </w:rPr>
        <w:t>7.2</w:t>
      </w:r>
      <w:r>
        <w:rPr>
          <w:rFonts w:hint="eastAsia"/>
          <w:color w:val="auto"/>
          <w:highlight w:val="none"/>
        </w:rPr>
        <w:t>万元，实际完成值</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8.614万元</w:t>
      </w:r>
      <w:r>
        <w:rPr>
          <w:rFonts w:hint="eastAsia"/>
          <w:color w:val="auto"/>
          <w:highlight w:val="none"/>
        </w:rPr>
        <w:t>，指标完成率</w:t>
      </w:r>
      <w:r>
        <w:rPr>
          <w:rFonts w:hint="eastAsia"/>
          <w:color w:val="auto"/>
          <w:highlight w:val="none"/>
          <w:lang w:val="en-US" w:eastAsia="zh-CN"/>
        </w:rPr>
        <w:t>0%，</w:t>
      </w:r>
      <w:r>
        <w:rPr>
          <w:rFonts w:hint="eastAsia"/>
          <w:color w:val="auto"/>
          <w:highlight w:val="none"/>
        </w:rPr>
        <w:t>偏差原因：我单位购置设备1.386万元，年底将办公设备购置科目1.414万元调整到差旅费，用于支付参与活动差旅费支出。</w:t>
      </w:r>
    </w:p>
    <w:p w14:paraId="6321D1C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指标</w:t>
      </w:r>
      <w:r>
        <w:rPr>
          <w:rFonts w:hint="eastAsia"/>
          <w:color w:val="auto"/>
          <w:highlight w:val="none"/>
          <w:lang w:val="en-US" w:eastAsia="zh-CN"/>
        </w:rPr>
        <w:t>3</w:t>
      </w:r>
      <w:r>
        <w:rPr>
          <w:rFonts w:hint="eastAsia"/>
          <w:color w:val="auto"/>
          <w:highlight w:val="none"/>
        </w:rPr>
        <w:t>：设备采购成本控制数，指标值：&lt;=</w:t>
      </w:r>
      <w:r>
        <w:rPr>
          <w:rFonts w:hint="eastAsia"/>
          <w:color w:val="auto"/>
          <w:highlight w:val="none"/>
          <w:lang w:val="en-US" w:eastAsia="zh-CN"/>
        </w:rPr>
        <w:t>2.8</w:t>
      </w:r>
      <w:r>
        <w:rPr>
          <w:rFonts w:hint="eastAsia"/>
          <w:color w:val="auto"/>
          <w:highlight w:val="none"/>
        </w:rPr>
        <w:t>万元，实际完成值</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1.386</w:t>
      </w:r>
      <w:r>
        <w:rPr>
          <w:rFonts w:hint="eastAsia"/>
          <w:color w:val="auto"/>
          <w:highlight w:val="none"/>
        </w:rPr>
        <w:t>万元，指标完成率</w:t>
      </w:r>
      <w:r>
        <w:rPr>
          <w:rFonts w:hint="eastAsia"/>
          <w:color w:val="auto"/>
          <w:highlight w:val="none"/>
          <w:lang w:val="en-US" w:eastAsia="zh-CN"/>
        </w:rPr>
        <w:t>49.5%</w:t>
      </w:r>
      <w:r>
        <w:rPr>
          <w:rFonts w:hint="eastAsia"/>
          <w:color w:val="auto"/>
          <w:highlight w:val="none"/>
        </w:rPr>
        <w:t>，偏差原因：我单位购置设备1.386万元，年底将办公设备购置科目1.414万元调整到差旅费，用于支付参与活动差旅费支出。</w:t>
      </w:r>
    </w:p>
    <w:p w14:paraId="17F3377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此项权重分10分，得分8分。</w:t>
      </w:r>
    </w:p>
    <w:p w14:paraId="253F92BC">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56D43BB5">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p>
    <w:p w14:paraId="6B8F361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指标</w:t>
      </w:r>
      <w:r>
        <w:rPr>
          <w:rFonts w:hint="eastAsia"/>
          <w:color w:val="auto"/>
          <w:highlight w:val="none"/>
          <w:lang w:val="en-US" w:eastAsia="zh-CN"/>
        </w:rPr>
        <w:t>1</w:t>
      </w:r>
      <w:r>
        <w:rPr>
          <w:rFonts w:hint="eastAsia"/>
          <w:color w:val="auto"/>
          <w:highlight w:val="none"/>
        </w:rPr>
        <w:t>：设备利用率，指标值：=</w:t>
      </w:r>
      <w:r>
        <w:rPr>
          <w:rFonts w:hint="eastAsia"/>
          <w:color w:val="auto"/>
          <w:highlight w:val="none"/>
          <w:lang w:val="en-US" w:eastAsia="zh-CN"/>
        </w:rPr>
        <w:t>100%</w:t>
      </w:r>
      <w:r>
        <w:rPr>
          <w:rFonts w:hint="eastAsia"/>
          <w:color w:val="auto"/>
          <w:highlight w:val="none"/>
        </w:rPr>
        <w:t>，实际完成值</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p>
    <w:p w14:paraId="34BB503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此项权重分10分，得分10分。</w:t>
      </w:r>
    </w:p>
    <w:p w14:paraId="37BBB5B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14:paraId="7F62894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1</w:t>
      </w:r>
      <w:r>
        <w:rPr>
          <w:rFonts w:hint="eastAsia"/>
          <w:color w:val="auto"/>
        </w:rPr>
        <w:t>：设备使用人员满意度，指标值：&gt;=</w:t>
      </w:r>
      <w:r>
        <w:rPr>
          <w:rFonts w:hint="eastAsia"/>
          <w:color w:val="auto"/>
          <w:lang w:val="en-US" w:eastAsia="zh-CN"/>
        </w:rPr>
        <w:t>95%</w:t>
      </w:r>
      <w:r>
        <w:rPr>
          <w:rFonts w:hint="eastAsia"/>
          <w:color w:val="auto"/>
        </w:rPr>
        <w:t>，实际完成值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，指标完成率</w:t>
      </w:r>
      <w:r>
        <w:rPr>
          <w:rFonts w:hint="eastAsia"/>
          <w:color w:val="auto"/>
          <w:lang w:val="en-US" w:eastAsia="zh-CN"/>
        </w:rPr>
        <w:t>105.26%，偏差原因：根据问卷调查,设备使用人员满意度达到100%。</w:t>
      </w:r>
    </w:p>
    <w:p w14:paraId="068A914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指标2：参加活动人员满意度，指标值：&gt;=90%，实际完成值：=100%，指标完成率111.11%，偏差原因：根据问卷调查,参加活动人员满意度达到100%。</w:t>
      </w:r>
    </w:p>
    <w:p w14:paraId="47D6738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val="en-US" w:eastAsia="zh-CN"/>
        </w:rPr>
        <w:t>此项权重分10分，得分10分。</w:t>
      </w:r>
    </w:p>
    <w:p w14:paraId="34DA10F3">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0DBB46F9">
      <w:pPr>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sz w:val="32"/>
          <w:szCs w:val="32"/>
          <w:highlight w:val="yellow"/>
        </w:rPr>
      </w:pPr>
      <w:r>
        <w:rPr>
          <w:rFonts w:hint="eastAsia"/>
          <w:color w:val="auto"/>
          <w:lang w:val="en-US" w:eastAsia="zh-CN"/>
        </w:rPr>
        <w:t>非公有制经济组织教育调研及党建工作项目年初预算14.5万元，全年预算14.5万元，实际支出14.5万元，预算执行率为100%，项目绩效指标总体完成率为101.75%，</w:t>
      </w:r>
      <w:r>
        <w:rPr>
          <w:rFonts w:hint="eastAsia"/>
          <w:color w:val="auto"/>
          <w:lang w:val="en-US" w:eastAsia="zh-Hans"/>
        </w:rPr>
        <w:t>总体</w:t>
      </w:r>
      <w:r>
        <w:rPr>
          <w:rFonts w:hint="eastAsia"/>
          <w:color w:val="auto"/>
          <w:lang w:val="en-US" w:eastAsia="zh-CN"/>
        </w:rPr>
        <w:t>偏差率为1.75%，</w:t>
      </w:r>
      <w:r>
        <w:rPr>
          <w:rFonts w:hint="eastAsia"/>
          <w:color w:val="auto"/>
          <w:lang w:val="en-US" w:eastAsia="zh-Hans"/>
        </w:rPr>
        <w:t>偏差</w:t>
      </w:r>
      <w:r>
        <w:rPr>
          <w:rFonts w:hint="eastAsia"/>
          <w:color w:val="auto"/>
          <w:lang w:val="en-US" w:eastAsia="zh-CN"/>
        </w:rPr>
        <w:t>原因:1、根据我单位工作需要，购置办公设备数增加。2、我单位退休2人，办公人员数量减少。3、我单位购置设备1.386万元，年底将办公设备购置科目1.414万元调整到差旅费，用于支付参与活动差旅费支出。</w:t>
      </w:r>
      <w:r>
        <w:rPr>
          <w:rFonts w:hint="eastAsia"/>
          <w:color w:val="auto"/>
          <w:lang w:val="en-US" w:eastAsia="zh-Hans"/>
        </w:rPr>
        <w:t>改进</w:t>
      </w:r>
      <w:r>
        <w:rPr>
          <w:rFonts w:hint="eastAsia"/>
          <w:color w:val="auto"/>
          <w:lang w:val="en-US" w:eastAsia="zh-CN"/>
        </w:rPr>
        <w:t>措施：一是主要领导亲自安排部署，分管领导“亲自抓”，并予以充分的人力、财力保障，将各项目工作列入年度干部绩效考核实施方案，将各项目工作落实到具体科室、具体岗位、具体个人。二是根据项目业务流程，参考历年经费使用情况，认真测算各阶段所需经费，确保当前项目顺利实施。在经费使用方面，严格执行经费使用管理制度，厉行节约，专款专用，对每笔经费使用情况建立监督机制，确保经费使用合理合规。</w:t>
      </w:r>
    </w:p>
    <w:p w14:paraId="4B30B16C">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547E14EE">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2014ABED">
      <w:pPr>
        <w:spacing w:line="560" w:lineRule="exact"/>
        <w:ind w:firstLine="640" w:firstLineChars="200"/>
        <w:rPr>
          <w:rFonts w:eastAsia="仿宋_GB2312"/>
          <w:color w:val="000000"/>
          <w:sz w:val="32"/>
          <w:szCs w:val="32"/>
        </w:rPr>
      </w:pPr>
      <w:bookmarkStart w:id="18" w:name="_Toc68703844"/>
      <w:r>
        <w:rPr>
          <w:rFonts w:eastAsia="仿宋_GB2312"/>
          <w:color w:val="000000"/>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93FABB7">
      <w:pPr>
        <w:widowControl/>
        <w:spacing w:before="0" w:after="0" w:line="560" w:lineRule="exact"/>
        <w:ind w:firstLine="640" w:firstLineChars="200"/>
        <w:jc w:val="left"/>
        <w:outlineLvl w:val="0"/>
        <w:rPr>
          <w:rFonts w:ascii="Times New Roman" w:hAnsi="Times New Roman" w:eastAsia="仿宋_GB2312" w:cs="Times New Roman"/>
          <w:b w:val="0"/>
          <w:bCs w:val="0"/>
          <w:color w:val="000000"/>
          <w:kern w:val="2"/>
          <w:sz w:val="32"/>
          <w:szCs w:val="32"/>
          <w:lang w:val="en-US" w:eastAsia="zh-CN" w:bidi="ar-SA"/>
        </w:rPr>
      </w:pPr>
      <w:r>
        <w:rPr>
          <w:rFonts w:ascii="Times New Roman" w:hAnsi="Times New Roman" w:eastAsia="仿宋_GB2312" w:cs="Times New Roman"/>
          <w:b w:val="0"/>
          <w:bCs w:val="0"/>
          <w:color w:val="000000"/>
          <w:kern w:val="2"/>
          <w:sz w:val="32"/>
          <w:szCs w:val="32"/>
          <w:lang w:val="en-US" w:eastAsia="zh-CN" w:bidi="ar-SA"/>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7BEE184">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3C7459C7">
      <w:pPr>
        <w:shd w:val="clear"/>
        <w:spacing w:line="600" w:lineRule="exact"/>
        <w:ind w:firstLine="640" w:firstLineChars="200"/>
        <w:outlineLvl w:val="0"/>
        <w:rPr>
          <w:rFonts w:hint="eastAsia" w:ascii="仿宋_GB2312" w:hAnsi="仿宋_GB2312" w:eastAsia="仿宋_GB2312" w:cs="仿宋_GB2312"/>
          <w:color w:val="0000FF"/>
          <w:sz w:val="32"/>
          <w:szCs w:val="32"/>
          <w:highlight w:val="none"/>
          <w:lang w:val="en-US" w:eastAsia="zh-CN"/>
        </w:rPr>
      </w:pPr>
      <w:bookmarkStart w:id="19" w:name="_Toc68703845"/>
      <w:r>
        <w:rPr>
          <w:rFonts w:hint="eastAsia" w:ascii="仿宋_GB2312" w:hAnsi="仿宋_GB2312" w:eastAsia="仿宋_GB2312" w:cs="仿宋_GB2312"/>
          <w:color w:val="auto"/>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4FC195C">
      <w:pPr>
        <w:pageBreakBefore w:val="0"/>
        <w:numPr>
          <w:ilvl w:val="0"/>
          <w:numId w:val="2"/>
        </w:numPr>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宋体" w:hAnsi="宋体" w:eastAsia="宋体"/>
          <w:sz w:val="32"/>
          <w:szCs w:val="32"/>
        </w:rPr>
      </w:pPr>
      <w:r>
        <w:rPr>
          <w:rFonts w:hint="eastAsia" w:ascii="宋体" w:hAnsi="宋体" w:eastAsia="宋体"/>
          <w:sz w:val="32"/>
          <w:szCs w:val="32"/>
        </w:rPr>
        <w:t>有关建议</w:t>
      </w:r>
      <w:bookmarkEnd w:id="19"/>
    </w:p>
    <w:p w14:paraId="739D5E91">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479ED6B9">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3159E228">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0"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14:paraId="7791842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Hans"/>
        </w:rPr>
      </w:pPr>
      <w:r>
        <w:rPr>
          <w:rFonts w:hint="eastAsia"/>
          <w:color w:val="auto"/>
          <w:lang w:eastAsia="zh-Hans"/>
        </w:rPr>
        <w:t>本项目无其他需说明的问题。</w:t>
      </w:r>
    </w:p>
    <w:p w14:paraId="2884C9FB">
      <w:pPr>
        <w:pStyle w:val="11"/>
        <w:rPr>
          <w:rFonts w:hint="eastAsia"/>
          <w:color w:val="auto"/>
          <w:lang w:eastAsia="zh-Hans"/>
        </w:rPr>
        <w:sectPr>
          <w:pgSz w:w="11906" w:h="16838"/>
          <w:pgMar w:top="1928" w:right="1531" w:bottom="1701" w:left="1531" w:header="737" w:footer="851" w:gutter="0"/>
          <w:cols w:space="720" w:num="1"/>
          <w:docGrid w:type="lines" w:linePitch="408" w:charSpace="0"/>
        </w:sectPr>
      </w:pPr>
    </w:p>
    <w:p w14:paraId="2272B3D9">
      <w:pPr>
        <w:rPr>
          <w:rFonts w:hint="eastAsia"/>
        </w:rPr>
      </w:pPr>
    </w:p>
    <w:p w14:paraId="6F793B4B">
      <w:pPr>
        <w:rPr>
          <w:rFonts w:hint="eastAsia"/>
        </w:rPr>
      </w:pPr>
    </w:p>
    <w:p w14:paraId="733C03A2">
      <w:pPr>
        <w:rPr>
          <w:rFonts w:hint="eastAsia"/>
        </w:rPr>
      </w:pPr>
    </w:p>
    <w:p w14:paraId="66861404">
      <w:pPr>
        <w:pageBreakBefore w:val="0"/>
        <w:kinsoku/>
        <w:wordWrap/>
        <w:overflowPunct/>
        <w:topLinePunct w:val="0"/>
        <w:autoSpaceDE/>
        <w:autoSpaceDN/>
        <w:bidi w:val="0"/>
        <w:adjustRightInd/>
        <w:snapToGrid/>
        <w:spacing w:line="560" w:lineRule="exact"/>
        <w:ind w:firstLine="600" w:firstLineChars="200"/>
        <w:textAlignment w:val="auto"/>
        <w:sectPr>
          <w:type w:val="continuous"/>
          <w:pgSz w:w="11906" w:h="16838"/>
          <w:pgMar w:top="1928" w:right="1531" w:bottom="1701" w:left="1531" w:header="737" w:footer="851" w:gutter="0"/>
          <w:cols w:space="720" w:num="1"/>
          <w:docGrid w:type="lines" w:linePitch="408" w:charSpace="0"/>
        </w:sect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25"/>
        <w:gridCol w:w="1203"/>
        <w:gridCol w:w="1404"/>
        <w:gridCol w:w="2967"/>
        <w:gridCol w:w="4701"/>
        <w:gridCol w:w="1227"/>
        <w:gridCol w:w="657"/>
      </w:tblGrid>
      <w:tr w14:paraId="3390D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5" w:hRule="atLeast"/>
        </w:trPr>
        <w:tc>
          <w:tcPr>
            <w:tcW w:w="0" w:type="auto"/>
            <w:gridSpan w:val="7"/>
            <w:tcBorders>
              <w:top w:val="nil"/>
              <w:left w:val="nil"/>
              <w:bottom w:val="single" w:color="auto" w:sz="4" w:space="0"/>
              <w:right w:val="nil"/>
            </w:tcBorders>
            <w:shd w:val="clear" w:color="auto" w:fill="auto"/>
            <w:noWrap/>
            <w:vAlign w:val="center"/>
          </w:tcPr>
          <w:p w14:paraId="758EBBA9">
            <w:pPr>
              <w:pStyle w:val="11"/>
              <w:jc w:val="both"/>
              <w:rPr>
                <w:rFonts w:hint="default"/>
              </w:rPr>
            </w:pPr>
            <w:r>
              <w:rPr>
                <w:rFonts w:hint="eastAsia"/>
                <w:lang w:val="en-US" w:eastAsia="zh-CN"/>
              </w:rPr>
              <w:t xml:space="preserve">附件1：  </w:t>
            </w:r>
            <w:r>
              <w:rPr>
                <w:rFonts w:hint="eastAsia"/>
                <w:sz w:val="24"/>
                <w:szCs w:val="24"/>
                <w:lang w:val="en-US" w:eastAsia="zh-CN"/>
              </w:rPr>
              <w:t xml:space="preserve">  巴州工商联非公有制经济组织教育调研及党建工作项目支出绩效评价指标体系及综合评分表</w:t>
            </w:r>
          </w:p>
        </w:tc>
      </w:tr>
      <w:tr w14:paraId="0E9A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8" w:hRule="atLeast"/>
        </w:trPr>
        <w:tc>
          <w:tcPr>
            <w:tcW w:w="1225" w:type="dxa"/>
            <w:tcBorders>
              <w:top w:val="single" w:color="auto" w:sz="4" w:space="0"/>
            </w:tcBorders>
            <w:shd w:val="clear" w:color="auto" w:fill="FFFFFF"/>
            <w:vAlign w:val="center"/>
          </w:tcPr>
          <w:p w14:paraId="08A74117">
            <w:pPr>
              <w:pStyle w:val="11"/>
              <w:jc w:val="center"/>
              <w:rPr>
                <w:rFonts w:hint="eastAsia"/>
                <w:sz w:val="22"/>
                <w:szCs w:val="22"/>
                <w:lang w:val="en-US" w:eastAsia="zh-CN"/>
              </w:rPr>
            </w:pPr>
            <w:r>
              <w:rPr>
                <w:rFonts w:hint="eastAsia"/>
                <w:sz w:val="22"/>
                <w:szCs w:val="22"/>
                <w:lang w:val="en-US" w:eastAsia="zh-CN"/>
              </w:rPr>
              <w:t>一级指标</w:t>
            </w:r>
          </w:p>
        </w:tc>
        <w:tc>
          <w:tcPr>
            <w:tcW w:w="1203" w:type="dxa"/>
            <w:tcBorders>
              <w:top w:val="single" w:color="auto" w:sz="4" w:space="0"/>
            </w:tcBorders>
            <w:shd w:val="clear" w:color="auto" w:fill="FFFFFF"/>
            <w:vAlign w:val="center"/>
          </w:tcPr>
          <w:p w14:paraId="5743E195">
            <w:pPr>
              <w:pStyle w:val="11"/>
              <w:jc w:val="center"/>
              <w:rPr>
                <w:rFonts w:hint="eastAsia"/>
                <w:sz w:val="22"/>
                <w:szCs w:val="22"/>
                <w:lang w:val="en-US" w:eastAsia="zh-CN"/>
              </w:rPr>
            </w:pPr>
            <w:r>
              <w:rPr>
                <w:rFonts w:hint="eastAsia"/>
                <w:sz w:val="22"/>
                <w:szCs w:val="22"/>
                <w:lang w:val="en-US" w:eastAsia="zh-CN"/>
              </w:rPr>
              <w:t>二级指标</w:t>
            </w:r>
          </w:p>
        </w:tc>
        <w:tc>
          <w:tcPr>
            <w:tcW w:w="1404" w:type="dxa"/>
            <w:tcBorders>
              <w:top w:val="single" w:color="auto" w:sz="4" w:space="0"/>
            </w:tcBorders>
            <w:shd w:val="clear" w:color="auto" w:fill="FFFFFF"/>
            <w:vAlign w:val="center"/>
          </w:tcPr>
          <w:p w14:paraId="07AAAA10">
            <w:pPr>
              <w:pStyle w:val="11"/>
              <w:jc w:val="center"/>
              <w:rPr>
                <w:rFonts w:hint="eastAsia"/>
                <w:sz w:val="22"/>
                <w:szCs w:val="22"/>
                <w:lang w:val="en-US" w:eastAsia="zh-CN"/>
              </w:rPr>
            </w:pPr>
            <w:r>
              <w:rPr>
                <w:rFonts w:hint="eastAsia"/>
                <w:sz w:val="22"/>
                <w:szCs w:val="22"/>
                <w:lang w:val="en-US" w:eastAsia="zh-CN"/>
              </w:rPr>
              <w:t>三级指标</w:t>
            </w:r>
          </w:p>
        </w:tc>
        <w:tc>
          <w:tcPr>
            <w:tcW w:w="2967" w:type="dxa"/>
            <w:tcBorders>
              <w:top w:val="single" w:color="auto" w:sz="4" w:space="0"/>
            </w:tcBorders>
            <w:shd w:val="clear" w:color="auto" w:fill="FFFFFF"/>
            <w:vAlign w:val="center"/>
          </w:tcPr>
          <w:p w14:paraId="5CDE5160">
            <w:pPr>
              <w:pStyle w:val="11"/>
              <w:jc w:val="center"/>
              <w:rPr>
                <w:rFonts w:hint="eastAsia"/>
                <w:sz w:val="22"/>
                <w:szCs w:val="22"/>
                <w:lang w:val="en-US" w:eastAsia="zh-CN"/>
              </w:rPr>
            </w:pPr>
            <w:r>
              <w:rPr>
                <w:rFonts w:hint="eastAsia"/>
                <w:sz w:val="22"/>
                <w:szCs w:val="22"/>
                <w:lang w:val="en-US" w:eastAsia="zh-CN"/>
              </w:rPr>
              <w:t>指标解释</w:t>
            </w:r>
          </w:p>
        </w:tc>
        <w:tc>
          <w:tcPr>
            <w:tcW w:w="4701" w:type="dxa"/>
            <w:tcBorders>
              <w:top w:val="single" w:color="auto" w:sz="4" w:space="0"/>
            </w:tcBorders>
            <w:shd w:val="clear" w:color="auto" w:fill="FFFFFF"/>
            <w:vAlign w:val="center"/>
          </w:tcPr>
          <w:p w14:paraId="24D85E42">
            <w:pPr>
              <w:pStyle w:val="11"/>
              <w:jc w:val="center"/>
              <w:rPr>
                <w:rFonts w:hint="eastAsia"/>
                <w:sz w:val="22"/>
                <w:szCs w:val="22"/>
                <w:lang w:val="en-US" w:eastAsia="zh-CN"/>
              </w:rPr>
            </w:pPr>
            <w:r>
              <w:rPr>
                <w:rFonts w:hint="eastAsia"/>
                <w:sz w:val="22"/>
                <w:szCs w:val="22"/>
                <w:lang w:val="en-US" w:eastAsia="zh-CN"/>
              </w:rPr>
              <w:t>指标说明</w:t>
            </w:r>
          </w:p>
        </w:tc>
        <w:tc>
          <w:tcPr>
            <w:tcW w:w="1227" w:type="dxa"/>
            <w:tcBorders>
              <w:top w:val="single" w:color="auto" w:sz="4" w:space="0"/>
            </w:tcBorders>
            <w:shd w:val="clear" w:color="auto" w:fill="auto"/>
            <w:noWrap/>
            <w:vAlign w:val="center"/>
          </w:tcPr>
          <w:p w14:paraId="4D6D6868">
            <w:pPr>
              <w:pStyle w:val="11"/>
              <w:jc w:val="center"/>
              <w:rPr>
                <w:rFonts w:hint="default"/>
                <w:sz w:val="22"/>
                <w:szCs w:val="22"/>
                <w:lang w:val="en-US" w:eastAsia="zh-CN"/>
              </w:rPr>
            </w:pPr>
            <w:r>
              <w:rPr>
                <w:rFonts w:hint="default"/>
                <w:sz w:val="22"/>
                <w:szCs w:val="22"/>
                <w:lang w:val="en-US" w:eastAsia="zh-CN"/>
              </w:rPr>
              <w:t>权重分</w:t>
            </w:r>
          </w:p>
        </w:tc>
        <w:tc>
          <w:tcPr>
            <w:tcW w:w="0" w:type="auto"/>
            <w:tcBorders>
              <w:top w:val="single" w:color="auto" w:sz="4" w:space="0"/>
            </w:tcBorders>
            <w:shd w:val="clear" w:color="auto" w:fill="auto"/>
            <w:noWrap/>
            <w:vAlign w:val="center"/>
          </w:tcPr>
          <w:p w14:paraId="5B73C77B">
            <w:pPr>
              <w:pStyle w:val="11"/>
              <w:jc w:val="center"/>
              <w:rPr>
                <w:rFonts w:hint="default"/>
                <w:sz w:val="22"/>
                <w:szCs w:val="22"/>
                <w:lang w:val="en-US" w:eastAsia="zh-CN"/>
              </w:rPr>
            </w:pPr>
            <w:r>
              <w:rPr>
                <w:rFonts w:hint="default"/>
                <w:sz w:val="22"/>
                <w:szCs w:val="22"/>
                <w:lang w:val="en-US" w:eastAsia="zh-CN"/>
              </w:rPr>
              <w:t>得分</w:t>
            </w:r>
          </w:p>
        </w:tc>
      </w:tr>
      <w:tr w14:paraId="33962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trPr>
        <w:tc>
          <w:tcPr>
            <w:tcW w:w="1225" w:type="dxa"/>
            <w:vMerge w:val="restart"/>
            <w:shd w:val="clear" w:color="auto" w:fill="FFFFFF"/>
            <w:vAlign w:val="center"/>
          </w:tcPr>
          <w:p w14:paraId="32E21D8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决策　</w:t>
            </w:r>
          </w:p>
        </w:tc>
        <w:tc>
          <w:tcPr>
            <w:tcW w:w="1203" w:type="dxa"/>
            <w:vMerge w:val="restart"/>
            <w:shd w:val="clear" w:color="auto" w:fill="FFFFFF"/>
            <w:vAlign w:val="center"/>
          </w:tcPr>
          <w:p w14:paraId="181BFF9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项目立项　</w:t>
            </w:r>
          </w:p>
        </w:tc>
        <w:tc>
          <w:tcPr>
            <w:tcW w:w="1404" w:type="dxa"/>
            <w:shd w:val="clear" w:color="auto" w:fill="FFFFFF"/>
            <w:vAlign w:val="center"/>
          </w:tcPr>
          <w:p w14:paraId="306ADFA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立项依据充分性</w:t>
            </w:r>
          </w:p>
        </w:tc>
        <w:tc>
          <w:tcPr>
            <w:tcW w:w="2967" w:type="dxa"/>
            <w:shd w:val="clear" w:color="auto" w:fill="FFFFFF"/>
            <w:vAlign w:val="center"/>
          </w:tcPr>
          <w:p w14:paraId="53AFF112">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项目立项是否符合法律法规、相关政策、发展规划以及部门职责，用以反映和考核项目立项依据情况。</w:t>
            </w:r>
          </w:p>
        </w:tc>
        <w:tc>
          <w:tcPr>
            <w:tcW w:w="4701" w:type="dxa"/>
            <w:shd w:val="clear" w:color="auto" w:fill="FFFFFF"/>
            <w:vAlign w:val="center"/>
          </w:tcPr>
          <w:p w14:paraId="1501AF4F">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455CA60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①项目立项是否符合国家法律法规、国民经济发展规划和相关政策；</w:t>
            </w:r>
          </w:p>
          <w:p w14:paraId="1FD5129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②项目立项是否符合行业发展规划和政策要求；</w:t>
            </w:r>
          </w:p>
          <w:p w14:paraId="742F31E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③项目立项是否与部门职责范围相符，属于部门履职所需；</w:t>
            </w:r>
          </w:p>
          <w:p w14:paraId="5407A92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④项目是否属于公共财政支持范围，是否符合中央、地方事权支出责任划分原则；</w:t>
            </w:r>
          </w:p>
          <w:p w14:paraId="71FD1A3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⑤项目是否与相关部门同类项目或部门内部相关项目重复。</w:t>
            </w:r>
          </w:p>
        </w:tc>
        <w:tc>
          <w:tcPr>
            <w:tcW w:w="1227" w:type="dxa"/>
            <w:shd w:val="clear" w:color="auto" w:fill="auto"/>
            <w:noWrap/>
            <w:vAlign w:val="center"/>
          </w:tcPr>
          <w:p w14:paraId="757A8AE9">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c>
          <w:tcPr>
            <w:tcW w:w="0" w:type="auto"/>
            <w:shd w:val="clear" w:color="auto" w:fill="auto"/>
            <w:noWrap/>
            <w:vAlign w:val="center"/>
          </w:tcPr>
          <w:p w14:paraId="02F6DA6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r>
      <w:tr w14:paraId="7C140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8" w:hRule="atLeast"/>
        </w:trPr>
        <w:tc>
          <w:tcPr>
            <w:tcW w:w="1225" w:type="dxa"/>
            <w:vMerge w:val="continue"/>
            <w:shd w:val="clear" w:color="auto" w:fill="FFFFFF"/>
            <w:vAlign w:val="center"/>
          </w:tcPr>
          <w:p w14:paraId="0B0A87DC">
            <w:pPr>
              <w:pStyle w:val="11"/>
              <w:jc w:val="both"/>
              <w:rPr>
                <w:rFonts w:hint="eastAsia" w:ascii="宋体" w:hAnsi="宋体" w:eastAsia="宋体" w:cs="宋体"/>
                <w:b w:val="0"/>
                <w:bCs w:val="0"/>
                <w:sz w:val="22"/>
                <w:szCs w:val="22"/>
              </w:rPr>
            </w:pPr>
          </w:p>
        </w:tc>
        <w:tc>
          <w:tcPr>
            <w:tcW w:w="1203" w:type="dxa"/>
            <w:vMerge w:val="continue"/>
            <w:shd w:val="clear" w:color="auto" w:fill="FFFFFF"/>
            <w:vAlign w:val="center"/>
          </w:tcPr>
          <w:p w14:paraId="0BD211FB">
            <w:pPr>
              <w:pStyle w:val="11"/>
              <w:jc w:val="both"/>
              <w:rPr>
                <w:rFonts w:hint="eastAsia" w:ascii="宋体" w:hAnsi="宋体" w:eastAsia="宋体" w:cs="宋体"/>
                <w:b w:val="0"/>
                <w:bCs w:val="0"/>
                <w:sz w:val="22"/>
                <w:szCs w:val="22"/>
              </w:rPr>
            </w:pPr>
          </w:p>
        </w:tc>
        <w:tc>
          <w:tcPr>
            <w:tcW w:w="1404" w:type="dxa"/>
            <w:shd w:val="clear" w:color="auto" w:fill="FFFFFF"/>
            <w:vAlign w:val="center"/>
          </w:tcPr>
          <w:p w14:paraId="4F0C68C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立项程序规范性</w:t>
            </w:r>
          </w:p>
        </w:tc>
        <w:tc>
          <w:tcPr>
            <w:tcW w:w="2967" w:type="dxa"/>
            <w:shd w:val="clear" w:color="auto" w:fill="FFFFFF"/>
            <w:vAlign w:val="center"/>
          </w:tcPr>
          <w:p w14:paraId="765BB45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项目申请、设立过程是否符合相关要求，用以反映和考核项目立项的规范情况。</w:t>
            </w:r>
          </w:p>
        </w:tc>
        <w:tc>
          <w:tcPr>
            <w:tcW w:w="4701" w:type="dxa"/>
            <w:shd w:val="clear" w:color="auto" w:fill="FFFFFF"/>
            <w:vAlign w:val="center"/>
          </w:tcPr>
          <w:p w14:paraId="78FDBC8B">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6882BED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①项目是否按照规定的程序申请设立；</w:t>
            </w:r>
          </w:p>
          <w:p w14:paraId="02CD71A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②审批文件、材料是否符合相关要求；</w:t>
            </w:r>
          </w:p>
          <w:p w14:paraId="0B83890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③事前是否已经过必要的可行性研究、专家论证、风险评估、绩效评估、集体决策。</w:t>
            </w:r>
          </w:p>
        </w:tc>
        <w:tc>
          <w:tcPr>
            <w:tcW w:w="1227" w:type="dxa"/>
            <w:shd w:val="clear" w:color="auto" w:fill="auto"/>
            <w:noWrap/>
            <w:vAlign w:val="center"/>
          </w:tcPr>
          <w:p w14:paraId="3141646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c>
          <w:tcPr>
            <w:tcW w:w="0" w:type="auto"/>
            <w:shd w:val="clear" w:color="auto" w:fill="auto"/>
            <w:noWrap/>
            <w:vAlign w:val="center"/>
          </w:tcPr>
          <w:p w14:paraId="1B51AE2F">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r>
      <w:tr w14:paraId="08BEB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48" w:hRule="atLeast"/>
        </w:trPr>
        <w:tc>
          <w:tcPr>
            <w:tcW w:w="1225" w:type="dxa"/>
            <w:vMerge w:val="continue"/>
            <w:shd w:val="clear" w:color="auto" w:fill="FFFFFF"/>
            <w:vAlign w:val="center"/>
          </w:tcPr>
          <w:p w14:paraId="0D8E7393">
            <w:pPr>
              <w:pStyle w:val="11"/>
              <w:jc w:val="both"/>
              <w:rPr>
                <w:rFonts w:hint="eastAsia" w:ascii="宋体" w:hAnsi="宋体" w:eastAsia="宋体" w:cs="宋体"/>
                <w:b w:val="0"/>
                <w:bCs w:val="0"/>
                <w:sz w:val="22"/>
                <w:szCs w:val="22"/>
              </w:rPr>
            </w:pPr>
          </w:p>
        </w:tc>
        <w:tc>
          <w:tcPr>
            <w:tcW w:w="1203" w:type="dxa"/>
            <w:shd w:val="clear" w:color="auto" w:fill="FFFFFF"/>
            <w:vAlign w:val="center"/>
          </w:tcPr>
          <w:p w14:paraId="65963CF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绩效目标　</w:t>
            </w:r>
          </w:p>
        </w:tc>
        <w:tc>
          <w:tcPr>
            <w:tcW w:w="1404" w:type="dxa"/>
            <w:shd w:val="clear" w:color="auto" w:fill="FFFFFF"/>
            <w:vAlign w:val="center"/>
          </w:tcPr>
          <w:p w14:paraId="7FB3860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绩效目标合理性</w:t>
            </w:r>
          </w:p>
        </w:tc>
        <w:tc>
          <w:tcPr>
            <w:tcW w:w="2967" w:type="dxa"/>
            <w:shd w:val="clear" w:color="auto" w:fill="FFFFFF"/>
            <w:vAlign w:val="center"/>
          </w:tcPr>
          <w:p w14:paraId="177EC88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项目所设定的绩效目标是否依据充分，是否符合客观实际，用以反映和考核项目绩效目标与项目实施的相符情况。</w:t>
            </w:r>
          </w:p>
        </w:tc>
        <w:tc>
          <w:tcPr>
            <w:tcW w:w="4701" w:type="dxa"/>
            <w:shd w:val="clear" w:color="auto" w:fill="FFFFFF"/>
            <w:vAlign w:val="center"/>
          </w:tcPr>
          <w:p w14:paraId="74B67E15">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2245F4B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（如未设定预算绩效目标，也可考核其他工作任务目标）</w:t>
            </w:r>
          </w:p>
          <w:p w14:paraId="2DC4B6A2">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①项目是否有绩效目标；</w:t>
            </w:r>
          </w:p>
          <w:p w14:paraId="4A2299A3">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②项目绩效目标与实际工作内容是否具有相关性；</w:t>
            </w:r>
          </w:p>
          <w:p w14:paraId="3F99F582">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③项目预期产出效益和效果是否符合正常的业绩水平；</w:t>
            </w:r>
          </w:p>
          <w:p w14:paraId="1742182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④是否与预算确定的项目投资额或资金量相匹配。</w:t>
            </w:r>
          </w:p>
        </w:tc>
        <w:tc>
          <w:tcPr>
            <w:tcW w:w="1227" w:type="dxa"/>
            <w:shd w:val="clear" w:color="auto" w:fill="auto"/>
            <w:noWrap/>
            <w:vAlign w:val="center"/>
          </w:tcPr>
          <w:p w14:paraId="19ABB70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c>
          <w:tcPr>
            <w:tcW w:w="0" w:type="auto"/>
            <w:shd w:val="clear" w:color="auto" w:fill="auto"/>
            <w:noWrap/>
            <w:vAlign w:val="center"/>
          </w:tcPr>
          <w:p w14:paraId="36ED9B7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r>
      <w:tr w14:paraId="38E67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56" w:hRule="atLeast"/>
        </w:trPr>
        <w:tc>
          <w:tcPr>
            <w:tcW w:w="1225" w:type="dxa"/>
            <w:vMerge w:val="continue"/>
            <w:shd w:val="clear" w:color="auto" w:fill="FFFFFF"/>
            <w:vAlign w:val="center"/>
          </w:tcPr>
          <w:p w14:paraId="2D8FA949">
            <w:pPr>
              <w:pStyle w:val="11"/>
              <w:jc w:val="both"/>
              <w:rPr>
                <w:rFonts w:hint="eastAsia" w:ascii="宋体" w:hAnsi="宋体" w:eastAsia="宋体" w:cs="宋体"/>
                <w:b w:val="0"/>
                <w:bCs w:val="0"/>
                <w:sz w:val="22"/>
                <w:szCs w:val="22"/>
              </w:rPr>
            </w:pPr>
          </w:p>
        </w:tc>
        <w:tc>
          <w:tcPr>
            <w:tcW w:w="1203" w:type="dxa"/>
            <w:shd w:val="clear" w:color="auto" w:fill="FFFFFF"/>
            <w:vAlign w:val="center"/>
          </w:tcPr>
          <w:p w14:paraId="3781868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绩效目标</w:t>
            </w:r>
          </w:p>
        </w:tc>
        <w:tc>
          <w:tcPr>
            <w:tcW w:w="1404" w:type="dxa"/>
            <w:shd w:val="clear" w:color="auto" w:fill="FFFFFF"/>
            <w:vAlign w:val="center"/>
          </w:tcPr>
          <w:p w14:paraId="545781D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绩效指标明确性</w:t>
            </w:r>
          </w:p>
        </w:tc>
        <w:tc>
          <w:tcPr>
            <w:tcW w:w="2967" w:type="dxa"/>
            <w:shd w:val="clear" w:color="auto" w:fill="FFFFFF"/>
            <w:vAlign w:val="center"/>
          </w:tcPr>
          <w:p w14:paraId="42954282">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依据绩效目标设定的绩效指标是否清晰、细化、可衡量等，用以反映和考核项目绩效目标的明细化情况。</w:t>
            </w:r>
          </w:p>
        </w:tc>
        <w:tc>
          <w:tcPr>
            <w:tcW w:w="4701" w:type="dxa"/>
            <w:shd w:val="clear" w:color="auto" w:fill="FFFFFF"/>
            <w:vAlign w:val="center"/>
          </w:tcPr>
          <w:p w14:paraId="041788F0">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30839C9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①是否将项目绩效目标细化分解为具体的绩效指标；</w:t>
            </w:r>
          </w:p>
          <w:p w14:paraId="3149DBC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②是否通过清晰、可衡量的指标值予以体现；</w:t>
            </w:r>
          </w:p>
          <w:p w14:paraId="7766AD6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③是否与项目目标任务数或计划数相对应。</w:t>
            </w:r>
          </w:p>
        </w:tc>
        <w:tc>
          <w:tcPr>
            <w:tcW w:w="1227" w:type="dxa"/>
            <w:shd w:val="clear" w:color="auto" w:fill="auto"/>
            <w:noWrap/>
            <w:vAlign w:val="center"/>
          </w:tcPr>
          <w:p w14:paraId="323ECF9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c>
          <w:tcPr>
            <w:tcW w:w="0" w:type="auto"/>
            <w:shd w:val="clear" w:color="auto" w:fill="auto"/>
            <w:noWrap/>
            <w:vAlign w:val="center"/>
          </w:tcPr>
          <w:p w14:paraId="4F2EB10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r>
      <w:tr w14:paraId="15C27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20" w:hRule="atLeast"/>
        </w:trPr>
        <w:tc>
          <w:tcPr>
            <w:tcW w:w="1225" w:type="dxa"/>
            <w:vMerge w:val="continue"/>
            <w:shd w:val="clear" w:color="auto" w:fill="FFFFFF"/>
            <w:vAlign w:val="center"/>
          </w:tcPr>
          <w:p w14:paraId="7EC991F3">
            <w:pPr>
              <w:pStyle w:val="11"/>
              <w:jc w:val="both"/>
              <w:rPr>
                <w:rFonts w:hint="eastAsia" w:ascii="宋体" w:hAnsi="宋体" w:eastAsia="宋体" w:cs="宋体"/>
                <w:b w:val="0"/>
                <w:bCs w:val="0"/>
                <w:sz w:val="22"/>
                <w:szCs w:val="22"/>
              </w:rPr>
            </w:pPr>
          </w:p>
        </w:tc>
        <w:tc>
          <w:tcPr>
            <w:tcW w:w="1203" w:type="dxa"/>
            <w:vMerge w:val="restart"/>
            <w:shd w:val="clear" w:color="auto" w:fill="FFFFFF"/>
            <w:vAlign w:val="center"/>
          </w:tcPr>
          <w:p w14:paraId="29D53583">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资金投入</w:t>
            </w:r>
          </w:p>
        </w:tc>
        <w:tc>
          <w:tcPr>
            <w:tcW w:w="1404" w:type="dxa"/>
            <w:shd w:val="clear" w:color="auto" w:fill="FFFFFF"/>
            <w:vAlign w:val="center"/>
          </w:tcPr>
          <w:p w14:paraId="685FB44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预算编制科学性</w:t>
            </w:r>
          </w:p>
        </w:tc>
        <w:tc>
          <w:tcPr>
            <w:tcW w:w="2967" w:type="dxa"/>
            <w:shd w:val="clear" w:color="auto" w:fill="FFFFFF"/>
            <w:vAlign w:val="center"/>
          </w:tcPr>
          <w:p w14:paraId="301ECF1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项目预算编制是否经过科学论证、有明确标准，资金额度与年度目标是否相适应，用以反映和考核项目预算编制的科学性、合理性情况。</w:t>
            </w:r>
          </w:p>
        </w:tc>
        <w:tc>
          <w:tcPr>
            <w:tcW w:w="4701" w:type="dxa"/>
            <w:shd w:val="clear" w:color="auto" w:fill="FFFFFF"/>
            <w:vAlign w:val="center"/>
          </w:tcPr>
          <w:p w14:paraId="77AFAB15">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4262606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①预算编制是否经过科学论证；</w:t>
            </w:r>
          </w:p>
          <w:p w14:paraId="2BFCE0B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②预算内容与项目内容是否匹配；</w:t>
            </w:r>
          </w:p>
          <w:p w14:paraId="38184DD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③预算额度测算依据是否充分，是否按照标准编制；</w:t>
            </w:r>
          </w:p>
          <w:p w14:paraId="1A273080">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④预算确定的项目投资额或资金量是否与工作任务相匹配。</w:t>
            </w:r>
          </w:p>
        </w:tc>
        <w:tc>
          <w:tcPr>
            <w:tcW w:w="1227" w:type="dxa"/>
            <w:shd w:val="clear" w:color="auto" w:fill="auto"/>
            <w:noWrap/>
            <w:vAlign w:val="center"/>
          </w:tcPr>
          <w:p w14:paraId="6ED35E6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c>
          <w:tcPr>
            <w:tcW w:w="0" w:type="auto"/>
            <w:shd w:val="clear" w:color="auto" w:fill="auto"/>
            <w:noWrap/>
            <w:vAlign w:val="center"/>
          </w:tcPr>
          <w:p w14:paraId="1CCF88D2">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r>
      <w:tr w14:paraId="3DD8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2" w:hRule="atLeast"/>
        </w:trPr>
        <w:tc>
          <w:tcPr>
            <w:tcW w:w="1225" w:type="dxa"/>
            <w:vMerge w:val="continue"/>
            <w:shd w:val="clear" w:color="auto" w:fill="FFFFFF"/>
            <w:vAlign w:val="center"/>
          </w:tcPr>
          <w:p w14:paraId="5B3524ED">
            <w:pPr>
              <w:pStyle w:val="11"/>
              <w:jc w:val="both"/>
              <w:rPr>
                <w:rFonts w:hint="eastAsia" w:ascii="宋体" w:hAnsi="宋体" w:eastAsia="宋体" w:cs="宋体"/>
                <w:b w:val="0"/>
                <w:bCs w:val="0"/>
                <w:sz w:val="22"/>
                <w:szCs w:val="22"/>
              </w:rPr>
            </w:pPr>
          </w:p>
        </w:tc>
        <w:tc>
          <w:tcPr>
            <w:tcW w:w="1203" w:type="dxa"/>
            <w:vMerge w:val="continue"/>
            <w:shd w:val="clear" w:color="auto" w:fill="FFFFFF"/>
            <w:vAlign w:val="center"/>
          </w:tcPr>
          <w:p w14:paraId="3449C280">
            <w:pPr>
              <w:pStyle w:val="11"/>
              <w:jc w:val="both"/>
              <w:rPr>
                <w:rFonts w:hint="eastAsia" w:ascii="宋体" w:hAnsi="宋体" w:eastAsia="宋体" w:cs="宋体"/>
                <w:b w:val="0"/>
                <w:bCs w:val="0"/>
                <w:sz w:val="22"/>
                <w:szCs w:val="22"/>
              </w:rPr>
            </w:pPr>
          </w:p>
        </w:tc>
        <w:tc>
          <w:tcPr>
            <w:tcW w:w="1404" w:type="dxa"/>
            <w:shd w:val="clear" w:color="auto" w:fill="FFFFFF"/>
            <w:vAlign w:val="center"/>
          </w:tcPr>
          <w:p w14:paraId="1E56C95F">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资金分配合理性</w:t>
            </w:r>
          </w:p>
        </w:tc>
        <w:tc>
          <w:tcPr>
            <w:tcW w:w="2967" w:type="dxa"/>
            <w:shd w:val="clear" w:color="auto" w:fill="FFFFFF"/>
            <w:vAlign w:val="center"/>
          </w:tcPr>
          <w:p w14:paraId="0B3A894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项目预算资金分配是否有测算依据，与补助单位或地方实际是否相适应，用以反映和考核项目预算资金分配的科学性、合理性情况。</w:t>
            </w:r>
          </w:p>
        </w:tc>
        <w:tc>
          <w:tcPr>
            <w:tcW w:w="4701" w:type="dxa"/>
            <w:shd w:val="clear" w:color="auto" w:fill="FFFFFF"/>
            <w:vAlign w:val="center"/>
          </w:tcPr>
          <w:p w14:paraId="4F818CEF">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7954F92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①预算资金分配依据是否充分；</w:t>
            </w:r>
          </w:p>
          <w:p w14:paraId="0C535F9F">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②资金分配额度是否合理，与项目单位或地方实际是否相适应。</w:t>
            </w:r>
          </w:p>
        </w:tc>
        <w:tc>
          <w:tcPr>
            <w:tcW w:w="1227" w:type="dxa"/>
            <w:shd w:val="clear" w:color="auto" w:fill="auto"/>
            <w:noWrap/>
            <w:vAlign w:val="center"/>
          </w:tcPr>
          <w:p w14:paraId="0A382BC0">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c>
          <w:tcPr>
            <w:tcW w:w="0" w:type="auto"/>
            <w:shd w:val="clear" w:color="auto" w:fill="auto"/>
            <w:noWrap/>
            <w:vAlign w:val="center"/>
          </w:tcPr>
          <w:p w14:paraId="0B024BA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3</w:t>
            </w:r>
          </w:p>
        </w:tc>
      </w:tr>
      <w:tr w14:paraId="4314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84" w:hRule="atLeast"/>
        </w:trPr>
        <w:tc>
          <w:tcPr>
            <w:tcW w:w="1225" w:type="dxa"/>
            <w:vMerge w:val="restart"/>
            <w:shd w:val="clear" w:color="auto" w:fill="FFFFFF"/>
            <w:vAlign w:val="center"/>
          </w:tcPr>
          <w:p w14:paraId="63CAD51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过程</w:t>
            </w:r>
          </w:p>
        </w:tc>
        <w:tc>
          <w:tcPr>
            <w:tcW w:w="1203" w:type="dxa"/>
            <w:vMerge w:val="restart"/>
            <w:shd w:val="clear" w:color="auto" w:fill="FFFFFF"/>
            <w:vAlign w:val="center"/>
          </w:tcPr>
          <w:p w14:paraId="2832669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资金管理</w:t>
            </w:r>
          </w:p>
        </w:tc>
        <w:tc>
          <w:tcPr>
            <w:tcW w:w="1404" w:type="dxa"/>
            <w:shd w:val="clear" w:color="auto" w:fill="FFFFFF"/>
            <w:vAlign w:val="center"/>
          </w:tcPr>
          <w:p w14:paraId="5DD3E55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资金到位率</w:t>
            </w:r>
          </w:p>
        </w:tc>
        <w:tc>
          <w:tcPr>
            <w:tcW w:w="2967" w:type="dxa"/>
            <w:shd w:val="clear" w:color="auto" w:fill="FFFFFF"/>
            <w:vAlign w:val="center"/>
          </w:tcPr>
          <w:p w14:paraId="28B99F2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实际到位资金与预算资金的比率，用以反映和考核资金落实情况对项目实施的总体保障程度。</w:t>
            </w:r>
          </w:p>
        </w:tc>
        <w:tc>
          <w:tcPr>
            <w:tcW w:w="4701" w:type="dxa"/>
            <w:shd w:val="clear" w:color="auto" w:fill="FFFFFF"/>
            <w:vAlign w:val="center"/>
          </w:tcPr>
          <w:p w14:paraId="0D10882C">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资金到位率=（实际到位资金/预算资金）×100%。</w:t>
            </w:r>
          </w:p>
          <w:p w14:paraId="50B0795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实际到位资金：一定时期（本年度或项目期）内落实到具体项目的资金。</w:t>
            </w:r>
          </w:p>
          <w:p w14:paraId="5D86889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预算资金：一定时期（本年度或项目期）内预算安排到具体项目的资金。</w:t>
            </w:r>
          </w:p>
        </w:tc>
        <w:tc>
          <w:tcPr>
            <w:tcW w:w="1227" w:type="dxa"/>
            <w:shd w:val="clear" w:color="auto" w:fill="auto"/>
            <w:noWrap/>
            <w:vAlign w:val="center"/>
          </w:tcPr>
          <w:p w14:paraId="24BA45E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c>
          <w:tcPr>
            <w:tcW w:w="0" w:type="auto"/>
            <w:shd w:val="clear" w:color="auto" w:fill="auto"/>
            <w:noWrap/>
            <w:vAlign w:val="center"/>
          </w:tcPr>
          <w:p w14:paraId="23C50CC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r>
      <w:tr w14:paraId="7966D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4" w:hRule="atLeast"/>
        </w:trPr>
        <w:tc>
          <w:tcPr>
            <w:tcW w:w="1225" w:type="dxa"/>
            <w:vMerge w:val="continue"/>
            <w:shd w:val="clear" w:color="auto" w:fill="FFFFFF"/>
            <w:vAlign w:val="center"/>
          </w:tcPr>
          <w:p w14:paraId="3E8BD205">
            <w:pPr>
              <w:pStyle w:val="11"/>
              <w:jc w:val="both"/>
              <w:rPr>
                <w:rFonts w:hint="eastAsia" w:ascii="宋体" w:hAnsi="宋体" w:eastAsia="宋体" w:cs="宋体"/>
                <w:b w:val="0"/>
                <w:bCs w:val="0"/>
                <w:sz w:val="22"/>
                <w:szCs w:val="22"/>
              </w:rPr>
            </w:pPr>
          </w:p>
        </w:tc>
        <w:tc>
          <w:tcPr>
            <w:tcW w:w="1203" w:type="dxa"/>
            <w:vMerge w:val="continue"/>
            <w:shd w:val="clear" w:color="auto" w:fill="FFFFFF"/>
            <w:vAlign w:val="center"/>
          </w:tcPr>
          <w:p w14:paraId="5D1A8A7A">
            <w:pPr>
              <w:pStyle w:val="11"/>
              <w:jc w:val="both"/>
              <w:rPr>
                <w:rFonts w:hint="eastAsia" w:ascii="宋体" w:hAnsi="宋体" w:eastAsia="宋体" w:cs="宋体"/>
                <w:b w:val="0"/>
                <w:bCs w:val="0"/>
                <w:sz w:val="22"/>
                <w:szCs w:val="22"/>
              </w:rPr>
            </w:pPr>
          </w:p>
        </w:tc>
        <w:tc>
          <w:tcPr>
            <w:tcW w:w="1404" w:type="dxa"/>
            <w:shd w:val="clear" w:color="auto" w:fill="FFFFFF"/>
            <w:vAlign w:val="center"/>
          </w:tcPr>
          <w:p w14:paraId="7570580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预算执行率</w:t>
            </w:r>
          </w:p>
        </w:tc>
        <w:tc>
          <w:tcPr>
            <w:tcW w:w="2967" w:type="dxa"/>
            <w:shd w:val="clear" w:color="auto" w:fill="FFFFFF"/>
            <w:vAlign w:val="center"/>
          </w:tcPr>
          <w:p w14:paraId="4B1ECE9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项目预算资金是否按照计划执行，用以反映或考核项目预算执行情况。</w:t>
            </w:r>
          </w:p>
        </w:tc>
        <w:tc>
          <w:tcPr>
            <w:tcW w:w="4701" w:type="dxa"/>
            <w:shd w:val="clear" w:color="auto" w:fill="FFFFFF"/>
            <w:vAlign w:val="center"/>
          </w:tcPr>
          <w:p w14:paraId="4B057FBC">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预算执行率=（实际支出资金/实际到位资金）×100%。</w:t>
            </w:r>
          </w:p>
          <w:p w14:paraId="7D264920">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实际支出资金：一定时期（本年度或项目期）内项目实际拨付的资金。</w:t>
            </w:r>
          </w:p>
        </w:tc>
        <w:tc>
          <w:tcPr>
            <w:tcW w:w="1227" w:type="dxa"/>
            <w:shd w:val="clear" w:color="auto" w:fill="auto"/>
            <w:noWrap/>
            <w:vAlign w:val="center"/>
          </w:tcPr>
          <w:p w14:paraId="0CD6949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c>
          <w:tcPr>
            <w:tcW w:w="0" w:type="auto"/>
            <w:shd w:val="clear" w:color="auto" w:fill="auto"/>
            <w:noWrap/>
            <w:vAlign w:val="center"/>
          </w:tcPr>
          <w:p w14:paraId="126616F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r>
      <w:tr w14:paraId="1D91D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2" w:hRule="atLeast"/>
        </w:trPr>
        <w:tc>
          <w:tcPr>
            <w:tcW w:w="1225" w:type="dxa"/>
            <w:vMerge w:val="continue"/>
            <w:shd w:val="clear" w:color="auto" w:fill="FFFFFF"/>
            <w:vAlign w:val="center"/>
          </w:tcPr>
          <w:p w14:paraId="36A0304C">
            <w:pPr>
              <w:pStyle w:val="11"/>
              <w:jc w:val="both"/>
              <w:rPr>
                <w:rFonts w:hint="eastAsia" w:ascii="宋体" w:hAnsi="宋体" w:eastAsia="宋体" w:cs="宋体"/>
                <w:b w:val="0"/>
                <w:bCs w:val="0"/>
                <w:sz w:val="22"/>
                <w:szCs w:val="22"/>
              </w:rPr>
            </w:pPr>
          </w:p>
        </w:tc>
        <w:tc>
          <w:tcPr>
            <w:tcW w:w="1203" w:type="dxa"/>
            <w:shd w:val="clear" w:color="auto" w:fill="FFFFFF"/>
            <w:vAlign w:val="center"/>
          </w:tcPr>
          <w:p w14:paraId="0C8D31D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资金管理</w:t>
            </w:r>
          </w:p>
        </w:tc>
        <w:tc>
          <w:tcPr>
            <w:tcW w:w="1404" w:type="dxa"/>
            <w:shd w:val="clear" w:color="auto" w:fill="FFFFFF"/>
            <w:vAlign w:val="center"/>
          </w:tcPr>
          <w:p w14:paraId="3ADFB2B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资金使用合规性</w:t>
            </w:r>
          </w:p>
        </w:tc>
        <w:tc>
          <w:tcPr>
            <w:tcW w:w="2967" w:type="dxa"/>
            <w:shd w:val="clear" w:color="auto" w:fill="FFFFFF"/>
            <w:vAlign w:val="center"/>
          </w:tcPr>
          <w:p w14:paraId="3F149BD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项目资金使用是否符合相关的财务管理制度规定，用以反映和考核项目资金的规范运行情况。</w:t>
            </w:r>
          </w:p>
        </w:tc>
        <w:tc>
          <w:tcPr>
            <w:tcW w:w="4701" w:type="dxa"/>
            <w:shd w:val="clear" w:color="auto" w:fill="FFFFFF"/>
            <w:vAlign w:val="center"/>
          </w:tcPr>
          <w:p w14:paraId="206C92EF">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3344BBE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①是否符合国家财经法规和财务管理制度以及有关专项资金管理办法的规定；</w:t>
            </w:r>
          </w:p>
          <w:p w14:paraId="591B45EF">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②资金的拨付是否有完整的审批程序和手续；</w:t>
            </w:r>
          </w:p>
          <w:p w14:paraId="65B465C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③是否符合项目预算批复或合同规定的用途；</w:t>
            </w:r>
          </w:p>
          <w:p w14:paraId="27E75CD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④是否存在截留、挤占、挪用、虚列支出等情况。</w:t>
            </w:r>
          </w:p>
        </w:tc>
        <w:tc>
          <w:tcPr>
            <w:tcW w:w="1227" w:type="dxa"/>
            <w:shd w:val="clear" w:color="auto" w:fill="auto"/>
            <w:noWrap/>
            <w:vAlign w:val="center"/>
          </w:tcPr>
          <w:p w14:paraId="11C62FD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c>
          <w:tcPr>
            <w:tcW w:w="0" w:type="auto"/>
            <w:shd w:val="clear" w:color="auto" w:fill="auto"/>
            <w:noWrap/>
            <w:vAlign w:val="center"/>
          </w:tcPr>
          <w:p w14:paraId="23565443">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r>
      <w:tr w14:paraId="30C0F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8" w:hRule="atLeast"/>
        </w:trPr>
        <w:tc>
          <w:tcPr>
            <w:tcW w:w="1225" w:type="dxa"/>
            <w:vMerge w:val="continue"/>
            <w:shd w:val="clear" w:color="auto" w:fill="FFFFFF"/>
            <w:vAlign w:val="center"/>
          </w:tcPr>
          <w:p w14:paraId="409EF517">
            <w:pPr>
              <w:pStyle w:val="11"/>
              <w:jc w:val="both"/>
              <w:rPr>
                <w:rFonts w:hint="eastAsia" w:ascii="宋体" w:hAnsi="宋体" w:eastAsia="宋体" w:cs="宋体"/>
                <w:b w:val="0"/>
                <w:bCs w:val="0"/>
                <w:sz w:val="22"/>
                <w:szCs w:val="22"/>
              </w:rPr>
            </w:pPr>
          </w:p>
        </w:tc>
        <w:tc>
          <w:tcPr>
            <w:tcW w:w="1203" w:type="dxa"/>
            <w:vMerge w:val="restart"/>
            <w:shd w:val="clear" w:color="auto" w:fill="FFFFFF"/>
            <w:vAlign w:val="center"/>
          </w:tcPr>
          <w:p w14:paraId="0EB61E3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组织实施</w:t>
            </w:r>
          </w:p>
        </w:tc>
        <w:tc>
          <w:tcPr>
            <w:tcW w:w="1404" w:type="dxa"/>
            <w:shd w:val="clear" w:color="auto" w:fill="FFFFFF"/>
            <w:vAlign w:val="center"/>
          </w:tcPr>
          <w:p w14:paraId="17E1FFA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管理制度健全性</w:t>
            </w:r>
          </w:p>
        </w:tc>
        <w:tc>
          <w:tcPr>
            <w:tcW w:w="2967" w:type="dxa"/>
            <w:shd w:val="clear" w:color="auto" w:fill="FFFFFF"/>
            <w:vAlign w:val="center"/>
          </w:tcPr>
          <w:p w14:paraId="16C8B15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项目实施单位的财务和业务管理制度是否健全，用以反映和考核财务和业务管理制度对项目顺利实施的保障情况。</w:t>
            </w:r>
          </w:p>
        </w:tc>
        <w:tc>
          <w:tcPr>
            <w:tcW w:w="4701" w:type="dxa"/>
            <w:shd w:val="clear" w:color="auto" w:fill="FFFFFF"/>
            <w:vAlign w:val="center"/>
          </w:tcPr>
          <w:p w14:paraId="64D57E38">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2D7EDB6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①是否已制定或具有相应的财务和业务管理制度；</w:t>
            </w:r>
          </w:p>
          <w:p w14:paraId="76367F4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②财务和业务管理制度是否合法、合规、完整。</w:t>
            </w:r>
          </w:p>
        </w:tc>
        <w:tc>
          <w:tcPr>
            <w:tcW w:w="1227" w:type="dxa"/>
            <w:shd w:val="clear" w:color="auto" w:fill="auto"/>
            <w:noWrap/>
            <w:vAlign w:val="center"/>
          </w:tcPr>
          <w:p w14:paraId="68D837A2">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c>
          <w:tcPr>
            <w:tcW w:w="0" w:type="auto"/>
            <w:shd w:val="clear" w:color="auto" w:fill="auto"/>
            <w:noWrap/>
            <w:vAlign w:val="center"/>
          </w:tcPr>
          <w:p w14:paraId="24E66C0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r>
      <w:tr w14:paraId="7A8A0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32" w:hRule="atLeast"/>
        </w:trPr>
        <w:tc>
          <w:tcPr>
            <w:tcW w:w="1225" w:type="dxa"/>
            <w:vMerge w:val="continue"/>
            <w:shd w:val="clear" w:color="auto" w:fill="FFFFFF"/>
            <w:vAlign w:val="center"/>
          </w:tcPr>
          <w:p w14:paraId="3980033E">
            <w:pPr>
              <w:pStyle w:val="11"/>
              <w:jc w:val="both"/>
              <w:rPr>
                <w:rFonts w:hint="eastAsia" w:ascii="宋体" w:hAnsi="宋体" w:eastAsia="宋体" w:cs="宋体"/>
                <w:b w:val="0"/>
                <w:bCs w:val="0"/>
                <w:sz w:val="22"/>
                <w:szCs w:val="22"/>
              </w:rPr>
            </w:pPr>
          </w:p>
        </w:tc>
        <w:tc>
          <w:tcPr>
            <w:tcW w:w="1203" w:type="dxa"/>
            <w:vMerge w:val="continue"/>
            <w:shd w:val="clear" w:color="auto" w:fill="FFFFFF"/>
            <w:vAlign w:val="center"/>
          </w:tcPr>
          <w:p w14:paraId="10DF7664">
            <w:pPr>
              <w:pStyle w:val="11"/>
              <w:jc w:val="both"/>
              <w:rPr>
                <w:rFonts w:hint="eastAsia" w:ascii="宋体" w:hAnsi="宋体" w:eastAsia="宋体" w:cs="宋体"/>
                <w:b w:val="0"/>
                <w:bCs w:val="0"/>
                <w:sz w:val="22"/>
                <w:szCs w:val="22"/>
              </w:rPr>
            </w:pPr>
          </w:p>
        </w:tc>
        <w:tc>
          <w:tcPr>
            <w:tcW w:w="1404" w:type="dxa"/>
            <w:shd w:val="clear" w:color="auto" w:fill="FFFFFF"/>
            <w:vAlign w:val="center"/>
          </w:tcPr>
          <w:p w14:paraId="71385280">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制度执行有效性</w:t>
            </w:r>
          </w:p>
        </w:tc>
        <w:tc>
          <w:tcPr>
            <w:tcW w:w="2967" w:type="dxa"/>
            <w:shd w:val="clear" w:color="auto" w:fill="FFFFFF"/>
            <w:vAlign w:val="center"/>
          </w:tcPr>
          <w:p w14:paraId="2803B73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项目实施是否符合相关管理规定，用以反映和考核相关管理制度的有效执行情况。</w:t>
            </w:r>
          </w:p>
        </w:tc>
        <w:tc>
          <w:tcPr>
            <w:tcW w:w="4701" w:type="dxa"/>
            <w:shd w:val="clear" w:color="auto" w:fill="FFFFFF"/>
            <w:vAlign w:val="center"/>
          </w:tcPr>
          <w:p w14:paraId="52945D7D">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评价要点：</w:t>
            </w:r>
          </w:p>
          <w:p w14:paraId="5738FFF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①是否遵守相关法律法规和相关管理规定；</w:t>
            </w:r>
          </w:p>
          <w:p w14:paraId="3413315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②项目调整及支出调整手续是否完备；</w:t>
            </w:r>
          </w:p>
          <w:p w14:paraId="70C95ED0">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③项目合同书、验收报告、技术鉴定等资料是否齐全并及时归档；</w:t>
            </w:r>
          </w:p>
          <w:p w14:paraId="19E2F70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④项目实施的人员条件、场地设备、信息支撑等是否落实到位。</w:t>
            </w:r>
          </w:p>
        </w:tc>
        <w:tc>
          <w:tcPr>
            <w:tcW w:w="1227" w:type="dxa"/>
            <w:shd w:val="clear" w:color="auto" w:fill="auto"/>
            <w:noWrap/>
            <w:vAlign w:val="center"/>
          </w:tcPr>
          <w:p w14:paraId="06569C29">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c>
          <w:tcPr>
            <w:tcW w:w="0" w:type="auto"/>
            <w:shd w:val="clear" w:color="auto" w:fill="auto"/>
            <w:noWrap/>
            <w:vAlign w:val="center"/>
          </w:tcPr>
          <w:p w14:paraId="7D17CA94">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4</w:t>
            </w:r>
          </w:p>
        </w:tc>
      </w:tr>
      <w:tr w14:paraId="67791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4" w:hRule="atLeast"/>
        </w:trPr>
        <w:tc>
          <w:tcPr>
            <w:tcW w:w="1225" w:type="dxa"/>
            <w:vMerge w:val="restart"/>
            <w:shd w:val="clear" w:color="auto" w:fill="FFFFFF"/>
            <w:vAlign w:val="center"/>
          </w:tcPr>
          <w:p w14:paraId="52000E9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产出</w:t>
            </w:r>
          </w:p>
        </w:tc>
        <w:tc>
          <w:tcPr>
            <w:tcW w:w="1203" w:type="dxa"/>
            <w:shd w:val="clear" w:color="auto" w:fill="FFFFFF"/>
            <w:vAlign w:val="center"/>
          </w:tcPr>
          <w:p w14:paraId="784CEF93">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产出数量</w:t>
            </w:r>
          </w:p>
        </w:tc>
        <w:tc>
          <w:tcPr>
            <w:tcW w:w="1404" w:type="dxa"/>
            <w:shd w:val="clear" w:color="auto" w:fill="FFFFFF"/>
            <w:vAlign w:val="center"/>
          </w:tcPr>
          <w:p w14:paraId="4EEA506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实际完成率</w:t>
            </w:r>
          </w:p>
        </w:tc>
        <w:tc>
          <w:tcPr>
            <w:tcW w:w="2967" w:type="dxa"/>
            <w:shd w:val="clear" w:color="auto" w:fill="FFFFFF"/>
            <w:vAlign w:val="center"/>
          </w:tcPr>
          <w:p w14:paraId="6FBD3C6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项目实施的实际产出数与计划产出数的比率，用以反映和考核项目产出数量目标的实现程度。</w:t>
            </w:r>
          </w:p>
        </w:tc>
        <w:tc>
          <w:tcPr>
            <w:tcW w:w="4701" w:type="dxa"/>
            <w:shd w:val="clear" w:color="auto" w:fill="FFFFFF"/>
            <w:vAlign w:val="center"/>
          </w:tcPr>
          <w:p w14:paraId="03505793">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实际完成率=（实际产出数/计划产出数）×100%。</w:t>
            </w:r>
          </w:p>
          <w:p w14:paraId="2E4610A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实际产出数：一定时期（本年度或项目期）内项目实际产出的产品或提供的服务数量。</w:t>
            </w:r>
          </w:p>
          <w:p w14:paraId="2EDCD05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计划产出数：项目绩效目标确定的在一定时期（本年度或项目期）内计划产出的产品或提供的服务数量。</w:t>
            </w:r>
          </w:p>
        </w:tc>
        <w:tc>
          <w:tcPr>
            <w:tcW w:w="1227" w:type="dxa"/>
            <w:shd w:val="clear" w:color="auto" w:fill="auto"/>
            <w:noWrap/>
            <w:vAlign w:val="center"/>
          </w:tcPr>
          <w:p w14:paraId="279D3DB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c>
          <w:tcPr>
            <w:tcW w:w="0" w:type="auto"/>
            <w:shd w:val="clear" w:color="auto" w:fill="auto"/>
            <w:noWrap/>
            <w:vAlign w:val="center"/>
          </w:tcPr>
          <w:p w14:paraId="1CB180D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8</w:t>
            </w:r>
          </w:p>
        </w:tc>
      </w:tr>
      <w:tr w14:paraId="00D4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68" w:hRule="atLeast"/>
        </w:trPr>
        <w:tc>
          <w:tcPr>
            <w:tcW w:w="1225" w:type="dxa"/>
            <w:vMerge w:val="continue"/>
            <w:shd w:val="clear" w:color="auto" w:fill="FFFFFF"/>
            <w:vAlign w:val="center"/>
          </w:tcPr>
          <w:p w14:paraId="177922D0">
            <w:pPr>
              <w:pStyle w:val="11"/>
              <w:jc w:val="both"/>
              <w:rPr>
                <w:rFonts w:hint="eastAsia" w:ascii="宋体" w:hAnsi="宋体" w:eastAsia="宋体" w:cs="宋体"/>
                <w:b w:val="0"/>
                <w:bCs w:val="0"/>
                <w:sz w:val="22"/>
                <w:szCs w:val="22"/>
              </w:rPr>
            </w:pPr>
          </w:p>
        </w:tc>
        <w:tc>
          <w:tcPr>
            <w:tcW w:w="1203" w:type="dxa"/>
            <w:shd w:val="clear" w:color="auto" w:fill="FFFFFF"/>
            <w:vAlign w:val="center"/>
          </w:tcPr>
          <w:p w14:paraId="1ED5B31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产出质量</w:t>
            </w:r>
          </w:p>
        </w:tc>
        <w:tc>
          <w:tcPr>
            <w:tcW w:w="1404" w:type="dxa"/>
            <w:shd w:val="clear" w:color="auto" w:fill="FFFFFF"/>
            <w:vAlign w:val="center"/>
          </w:tcPr>
          <w:p w14:paraId="25DCF37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质量达标率</w:t>
            </w:r>
          </w:p>
        </w:tc>
        <w:tc>
          <w:tcPr>
            <w:tcW w:w="2967" w:type="dxa"/>
            <w:shd w:val="clear" w:color="auto" w:fill="FFFFFF"/>
            <w:vAlign w:val="center"/>
          </w:tcPr>
          <w:p w14:paraId="175D735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项目完成的质量达标产出数与实际产出数的比率，用以反映和考核项目产出质量目标的实现程度。</w:t>
            </w:r>
          </w:p>
        </w:tc>
        <w:tc>
          <w:tcPr>
            <w:tcW w:w="4701" w:type="dxa"/>
            <w:shd w:val="clear" w:color="auto" w:fill="FFFFFF"/>
            <w:vAlign w:val="center"/>
          </w:tcPr>
          <w:p w14:paraId="7703397A">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质量达标率=（质量达标产出数/实际产出数）×100%。</w:t>
            </w:r>
          </w:p>
          <w:p w14:paraId="2B3342E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27" w:type="dxa"/>
            <w:shd w:val="clear" w:color="auto" w:fill="auto"/>
            <w:noWrap/>
            <w:vAlign w:val="center"/>
          </w:tcPr>
          <w:p w14:paraId="0C4E875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c>
          <w:tcPr>
            <w:tcW w:w="0" w:type="auto"/>
            <w:shd w:val="clear" w:color="auto" w:fill="auto"/>
            <w:noWrap/>
            <w:vAlign w:val="center"/>
          </w:tcPr>
          <w:p w14:paraId="563BB766">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r>
      <w:tr w14:paraId="13DD6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1225" w:type="dxa"/>
            <w:vMerge w:val="continue"/>
            <w:shd w:val="clear" w:color="auto" w:fill="FFFFFF"/>
            <w:vAlign w:val="center"/>
          </w:tcPr>
          <w:p w14:paraId="4F3E4F01">
            <w:pPr>
              <w:pStyle w:val="11"/>
              <w:jc w:val="both"/>
              <w:rPr>
                <w:rFonts w:hint="eastAsia" w:ascii="宋体" w:hAnsi="宋体" w:eastAsia="宋体" w:cs="宋体"/>
                <w:b w:val="0"/>
                <w:bCs w:val="0"/>
                <w:sz w:val="22"/>
                <w:szCs w:val="22"/>
              </w:rPr>
            </w:pPr>
          </w:p>
        </w:tc>
        <w:tc>
          <w:tcPr>
            <w:tcW w:w="1203" w:type="dxa"/>
            <w:shd w:val="clear" w:color="auto" w:fill="FFFFFF"/>
            <w:vAlign w:val="center"/>
          </w:tcPr>
          <w:p w14:paraId="4C2005C0">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产出时效</w:t>
            </w:r>
          </w:p>
        </w:tc>
        <w:tc>
          <w:tcPr>
            <w:tcW w:w="1404" w:type="dxa"/>
            <w:shd w:val="clear" w:color="auto" w:fill="FFFFFF"/>
            <w:vAlign w:val="center"/>
          </w:tcPr>
          <w:p w14:paraId="675CD0D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完成及时性</w:t>
            </w:r>
          </w:p>
        </w:tc>
        <w:tc>
          <w:tcPr>
            <w:tcW w:w="2967" w:type="dxa"/>
            <w:shd w:val="clear" w:color="auto" w:fill="FFFFFF"/>
            <w:vAlign w:val="center"/>
          </w:tcPr>
          <w:p w14:paraId="07E9A34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项目实际完成时间与计划完成时间的比较，用以反映和考核项目产出时效目标的实现程度。</w:t>
            </w:r>
          </w:p>
        </w:tc>
        <w:tc>
          <w:tcPr>
            <w:tcW w:w="4701" w:type="dxa"/>
            <w:shd w:val="clear" w:color="auto" w:fill="FFFFFF"/>
            <w:vAlign w:val="center"/>
          </w:tcPr>
          <w:p w14:paraId="14E76273">
            <w:pPr>
              <w:pStyle w:val="11"/>
              <w:jc w:val="both"/>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实际完成时间：项目实施单位完成该项目实际所耗用的时间。</w:t>
            </w:r>
          </w:p>
          <w:p w14:paraId="0224CFF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计划完成时间：按照项目实施计划或相关规定完成该项目所需的时间。</w:t>
            </w:r>
          </w:p>
        </w:tc>
        <w:tc>
          <w:tcPr>
            <w:tcW w:w="1227" w:type="dxa"/>
            <w:shd w:val="clear" w:color="auto" w:fill="auto"/>
            <w:noWrap/>
            <w:vAlign w:val="center"/>
          </w:tcPr>
          <w:p w14:paraId="35E92A3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c>
          <w:tcPr>
            <w:tcW w:w="0" w:type="auto"/>
            <w:shd w:val="clear" w:color="auto" w:fill="auto"/>
            <w:noWrap/>
            <w:vAlign w:val="center"/>
          </w:tcPr>
          <w:p w14:paraId="2AA8A8C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r>
      <w:tr w14:paraId="223D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225" w:type="dxa"/>
            <w:vMerge w:val="continue"/>
            <w:shd w:val="clear" w:color="auto" w:fill="FFFFFF"/>
            <w:vAlign w:val="center"/>
          </w:tcPr>
          <w:p w14:paraId="1493129F">
            <w:pPr>
              <w:pStyle w:val="11"/>
              <w:jc w:val="both"/>
              <w:rPr>
                <w:rFonts w:hint="eastAsia" w:ascii="宋体" w:hAnsi="宋体" w:eastAsia="宋体" w:cs="宋体"/>
                <w:b w:val="0"/>
                <w:bCs w:val="0"/>
                <w:sz w:val="22"/>
                <w:szCs w:val="22"/>
              </w:rPr>
            </w:pPr>
          </w:p>
        </w:tc>
        <w:tc>
          <w:tcPr>
            <w:tcW w:w="1203" w:type="dxa"/>
            <w:vMerge w:val="restart"/>
            <w:shd w:val="clear" w:color="auto" w:fill="FFFFFF"/>
            <w:vAlign w:val="center"/>
          </w:tcPr>
          <w:p w14:paraId="7E3B14F3">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产出成本</w:t>
            </w:r>
          </w:p>
        </w:tc>
        <w:tc>
          <w:tcPr>
            <w:tcW w:w="1404" w:type="dxa"/>
            <w:vMerge w:val="restart"/>
            <w:shd w:val="clear" w:color="auto" w:fill="FFFFFF"/>
            <w:vAlign w:val="center"/>
          </w:tcPr>
          <w:p w14:paraId="0C85B5A1">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成本节约率</w:t>
            </w:r>
          </w:p>
        </w:tc>
        <w:tc>
          <w:tcPr>
            <w:tcW w:w="2967" w:type="dxa"/>
            <w:vMerge w:val="restart"/>
            <w:shd w:val="clear" w:color="auto" w:fill="FFFFFF"/>
            <w:vAlign w:val="center"/>
          </w:tcPr>
          <w:p w14:paraId="1F7D25E0">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完成项目计划工作目标的实际节约成本与计划成本的比率，用以反映和考核项目的成本节约程度。</w:t>
            </w:r>
          </w:p>
        </w:tc>
        <w:tc>
          <w:tcPr>
            <w:tcW w:w="4701" w:type="dxa"/>
            <w:shd w:val="clear" w:color="auto" w:fill="FFFFFF"/>
            <w:vAlign w:val="center"/>
          </w:tcPr>
          <w:p w14:paraId="015C7D69">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成本节约率=[（计划成本-实际成本）/计划成本]×100%。</w:t>
            </w:r>
          </w:p>
        </w:tc>
        <w:tc>
          <w:tcPr>
            <w:tcW w:w="1227" w:type="dxa"/>
            <w:vMerge w:val="restart"/>
            <w:shd w:val="clear" w:color="auto" w:fill="auto"/>
            <w:noWrap/>
            <w:vAlign w:val="center"/>
          </w:tcPr>
          <w:p w14:paraId="4A92693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c>
          <w:tcPr>
            <w:tcW w:w="0" w:type="auto"/>
            <w:vMerge w:val="restart"/>
            <w:shd w:val="clear" w:color="auto" w:fill="auto"/>
            <w:noWrap/>
            <w:vAlign w:val="center"/>
          </w:tcPr>
          <w:p w14:paraId="18CE77D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7</w:t>
            </w:r>
          </w:p>
        </w:tc>
      </w:tr>
      <w:tr w14:paraId="26B0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8" w:hRule="atLeast"/>
        </w:trPr>
        <w:tc>
          <w:tcPr>
            <w:tcW w:w="1225" w:type="dxa"/>
            <w:vMerge w:val="continue"/>
            <w:shd w:val="clear" w:color="auto" w:fill="FFFFFF"/>
            <w:vAlign w:val="center"/>
          </w:tcPr>
          <w:p w14:paraId="6DC4BCCF">
            <w:pPr>
              <w:pStyle w:val="11"/>
              <w:jc w:val="both"/>
              <w:rPr>
                <w:rFonts w:hint="eastAsia" w:ascii="宋体" w:hAnsi="宋体" w:eastAsia="宋体" w:cs="宋体"/>
                <w:b w:val="0"/>
                <w:bCs w:val="0"/>
                <w:sz w:val="22"/>
                <w:szCs w:val="22"/>
              </w:rPr>
            </w:pPr>
          </w:p>
        </w:tc>
        <w:tc>
          <w:tcPr>
            <w:tcW w:w="1203" w:type="dxa"/>
            <w:vMerge w:val="continue"/>
            <w:shd w:val="clear" w:color="auto" w:fill="FFFFFF"/>
            <w:vAlign w:val="center"/>
          </w:tcPr>
          <w:p w14:paraId="097C768F">
            <w:pPr>
              <w:pStyle w:val="11"/>
              <w:jc w:val="both"/>
              <w:rPr>
                <w:rFonts w:hint="eastAsia" w:ascii="宋体" w:hAnsi="宋体" w:eastAsia="宋体" w:cs="宋体"/>
                <w:b w:val="0"/>
                <w:bCs w:val="0"/>
                <w:sz w:val="22"/>
                <w:szCs w:val="22"/>
              </w:rPr>
            </w:pPr>
          </w:p>
        </w:tc>
        <w:tc>
          <w:tcPr>
            <w:tcW w:w="1404" w:type="dxa"/>
            <w:vMerge w:val="continue"/>
            <w:shd w:val="clear" w:color="auto" w:fill="FFFFFF"/>
            <w:vAlign w:val="center"/>
          </w:tcPr>
          <w:p w14:paraId="75D17365">
            <w:pPr>
              <w:pStyle w:val="11"/>
              <w:jc w:val="both"/>
              <w:rPr>
                <w:rFonts w:hint="eastAsia" w:ascii="宋体" w:hAnsi="宋体" w:eastAsia="宋体" w:cs="宋体"/>
                <w:b w:val="0"/>
                <w:bCs w:val="0"/>
                <w:sz w:val="22"/>
                <w:szCs w:val="22"/>
              </w:rPr>
            </w:pPr>
          </w:p>
        </w:tc>
        <w:tc>
          <w:tcPr>
            <w:tcW w:w="2967" w:type="dxa"/>
            <w:vMerge w:val="continue"/>
            <w:shd w:val="clear" w:color="auto" w:fill="FFFFFF"/>
            <w:vAlign w:val="center"/>
          </w:tcPr>
          <w:p w14:paraId="6E929BB1">
            <w:pPr>
              <w:pStyle w:val="11"/>
              <w:jc w:val="both"/>
              <w:rPr>
                <w:rFonts w:hint="eastAsia" w:ascii="宋体" w:hAnsi="宋体" w:eastAsia="宋体" w:cs="宋体"/>
                <w:b w:val="0"/>
                <w:bCs w:val="0"/>
                <w:sz w:val="22"/>
                <w:szCs w:val="22"/>
              </w:rPr>
            </w:pPr>
          </w:p>
        </w:tc>
        <w:tc>
          <w:tcPr>
            <w:tcW w:w="4701" w:type="dxa"/>
            <w:shd w:val="clear" w:color="auto" w:fill="FFFFFF"/>
            <w:vAlign w:val="center"/>
          </w:tcPr>
          <w:p w14:paraId="745852F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实际成本：项目实施单位如期、保质、保量完成既定工作目标实际所耗费的支出。</w:t>
            </w:r>
          </w:p>
        </w:tc>
        <w:tc>
          <w:tcPr>
            <w:tcW w:w="1227" w:type="dxa"/>
            <w:vMerge w:val="continue"/>
            <w:shd w:val="clear" w:color="auto" w:fill="auto"/>
            <w:noWrap/>
            <w:vAlign w:val="center"/>
          </w:tcPr>
          <w:p w14:paraId="256CD1D4">
            <w:pPr>
              <w:pStyle w:val="11"/>
              <w:jc w:val="both"/>
              <w:rPr>
                <w:rFonts w:hint="eastAsia" w:ascii="宋体" w:hAnsi="宋体" w:eastAsia="宋体" w:cs="宋体"/>
                <w:b w:val="0"/>
                <w:bCs w:val="0"/>
                <w:sz w:val="22"/>
                <w:szCs w:val="22"/>
              </w:rPr>
            </w:pPr>
          </w:p>
        </w:tc>
        <w:tc>
          <w:tcPr>
            <w:tcW w:w="0" w:type="auto"/>
            <w:vMerge w:val="continue"/>
            <w:shd w:val="clear" w:color="auto" w:fill="auto"/>
            <w:noWrap/>
            <w:vAlign w:val="center"/>
          </w:tcPr>
          <w:p w14:paraId="0704F1D5">
            <w:pPr>
              <w:pStyle w:val="11"/>
              <w:jc w:val="both"/>
              <w:rPr>
                <w:rFonts w:hint="eastAsia" w:ascii="宋体" w:hAnsi="宋体" w:eastAsia="宋体" w:cs="宋体"/>
                <w:b w:val="0"/>
                <w:bCs w:val="0"/>
                <w:sz w:val="22"/>
                <w:szCs w:val="22"/>
              </w:rPr>
            </w:pPr>
          </w:p>
        </w:tc>
      </w:tr>
      <w:tr w14:paraId="7DEC4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225" w:type="dxa"/>
            <w:vMerge w:val="continue"/>
            <w:shd w:val="clear" w:color="auto" w:fill="FFFFFF"/>
            <w:vAlign w:val="center"/>
          </w:tcPr>
          <w:p w14:paraId="26CE05A9">
            <w:pPr>
              <w:pStyle w:val="11"/>
              <w:jc w:val="both"/>
              <w:rPr>
                <w:rFonts w:hint="eastAsia" w:ascii="宋体" w:hAnsi="宋体" w:eastAsia="宋体" w:cs="宋体"/>
                <w:b w:val="0"/>
                <w:bCs w:val="0"/>
                <w:sz w:val="22"/>
                <w:szCs w:val="22"/>
              </w:rPr>
            </w:pPr>
          </w:p>
        </w:tc>
        <w:tc>
          <w:tcPr>
            <w:tcW w:w="1203" w:type="dxa"/>
            <w:vMerge w:val="continue"/>
            <w:shd w:val="clear" w:color="auto" w:fill="FFFFFF"/>
            <w:vAlign w:val="center"/>
          </w:tcPr>
          <w:p w14:paraId="1CC7DFC4">
            <w:pPr>
              <w:pStyle w:val="11"/>
              <w:jc w:val="both"/>
              <w:rPr>
                <w:rFonts w:hint="eastAsia" w:ascii="宋体" w:hAnsi="宋体" w:eastAsia="宋体" w:cs="宋体"/>
                <w:b w:val="0"/>
                <w:bCs w:val="0"/>
                <w:sz w:val="22"/>
                <w:szCs w:val="22"/>
              </w:rPr>
            </w:pPr>
          </w:p>
        </w:tc>
        <w:tc>
          <w:tcPr>
            <w:tcW w:w="1404" w:type="dxa"/>
            <w:vMerge w:val="continue"/>
            <w:shd w:val="clear" w:color="auto" w:fill="FFFFFF"/>
            <w:vAlign w:val="center"/>
          </w:tcPr>
          <w:p w14:paraId="53D7F80C">
            <w:pPr>
              <w:pStyle w:val="11"/>
              <w:jc w:val="both"/>
              <w:rPr>
                <w:rFonts w:hint="eastAsia" w:ascii="宋体" w:hAnsi="宋体" w:eastAsia="宋体" w:cs="宋体"/>
                <w:b w:val="0"/>
                <w:bCs w:val="0"/>
                <w:sz w:val="22"/>
                <w:szCs w:val="22"/>
              </w:rPr>
            </w:pPr>
          </w:p>
        </w:tc>
        <w:tc>
          <w:tcPr>
            <w:tcW w:w="2967" w:type="dxa"/>
            <w:vMerge w:val="continue"/>
            <w:shd w:val="clear" w:color="auto" w:fill="FFFFFF"/>
            <w:vAlign w:val="center"/>
          </w:tcPr>
          <w:p w14:paraId="7F4C5F42">
            <w:pPr>
              <w:pStyle w:val="11"/>
              <w:jc w:val="both"/>
              <w:rPr>
                <w:rFonts w:hint="eastAsia" w:ascii="宋体" w:hAnsi="宋体" w:eastAsia="宋体" w:cs="宋体"/>
                <w:b w:val="0"/>
                <w:bCs w:val="0"/>
                <w:sz w:val="22"/>
                <w:szCs w:val="22"/>
              </w:rPr>
            </w:pPr>
          </w:p>
        </w:tc>
        <w:tc>
          <w:tcPr>
            <w:tcW w:w="4701" w:type="dxa"/>
            <w:shd w:val="clear" w:color="auto" w:fill="FFFFFF"/>
            <w:vAlign w:val="center"/>
          </w:tcPr>
          <w:p w14:paraId="337ABCC3">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计划成本：项目实施单位为完成工作目标计划安排的支出，一般以项目预算为参考。</w:t>
            </w:r>
          </w:p>
        </w:tc>
        <w:tc>
          <w:tcPr>
            <w:tcW w:w="1227" w:type="dxa"/>
            <w:vMerge w:val="continue"/>
            <w:shd w:val="clear" w:color="auto" w:fill="auto"/>
            <w:noWrap/>
            <w:vAlign w:val="center"/>
          </w:tcPr>
          <w:p w14:paraId="3DEFB0D0">
            <w:pPr>
              <w:pStyle w:val="11"/>
              <w:jc w:val="both"/>
              <w:rPr>
                <w:rFonts w:hint="eastAsia" w:ascii="宋体" w:hAnsi="宋体" w:eastAsia="宋体" w:cs="宋体"/>
                <w:b w:val="0"/>
                <w:bCs w:val="0"/>
                <w:sz w:val="22"/>
                <w:szCs w:val="22"/>
              </w:rPr>
            </w:pPr>
          </w:p>
        </w:tc>
        <w:tc>
          <w:tcPr>
            <w:tcW w:w="0" w:type="auto"/>
            <w:vMerge w:val="continue"/>
            <w:shd w:val="clear" w:color="auto" w:fill="auto"/>
            <w:noWrap/>
            <w:vAlign w:val="center"/>
          </w:tcPr>
          <w:p w14:paraId="6939E4DC">
            <w:pPr>
              <w:pStyle w:val="11"/>
              <w:jc w:val="both"/>
              <w:rPr>
                <w:rFonts w:hint="eastAsia" w:ascii="宋体" w:hAnsi="宋体" w:eastAsia="宋体" w:cs="宋体"/>
                <w:b w:val="0"/>
                <w:bCs w:val="0"/>
                <w:sz w:val="22"/>
                <w:szCs w:val="22"/>
              </w:rPr>
            </w:pPr>
          </w:p>
        </w:tc>
      </w:tr>
      <w:tr w14:paraId="3235F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225" w:type="dxa"/>
            <w:vMerge w:val="restart"/>
            <w:shd w:val="clear" w:color="auto" w:fill="FFFFFF"/>
            <w:vAlign w:val="center"/>
          </w:tcPr>
          <w:p w14:paraId="01D989F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效益　</w:t>
            </w:r>
          </w:p>
        </w:tc>
        <w:tc>
          <w:tcPr>
            <w:tcW w:w="1203" w:type="dxa"/>
            <w:vMerge w:val="restart"/>
            <w:shd w:val="clear" w:color="auto" w:fill="FFFFFF"/>
            <w:vAlign w:val="center"/>
          </w:tcPr>
          <w:p w14:paraId="555425F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项目效益　</w:t>
            </w:r>
          </w:p>
        </w:tc>
        <w:tc>
          <w:tcPr>
            <w:tcW w:w="1404" w:type="dxa"/>
            <w:shd w:val="clear" w:color="auto" w:fill="FFFFFF"/>
            <w:vAlign w:val="center"/>
          </w:tcPr>
          <w:p w14:paraId="38F87353">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实施效益</w:t>
            </w:r>
          </w:p>
        </w:tc>
        <w:tc>
          <w:tcPr>
            <w:tcW w:w="2967" w:type="dxa"/>
            <w:shd w:val="clear" w:color="auto" w:fill="FFFFFF"/>
            <w:vAlign w:val="center"/>
          </w:tcPr>
          <w:p w14:paraId="778D6F7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项目实施所产生的效益。</w:t>
            </w:r>
          </w:p>
        </w:tc>
        <w:tc>
          <w:tcPr>
            <w:tcW w:w="4701" w:type="dxa"/>
            <w:shd w:val="clear" w:color="auto" w:fill="FFFFFF"/>
            <w:vAlign w:val="center"/>
          </w:tcPr>
          <w:p w14:paraId="6761AE3C">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项目实施所产生的社会效益、经济效益、生态效益、可持续影响等。可根据项目实际情况有选择地设置和细化。</w:t>
            </w:r>
          </w:p>
        </w:tc>
        <w:tc>
          <w:tcPr>
            <w:tcW w:w="1227" w:type="dxa"/>
            <w:shd w:val="clear" w:color="auto" w:fill="auto"/>
            <w:noWrap/>
            <w:vAlign w:val="center"/>
          </w:tcPr>
          <w:p w14:paraId="00D2727B">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c>
          <w:tcPr>
            <w:tcW w:w="0" w:type="auto"/>
            <w:shd w:val="clear" w:color="auto" w:fill="auto"/>
            <w:noWrap/>
            <w:vAlign w:val="center"/>
          </w:tcPr>
          <w:p w14:paraId="2AF1A8F5">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r>
      <w:tr w14:paraId="2D1FE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225" w:type="dxa"/>
            <w:vMerge w:val="continue"/>
            <w:shd w:val="clear" w:color="auto" w:fill="FFFFFF"/>
            <w:vAlign w:val="center"/>
          </w:tcPr>
          <w:p w14:paraId="5FDF0F5F">
            <w:pPr>
              <w:pStyle w:val="11"/>
              <w:jc w:val="both"/>
              <w:rPr>
                <w:rFonts w:hint="eastAsia" w:ascii="宋体" w:hAnsi="宋体" w:eastAsia="宋体" w:cs="宋体"/>
                <w:b w:val="0"/>
                <w:bCs w:val="0"/>
                <w:sz w:val="22"/>
                <w:szCs w:val="22"/>
              </w:rPr>
            </w:pPr>
          </w:p>
        </w:tc>
        <w:tc>
          <w:tcPr>
            <w:tcW w:w="1203" w:type="dxa"/>
            <w:vMerge w:val="continue"/>
            <w:shd w:val="clear" w:color="auto" w:fill="FFFFFF"/>
            <w:vAlign w:val="center"/>
          </w:tcPr>
          <w:p w14:paraId="777A69B0">
            <w:pPr>
              <w:pStyle w:val="11"/>
              <w:jc w:val="both"/>
              <w:rPr>
                <w:rFonts w:hint="eastAsia" w:ascii="宋体" w:hAnsi="宋体" w:eastAsia="宋体" w:cs="宋体"/>
                <w:b w:val="0"/>
                <w:bCs w:val="0"/>
                <w:sz w:val="22"/>
                <w:szCs w:val="22"/>
              </w:rPr>
            </w:pPr>
          </w:p>
        </w:tc>
        <w:tc>
          <w:tcPr>
            <w:tcW w:w="1404" w:type="dxa"/>
            <w:shd w:val="clear" w:color="auto" w:fill="FFFFFF"/>
            <w:vAlign w:val="center"/>
          </w:tcPr>
          <w:p w14:paraId="79C0307D">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满意度</w:t>
            </w:r>
          </w:p>
        </w:tc>
        <w:tc>
          <w:tcPr>
            <w:tcW w:w="2967" w:type="dxa"/>
            <w:shd w:val="clear" w:color="auto" w:fill="FFFFFF"/>
            <w:vAlign w:val="center"/>
          </w:tcPr>
          <w:p w14:paraId="0062129E">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社会公众或服务对象对项目实施效果的满意程度。</w:t>
            </w:r>
          </w:p>
        </w:tc>
        <w:tc>
          <w:tcPr>
            <w:tcW w:w="4701" w:type="dxa"/>
            <w:shd w:val="clear" w:color="auto" w:fill="FFFFFF"/>
            <w:vAlign w:val="center"/>
          </w:tcPr>
          <w:p w14:paraId="0F2F9377">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社会公众或服务对象是指因该项目实施而受到影响的部门（单位）、群体或个人。一般采取社会调查的方式。</w:t>
            </w:r>
          </w:p>
        </w:tc>
        <w:tc>
          <w:tcPr>
            <w:tcW w:w="1227" w:type="dxa"/>
            <w:shd w:val="clear" w:color="auto" w:fill="auto"/>
            <w:noWrap/>
            <w:vAlign w:val="center"/>
          </w:tcPr>
          <w:p w14:paraId="29093CFA">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c>
          <w:tcPr>
            <w:tcW w:w="0" w:type="auto"/>
            <w:shd w:val="clear" w:color="auto" w:fill="auto"/>
            <w:noWrap/>
            <w:vAlign w:val="center"/>
          </w:tcPr>
          <w:p w14:paraId="4CDDC1F8">
            <w:pPr>
              <w:pStyle w:val="11"/>
              <w:jc w:val="both"/>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10</w:t>
            </w:r>
          </w:p>
        </w:tc>
      </w:tr>
    </w:tbl>
    <w:p w14:paraId="067C0C6D">
      <w:pPr>
        <w:pStyle w:val="11"/>
        <w:jc w:val="both"/>
        <w:rPr>
          <w:b w:val="0"/>
          <w:bCs w:val="0"/>
          <w:sz w:val="22"/>
          <w:szCs w:val="22"/>
        </w:rPr>
      </w:pPr>
    </w:p>
    <w:p w14:paraId="510ED61A">
      <w:pPr>
        <w:pageBreakBefore w:val="0"/>
        <w:kinsoku/>
        <w:wordWrap/>
        <w:overflowPunct/>
        <w:topLinePunct w:val="0"/>
        <w:autoSpaceDE/>
        <w:autoSpaceDN/>
        <w:bidi w:val="0"/>
        <w:adjustRightInd/>
        <w:snapToGrid/>
        <w:spacing w:line="560" w:lineRule="exact"/>
        <w:ind w:firstLine="600" w:firstLineChars="200"/>
        <w:textAlignment w:val="auto"/>
      </w:pPr>
    </w:p>
    <w:sectPr>
      <w:type w:val="continuous"/>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6DD7CD"/>
    <w:multiLevelType w:val="singleLevel"/>
    <w:tmpl w:val="926DD7CD"/>
    <w:lvl w:ilvl="0" w:tentative="0">
      <w:start w:val="7"/>
      <w:numFmt w:val="chineseCounting"/>
      <w:suff w:val="nothing"/>
      <w:lvlText w:val="%1、"/>
      <w:lvlJc w:val="left"/>
      <w:rPr>
        <w:rFonts w:hint="eastAsia"/>
      </w:rPr>
    </w:lvl>
  </w:abstractNum>
  <w:abstractNum w:abstractNumId="1">
    <w:nsid w:val="D10D1E6F"/>
    <w:multiLevelType w:val="singleLevel"/>
    <w:tmpl w:val="D10D1E6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1ZDY0MDI5MTE3YjM0ZGMyMzg4N2EwMDI4ZjJiM2YifQ=="/>
    <w:docVar w:name="KSO_WPS_MARK_KEY" w:val="b3fc2acd-51a9-45ce-8d80-18e6d2738da8"/>
  </w:docVars>
  <w:rsids>
    <w:rsidRoot w:val="007D49C5"/>
    <w:rsid w:val="000D63FA"/>
    <w:rsid w:val="000F4D96"/>
    <w:rsid w:val="005B64E8"/>
    <w:rsid w:val="00614288"/>
    <w:rsid w:val="00792CFE"/>
    <w:rsid w:val="007D49C5"/>
    <w:rsid w:val="008175E0"/>
    <w:rsid w:val="008302AB"/>
    <w:rsid w:val="008C631D"/>
    <w:rsid w:val="00A114ED"/>
    <w:rsid w:val="00B24331"/>
    <w:rsid w:val="00EB3433"/>
    <w:rsid w:val="031A7868"/>
    <w:rsid w:val="032A1333"/>
    <w:rsid w:val="04893CFE"/>
    <w:rsid w:val="04B11E6C"/>
    <w:rsid w:val="05227DA5"/>
    <w:rsid w:val="060674DD"/>
    <w:rsid w:val="08D20D13"/>
    <w:rsid w:val="0ABE5209"/>
    <w:rsid w:val="0B7A631C"/>
    <w:rsid w:val="0C4D0F1B"/>
    <w:rsid w:val="0ECF2B6F"/>
    <w:rsid w:val="0F2A6BF7"/>
    <w:rsid w:val="0FFA391A"/>
    <w:rsid w:val="10FB47FD"/>
    <w:rsid w:val="184D2414"/>
    <w:rsid w:val="18616F2E"/>
    <w:rsid w:val="18E90C72"/>
    <w:rsid w:val="1C3F2073"/>
    <w:rsid w:val="1D723F37"/>
    <w:rsid w:val="1D785367"/>
    <w:rsid w:val="1DD633A6"/>
    <w:rsid w:val="1ED93CB7"/>
    <w:rsid w:val="24387B2E"/>
    <w:rsid w:val="29096BF0"/>
    <w:rsid w:val="2F832A3E"/>
    <w:rsid w:val="31327F17"/>
    <w:rsid w:val="31FB7E2D"/>
    <w:rsid w:val="32AE0DEC"/>
    <w:rsid w:val="35354432"/>
    <w:rsid w:val="3566409A"/>
    <w:rsid w:val="36B72533"/>
    <w:rsid w:val="38744CCE"/>
    <w:rsid w:val="38A90E0E"/>
    <w:rsid w:val="39C63990"/>
    <w:rsid w:val="3A59349D"/>
    <w:rsid w:val="3B1B2284"/>
    <w:rsid w:val="3BD225EE"/>
    <w:rsid w:val="3BE850ED"/>
    <w:rsid w:val="4057649F"/>
    <w:rsid w:val="43182414"/>
    <w:rsid w:val="46507BB3"/>
    <w:rsid w:val="477A5376"/>
    <w:rsid w:val="4A7C25BE"/>
    <w:rsid w:val="4B5160DF"/>
    <w:rsid w:val="4C22332E"/>
    <w:rsid w:val="4E1E2065"/>
    <w:rsid w:val="4F740D3B"/>
    <w:rsid w:val="5129664D"/>
    <w:rsid w:val="56796849"/>
    <w:rsid w:val="56D60C38"/>
    <w:rsid w:val="5DA95371"/>
    <w:rsid w:val="5F9A7BFD"/>
    <w:rsid w:val="601D09BD"/>
    <w:rsid w:val="68F11999"/>
    <w:rsid w:val="6ABB4D02"/>
    <w:rsid w:val="6BF44B20"/>
    <w:rsid w:val="700616DA"/>
    <w:rsid w:val="763A0251"/>
    <w:rsid w:val="7D3B2F9B"/>
    <w:rsid w:val="7F5F4A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21"/>
    <w:semiHidden/>
    <w:unhideWhenUsed/>
    <w:qFormat/>
    <w:uiPriority w:val="99"/>
    <w:pPr>
      <w:tabs>
        <w:tab w:val="center" w:pos="4153"/>
        <w:tab w:val="right" w:pos="8306"/>
      </w:tabs>
      <w:snapToGrid w:val="0"/>
      <w:jc w:val="left"/>
    </w:pPr>
    <w:rPr>
      <w:sz w:val="18"/>
      <w:szCs w:val="18"/>
    </w:rPr>
  </w:style>
  <w:style w:type="paragraph" w:styleId="8">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2"/>
    <w:basedOn w:val="6"/>
    <w:qFormat/>
    <w:uiPriority w:val="0"/>
    <w:pPr>
      <w:ind w:firstLine="420" w:firstLineChars="200"/>
    </w:pPr>
  </w:style>
  <w:style w:type="character" w:styleId="15">
    <w:name w:val="Strong"/>
    <w:basedOn w:val="14"/>
    <w:qFormat/>
    <w:uiPriority w:val="22"/>
    <w:rPr>
      <w:b/>
    </w:rPr>
  </w:style>
  <w:style w:type="character" w:styleId="16">
    <w:name w:val="Hyperlink"/>
    <w:basedOn w:val="14"/>
    <w:unhideWhenUsed/>
    <w:qFormat/>
    <w:uiPriority w:val="99"/>
    <w:rPr>
      <w:color w:val="0563C1" w:themeColor="hyperlink"/>
      <w:u w:val="single"/>
    </w:rPr>
  </w:style>
  <w:style w:type="character" w:customStyle="1" w:styleId="17">
    <w:name w:val="标题 1 Char"/>
    <w:basedOn w:val="14"/>
    <w:link w:val="2"/>
    <w:qFormat/>
    <w:uiPriority w:val="9"/>
    <w:rPr>
      <w:rFonts w:ascii="Times New Roman" w:hAnsi="Times New Roman" w:eastAsia="仿宋_GB2312" w:cs="Times New Roman"/>
      <w:b/>
      <w:bCs/>
      <w:kern w:val="44"/>
      <w:sz w:val="44"/>
      <w:szCs w:val="44"/>
    </w:rPr>
  </w:style>
  <w:style w:type="character" w:customStyle="1" w:styleId="18">
    <w:name w:val="标题 2 Char"/>
    <w:basedOn w:val="14"/>
    <w:link w:val="3"/>
    <w:qFormat/>
    <w:uiPriority w:val="9"/>
    <w:rPr>
      <w:rFonts w:asciiTheme="majorHAnsi" w:hAnsiTheme="majorHAnsi" w:eastAsiaTheme="majorEastAsia" w:cstheme="majorBidi"/>
      <w:b/>
      <w:bCs/>
      <w:sz w:val="32"/>
      <w:szCs w:val="32"/>
    </w:rPr>
  </w:style>
  <w:style w:type="paragraph" w:customStyle="1" w:styleId="19">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0">
    <w:name w:val="页眉 Char"/>
    <w:basedOn w:val="14"/>
    <w:link w:val="8"/>
    <w:semiHidden/>
    <w:qFormat/>
    <w:uiPriority w:val="99"/>
    <w:rPr>
      <w:rFonts w:ascii="Times New Roman" w:hAnsi="Times New Roman" w:eastAsia="仿宋_GB2312" w:cs="Times New Roman"/>
      <w:sz w:val="18"/>
      <w:szCs w:val="18"/>
    </w:rPr>
  </w:style>
  <w:style w:type="character" w:customStyle="1" w:styleId="21">
    <w:name w:val="页脚 Char"/>
    <w:basedOn w:val="14"/>
    <w:link w:val="7"/>
    <w:semiHidden/>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11711</Words>
  <Characters>12241</Characters>
  <Lines>37</Lines>
  <Paragraphs>10</Paragraphs>
  <TotalTime>35</TotalTime>
  <ScaleCrop>false</ScaleCrop>
  <LinksUpToDate>false</LinksUpToDate>
  <CharactersWithSpaces>12271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白羊</cp:lastModifiedBy>
  <dcterms:modified xsi:type="dcterms:W3CDTF">2024-10-10T08:41:45Z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DFF0787588C34603A74FA104BC3FC087</vt:lpwstr>
  </property>
</Properties>
</file>