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eastAsia="仿宋_GB2312"/>
          <w:kern w:val="0"/>
          <w:sz w:val="36"/>
          <w:szCs w:val="36"/>
        </w:rPr>
        <w:t>残疾人专项费</w:t>
      </w:r>
    </w:p>
    <w:p>
      <w:pPr>
        <w:spacing w:line="700" w:lineRule="exact"/>
        <w:ind w:firstLine="643" w:firstLineChars="200"/>
        <w:jc w:val="left"/>
        <w:rPr>
          <w:rFonts w:eastAsia="仿宋_GB2312"/>
          <w:kern w:val="0"/>
          <w:sz w:val="36"/>
          <w:szCs w:val="36"/>
        </w:rPr>
      </w:pPr>
      <w:r>
        <w:rPr>
          <w:rFonts w:hint="eastAsia" w:ascii="宋体" w:hAnsi="宋体" w:eastAsia="宋体" w:cs="仿宋_GB2312"/>
          <w:b/>
          <w:bCs/>
          <w:color w:val="000000"/>
          <w:kern w:val="0"/>
          <w:sz w:val="32"/>
          <w:szCs w:val="32"/>
        </w:rPr>
        <w:t>实施单位（公章）：</w:t>
      </w:r>
      <w:r>
        <w:rPr>
          <w:rFonts w:hint="eastAsia" w:eastAsia="仿宋_GB2312"/>
          <w:kern w:val="0"/>
          <w:sz w:val="36"/>
          <w:szCs w:val="36"/>
        </w:rPr>
        <w:t>新疆巴州残疾人联合会</w:t>
      </w:r>
    </w:p>
    <w:p>
      <w:pPr>
        <w:spacing w:line="700" w:lineRule="exact"/>
        <w:ind w:firstLine="643" w:firstLineChars="200"/>
        <w:jc w:val="left"/>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eastAsia="仿宋_GB2312"/>
          <w:kern w:val="0"/>
          <w:sz w:val="36"/>
          <w:szCs w:val="36"/>
        </w:rPr>
        <w:t>新疆巴州残疾人联合会</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kern w:val="0"/>
          <w:sz w:val="36"/>
          <w:szCs w:val="36"/>
        </w:rPr>
      </w:pPr>
      <w:r>
        <w:rPr>
          <w:rFonts w:hint="eastAsia" w:ascii="宋体" w:hAnsi="宋体" w:eastAsia="宋体" w:cs="仿宋_GB2312"/>
          <w:b/>
          <w:bCs/>
          <w:color w:val="000000"/>
          <w:kern w:val="0"/>
          <w:sz w:val="32"/>
          <w:szCs w:val="32"/>
        </w:rPr>
        <w:t>项目负责人（签章）：</w:t>
      </w:r>
      <w:r>
        <w:rPr>
          <w:rFonts w:hint="eastAsia" w:ascii="Times New Roman" w:hAnsi="Times New Roman" w:eastAsia="仿宋_GB2312" w:cs="Times New Roman"/>
          <w:kern w:val="0"/>
          <w:sz w:val="36"/>
          <w:szCs w:val="36"/>
        </w:rPr>
        <w:t>郭奕馨、田科、王燕、李红</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Times New Roman" w:hAnsi="Times New Roman" w:eastAsia="仿宋_GB2312" w:cs="Times New Roman"/>
          <w:kern w:val="0"/>
          <w:sz w:val="36"/>
          <w:szCs w:val="36"/>
          <w:lang w:val="en-US" w:eastAsia="zh-CN"/>
        </w:rPr>
        <w:t>2024</w:t>
      </w:r>
      <w:r>
        <w:rPr>
          <w:rFonts w:hint="eastAsia" w:ascii="Times New Roman" w:hAnsi="Times New Roman" w:eastAsia="仿宋_GB2312" w:cs="Times New Roman"/>
          <w:kern w:val="0"/>
          <w:sz w:val="36"/>
          <w:szCs w:val="36"/>
        </w:rPr>
        <w:t xml:space="preserve">年 </w:t>
      </w:r>
      <w:r>
        <w:rPr>
          <w:rFonts w:hint="eastAsia" w:ascii="Times New Roman" w:hAnsi="Times New Roman" w:eastAsia="仿宋_GB2312" w:cs="Times New Roman"/>
          <w:kern w:val="0"/>
          <w:sz w:val="36"/>
          <w:szCs w:val="36"/>
          <w:lang w:val="en-US" w:eastAsia="zh-CN"/>
        </w:rPr>
        <w:t>5</w:t>
      </w:r>
      <w:r>
        <w:rPr>
          <w:rFonts w:hint="eastAsia"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9</w:t>
      </w:r>
      <w:r>
        <w:rPr>
          <w:rFonts w:hint="eastAsia" w:ascii="Times New Roman" w:hAnsi="Times New Roman" w:eastAsia="仿宋_GB2312" w:cs="Times New Roman"/>
          <w:kern w:val="0"/>
          <w:sz w:val="36"/>
          <w:szCs w:val="36"/>
        </w:rPr>
        <w:t xml:space="preserve"> 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rPr>
      </w:pP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color w:val="FF000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color w:val="auto"/>
          <w:highlight w:val="none"/>
        </w:rPr>
        <w:t>巴州残疾人联合会是将残疾人自身代表组织、社会福利团体和事业管理机构融为一体的残疾人事业团体，具有“代表、服务、管理”职能；代表残疾人的共同利益，维护残疾人合法权益；开展各项业务和活动，直接为残疾人服务；承担政府委托的部分行政职能，管理和发展残疾人事业。承担着全州残疾人的康复、教育、就业、扶贫、社会保障、宣传文体、信访维权、组织建设、法制建设、残疾预防、无障碍设施建设、基金会工作及国际交流与合作等十五个领域的50项工作。巴州残疾人联合会由自治州人民政府领导联系，业务上接受有关部门对口指导，在自治州计划中单列户头，与各县市建立业务关系。</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主要内容：大力推进全州残疾人康复救助工作，促进残疾全面发展，结合我州实际，着力保障残疾人康复需求，努力实现“人人享有康复服务”，不断推进康复服务均等化，坚持制度衔接、应救尽救，采取政府专项救助、基本医疗保险保基本、各类社会救助支持及家庭合理负担相结合的办法，统筹解决康复费用，坚持尽力而为、量力而行，坚守底线、突出重点、完善制度、引导预期。坚持规范有序、公开公正，主动接受群众和社会监督，严格绩效考评，做到公开透明、结果公正。加强对康复定点机构的管理，要依据《关于印发自治区残疾儿童康复救助各类定点机构准入标准（试行）的通知》要求，完善康复定点机构，使残疾人获得就近就便的康复服务，加强对本地残疾人康复机构实施动态监管，形成准入、退出机制，逐步提高康复服务规范和康复质量。将残疾人创业培训也纳入培训工作中去，最终提升残疾人技能水平。提高基层残疾人工作者素质,掌握残疾人</w:t>
      </w:r>
      <w:bookmarkStart w:id="22" w:name="_GoBack"/>
      <w:bookmarkEnd w:id="22"/>
      <w:r>
        <w:rPr>
          <w:rFonts w:hint="eastAsia" w:ascii="仿宋_GB2312"/>
          <w:highlight w:val="none"/>
        </w:rPr>
        <w:t>业务工作和基本理论。加强活跃专门协会工作，充分发挥“代表、服务、维权”作用，开展残疾人活动，丰富残疾人的文化生活。</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color w:val="auto"/>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eastAsia="zh-CN"/>
        </w:rPr>
        <w:t>（一</w:t>
      </w:r>
      <w:r>
        <w:rPr>
          <w:rFonts w:hint="eastAsia" w:ascii="仿宋_GB2312"/>
          <w:color w:val="auto"/>
          <w:highlight w:val="none"/>
          <w:lang w:val="en-US" w:eastAsia="zh-CN"/>
        </w:rPr>
        <w:t>）丰富协会活动形式，开展各类宣传活动7次，投入资金11万元。其中：5次专门协会“学听跟”读书活动，近100名残疾人参加，；开展慰问活动，5个专门协会分别慰问警务站，分别送去慰问品。利用残联现有资源，为残疾人社会组织发展提供帮助，扶持残疾人社会组织健康发展。</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lang w:eastAsia="zh-CN"/>
        </w:rPr>
        <w:t>（二）落实落细残疾人就业优先政策，大力推进残疾人就业创业。一是落实《自治区促进残疾人就业三年行动方案（2022—2024年）》，2023年实现残疾人就业</w:t>
      </w:r>
      <w:r>
        <w:rPr>
          <w:rFonts w:hint="eastAsia" w:ascii="仿宋_GB2312" w:eastAsia="仿宋_GB2312"/>
          <w:b w:val="0"/>
          <w:bCs w:val="0"/>
          <w:highlight w:val="none"/>
          <w:lang w:val="en-US" w:eastAsia="zh-CN"/>
        </w:rPr>
        <w:t>330</w:t>
      </w:r>
      <w:r>
        <w:rPr>
          <w:rFonts w:hint="eastAsia" w:ascii="仿宋_GB2312" w:eastAsia="仿宋_GB2312"/>
          <w:b w:val="0"/>
          <w:bCs w:val="0"/>
          <w:highlight w:val="none"/>
          <w:lang w:eastAsia="zh-CN"/>
        </w:rPr>
        <w:t>人，其中：城镇就业</w:t>
      </w:r>
      <w:r>
        <w:rPr>
          <w:rFonts w:hint="eastAsia" w:ascii="仿宋_GB2312" w:eastAsia="仿宋_GB2312"/>
          <w:b w:val="0"/>
          <w:bCs w:val="0"/>
          <w:highlight w:val="none"/>
          <w:lang w:val="en-US" w:eastAsia="zh-CN"/>
        </w:rPr>
        <w:t>214</w:t>
      </w:r>
      <w:r>
        <w:rPr>
          <w:rFonts w:hint="eastAsia" w:ascii="仿宋_GB2312" w:eastAsia="仿宋_GB2312"/>
          <w:b w:val="0"/>
          <w:bCs w:val="0"/>
          <w:highlight w:val="none"/>
          <w:lang w:eastAsia="zh-CN"/>
        </w:rPr>
        <w:t>名，农村就业</w:t>
      </w:r>
      <w:r>
        <w:rPr>
          <w:rFonts w:hint="eastAsia" w:ascii="仿宋_GB2312" w:eastAsia="仿宋_GB2312"/>
          <w:b w:val="0"/>
          <w:bCs w:val="0"/>
          <w:highlight w:val="none"/>
          <w:lang w:val="en-US" w:eastAsia="zh-CN"/>
        </w:rPr>
        <w:t>116</w:t>
      </w:r>
      <w:r>
        <w:rPr>
          <w:rFonts w:hint="eastAsia" w:ascii="仿宋_GB2312" w:eastAsia="仿宋_GB2312"/>
          <w:b w:val="0"/>
          <w:bCs w:val="0"/>
          <w:highlight w:val="none"/>
          <w:lang w:eastAsia="zh-CN"/>
        </w:rPr>
        <w:t>名，完成年度目标任务</w:t>
      </w:r>
      <w:r>
        <w:rPr>
          <w:rFonts w:hint="eastAsia" w:ascii="仿宋_GB2312" w:eastAsia="仿宋_GB2312"/>
          <w:b w:val="0"/>
          <w:bCs w:val="0"/>
          <w:highlight w:val="none"/>
          <w:lang w:val="en-US" w:eastAsia="zh-CN"/>
        </w:rPr>
        <w:t>105.43%</w:t>
      </w:r>
      <w:r>
        <w:rPr>
          <w:rFonts w:hint="eastAsia" w:ascii="仿宋_GB2312" w:eastAsia="仿宋_GB2312"/>
          <w:b w:val="0"/>
          <w:bCs w:val="0"/>
          <w:highlight w:val="none"/>
          <w:lang w:eastAsia="zh-CN"/>
        </w:rPr>
        <w:t>；全年城乡培训残疾人</w:t>
      </w:r>
      <w:r>
        <w:rPr>
          <w:rFonts w:hint="eastAsia" w:ascii="仿宋_GB2312" w:eastAsia="仿宋_GB2312"/>
          <w:b w:val="0"/>
          <w:bCs w:val="0"/>
          <w:highlight w:val="none"/>
          <w:lang w:val="en-US" w:eastAsia="zh-CN"/>
        </w:rPr>
        <w:t>160</w:t>
      </w:r>
      <w:r>
        <w:rPr>
          <w:rFonts w:hint="eastAsia" w:ascii="仿宋_GB2312" w:eastAsia="仿宋_GB2312"/>
          <w:b w:val="0"/>
          <w:bCs w:val="0"/>
          <w:highlight w:val="none"/>
          <w:lang w:eastAsia="zh-CN"/>
        </w:rPr>
        <w:t>人，完成目标任务</w:t>
      </w:r>
      <w:r>
        <w:rPr>
          <w:rFonts w:hint="eastAsia" w:ascii="仿宋_GB2312" w:eastAsia="仿宋_GB2312"/>
          <w:b w:val="0"/>
          <w:bCs w:val="0"/>
          <w:highlight w:val="none"/>
          <w:lang w:val="en-US" w:eastAsia="zh-CN"/>
        </w:rPr>
        <w:t>104.58%</w:t>
      </w:r>
      <w:r>
        <w:rPr>
          <w:rFonts w:hint="eastAsia" w:ascii="仿宋_GB2312" w:eastAsia="仿宋_GB2312"/>
          <w:b w:val="0"/>
          <w:bCs w:val="0"/>
          <w:highlight w:val="none"/>
          <w:lang w:eastAsia="zh-CN"/>
        </w:rPr>
        <w:t>。二是持续推进按比例安置残疾人就业，为40名应届残疾人毕业生做好“一人一策”就业服务工作，通过摸排有</w:t>
      </w:r>
      <w:r>
        <w:rPr>
          <w:rFonts w:hint="eastAsia" w:ascii="仿宋_GB2312" w:eastAsia="仿宋_GB2312"/>
          <w:b w:val="0"/>
          <w:bCs w:val="0"/>
          <w:highlight w:val="none"/>
          <w:lang w:val="en-US" w:eastAsia="zh-CN"/>
        </w:rPr>
        <w:t>32名应届高校残疾毕业生有就业需求，已有30名应届高校残疾毕业生通过按比例就业、集中就业、个体创业、灵活就业等形式实现就业，就业率93.75%</w:t>
      </w:r>
      <w:r>
        <w:rPr>
          <w:rFonts w:hint="eastAsia" w:ascii="仿宋_GB2312" w:eastAsia="仿宋_GB2312"/>
          <w:b w:val="0"/>
          <w:bCs w:val="0"/>
          <w:highlight w:val="none"/>
          <w:lang w:eastAsia="zh-CN"/>
        </w:rPr>
        <w:t>。</w:t>
      </w:r>
      <w:r>
        <w:rPr>
          <w:rFonts w:hint="eastAsia" w:ascii="仿宋_GB2312"/>
          <w:b w:val="0"/>
          <w:bCs w:val="0"/>
          <w:highlight w:val="none"/>
          <w:lang w:eastAsia="zh-CN"/>
        </w:rPr>
        <w:t>三</w:t>
      </w:r>
      <w:r>
        <w:rPr>
          <w:rFonts w:hint="eastAsia" w:ascii="仿宋_GB2312" w:eastAsia="仿宋_GB2312"/>
          <w:b w:val="0"/>
          <w:bCs w:val="0"/>
          <w:highlight w:val="none"/>
          <w:lang w:eastAsia="zh-CN"/>
        </w:rPr>
        <w:t>是与人社部门联合开展“就业援助月”和就业援助“暖心活动”等兜底帮扶活动。开展网络招聘5场次，现场招聘14场次，直播带岗1场次，参与人次40504人次，参与企业211家，提供岗位854个，达成就业意向219人，活动期间实现就业</w:t>
      </w:r>
      <w:r>
        <w:rPr>
          <w:rFonts w:hint="eastAsia" w:ascii="仿宋_GB2312" w:eastAsia="仿宋_GB2312"/>
          <w:b w:val="0"/>
          <w:bCs w:val="0"/>
          <w:highlight w:val="none"/>
          <w:lang w:val="en-US" w:eastAsia="zh-CN"/>
        </w:rPr>
        <w:t>208</w:t>
      </w:r>
      <w:r>
        <w:rPr>
          <w:rFonts w:hint="eastAsia" w:ascii="仿宋_GB2312" w:eastAsia="仿宋_GB2312"/>
          <w:b w:val="0"/>
          <w:bCs w:val="0"/>
          <w:highlight w:val="none"/>
          <w:lang w:eastAsia="zh-CN"/>
        </w:rPr>
        <w:t>人，帮助残疾人享受政策人数1033人。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lang w:eastAsia="zh-CN"/>
        </w:rPr>
        <w:t>（</w:t>
      </w:r>
      <w:r>
        <w:rPr>
          <w:rFonts w:hint="eastAsia" w:ascii="仿宋_GB2312"/>
          <w:b w:val="0"/>
          <w:bCs w:val="0"/>
          <w:highlight w:val="none"/>
          <w:lang w:eastAsia="zh-CN"/>
        </w:rPr>
        <w:t>三</w:t>
      </w:r>
      <w:r>
        <w:rPr>
          <w:rFonts w:hint="eastAsia" w:ascii="仿宋_GB2312" w:eastAsia="仿宋_GB2312"/>
          <w:b w:val="0"/>
          <w:bCs w:val="0"/>
          <w:highlight w:val="none"/>
          <w:lang w:eastAsia="zh-CN"/>
        </w:rPr>
        <w:t>）推进残疾预防和残疾人康复服务扩量增效。</w:t>
      </w:r>
      <w:r>
        <w:rPr>
          <w:rFonts w:hint="eastAsia" w:ascii="仿宋_GB2312" w:eastAsia="仿宋_GB2312"/>
          <w:b w:val="0"/>
          <w:bCs w:val="0"/>
          <w:highlight w:val="none"/>
          <w:lang w:val="en-US" w:eastAsia="zh-CN"/>
        </w:rPr>
        <w:t>一是</w:t>
      </w:r>
      <w:r>
        <w:rPr>
          <w:rFonts w:hint="eastAsia" w:ascii="仿宋_GB2312" w:eastAsia="仿宋_GB2312"/>
          <w:b w:val="0"/>
          <w:bCs w:val="0"/>
          <w:highlight w:val="none"/>
          <w:lang w:eastAsia="zh-CN"/>
        </w:rPr>
        <w:t>大力开展残疾人精准康复服务进基层活动，为</w:t>
      </w:r>
      <w:r>
        <w:rPr>
          <w:rFonts w:hint="eastAsia" w:ascii="仿宋_GB2312" w:eastAsia="仿宋_GB2312"/>
          <w:b w:val="0"/>
          <w:bCs w:val="0"/>
          <w:highlight w:val="none"/>
          <w:lang w:val="en-US" w:eastAsia="zh-CN"/>
        </w:rPr>
        <w:t>4179</w:t>
      </w:r>
      <w:r>
        <w:rPr>
          <w:rFonts w:hint="eastAsia" w:ascii="仿宋_GB2312" w:eastAsia="仿宋_GB2312"/>
          <w:b w:val="0"/>
          <w:bCs w:val="0"/>
          <w:highlight w:val="none"/>
          <w:lang w:eastAsia="zh-CN"/>
        </w:rPr>
        <w:t>名残疾人提供服务，服务率达</w:t>
      </w:r>
      <w:r>
        <w:rPr>
          <w:rFonts w:hint="eastAsia" w:ascii="仿宋_GB2312" w:eastAsia="仿宋_GB2312"/>
          <w:b w:val="0"/>
          <w:bCs w:val="0"/>
          <w:highlight w:val="none"/>
          <w:lang w:val="en-US" w:eastAsia="zh-CN"/>
        </w:rPr>
        <w:t>92%。</w:t>
      </w:r>
      <w:r>
        <w:rPr>
          <w:rFonts w:hint="eastAsia" w:ascii="仿宋_GB2312" w:eastAsia="仿宋_GB2312"/>
          <w:b w:val="0"/>
          <w:bCs w:val="0"/>
          <w:highlight w:val="none"/>
          <w:lang w:eastAsia="zh-CN"/>
        </w:rPr>
        <w:t>为有需求的残疾人免费发放各类辅助器具</w:t>
      </w:r>
      <w:r>
        <w:rPr>
          <w:rFonts w:hint="eastAsia" w:ascii="仿宋_GB2312" w:eastAsia="仿宋_GB2312"/>
          <w:b w:val="0"/>
          <w:bCs w:val="0"/>
          <w:highlight w:val="none"/>
          <w:lang w:val="en-US" w:eastAsia="zh-CN"/>
        </w:rPr>
        <w:t>2036人</w:t>
      </w:r>
      <w:r>
        <w:rPr>
          <w:rFonts w:hint="eastAsia" w:ascii="仿宋_GB2312" w:eastAsia="仿宋_GB2312"/>
          <w:b w:val="0"/>
          <w:bCs w:val="0"/>
          <w:highlight w:val="none"/>
          <w:lang w:eastAsia="zh-CN"/>
        </w:rPr>
        <w:t>，积极开展假肢取型安装工作，辅具适配率</w:t>
      </w:r>
      <w:r>
        <w:rPr>
          <w:rFonts w:hint="eastAsia" w:ascii="仿宋_GB2312" w:eastAsia="仿宋_GB2312"/>
          <w:b w:val="0"/>
          <w:bCs w:val="0"/>
          <w:highlight w:val="none"/>
          <w:lang w:val="en-US" w:eastAsia="zh-CN"/>
        </w:rPr>
        <w:t>95%</w:t>
      </w:r>
      <w:r>
        <w:rPr>
          <w:rFonts w:hint="eastAsia" w:ascii="仿宋_GB2312" w:eastAsia="仿宋_GB2312"/>
          <w:b w:val="0"/>
          <w:bCs w:val="0"/>
          <w:highlight w:val="none"/>
          <w:lang w:eastAsia="zh-CN"/>
        </w:rPr>
        <w:t>。</w:t>
      </w:r>
      <w:r>
        <w:rPr>
          <w:rFonts w:hint="eastAsia" w:ascii="仿宋_GB2312"/>
          <w:b w:val="0"/>
          <w:bCs w:val="0"/>
          <w:highlight w:val="none"/>
          <w:lang w:val="en-US" w:eastAsia="zh-CN"/>
        </w:rPr>
        <w:t>二</w:t>
      </w:r>
      <w:r>
        <w:rPr>
          <w:rFonts w:hint="eastAsia" w:ascii="仿宋_GB2312" w:eastAsia="仿宋_GB2312"/>
          <w:b w:val="0"/>
          <w:bCs w:val="0"/>
          <w:highlight w:val="none"/>
          <w:lang w:val="en-US" w:eastAsia="zh-CN"/>
        </w:rPr>
        <w:t>是</w:t>
      </w:r>
      <w:r>
        <w:rPr>
          <w:rFonts w:hint="eastAsia" w:ascii="仿宋_GB2312" w:eastAsia="仿宋_GB2312"/>
          <w:b w:val="0"/>
          <w:bCs w:val="0"/>
          <w:highlight w:val="none"/>
          <w:lang w:eastAsia="zh-CN"/>
        </w:rPr>
        <w:t>积极开展各类残疾儿童抢救性康复工作。对</w:t>
      </w:r>
      <w:r>
        <w:rPr>
          <w:rFonts w:hint="eastAsia" w:ascii="仿宋_GB2312" w:eastAsia="仿宋_GB2312"/>
          <w:b w:val="0"/>
          <w:bCs w:val="0"/>
          <w:highlight w:val="none"/>
          <w:lang w:val="en-US" w:eastAsia="zh-CN"/>
        </w:rPr>
        <w:t>245</w:t>
      </w:r>
      <w:r>
        <w:rPr>
          <w:rFonts w:hint="eastAsia" w:ascii="仿宋_GB2312" w:eastAsia="仿宋_GB2312"/>
          <w:b w:val="0"/>
          <w:bCs w:val="0"/>
          <w:highlight w:val="none"/>
          <w:lang w:eastAsia="zh-CN"/>
        </w:rPr>
        <w:t>名0-6岁残疾儿童开展康复训练，20名0-3岁残疾儿童开展早期干预，发现有符合条件的重度聋儿需植入人工耳蜗者，及时向自治区残疾人康复服务指导中心和自治区人民医院推荐。协调巴州人民医院专家赴八县一市开展7-18岁视力、听力、言语残疾儿童筛查诊断，对符合条件有康复需求的儿童免费进行人工耳蜗植入和角膜移植手术。</w:t>
      </w:r>
      <w:r>
        <w:rPr>
          <w:rFonts w:hint="eastAsia" w:ascii="仿宋_GB2312" w:eastAsia="仿宋_GB2312"/>
          <w:b w:val="0"/>
          <w:bCs w:val="0"/>
          <w:highlight w:val="none"/>
          <w:lang w:val="en-US" w:eastAsia="zh-CN"/>
        </w:rPr>
        <w:t>为1名角膜病患者实施</w:t>
      </w:r>
      <w:r>
        <w:rPr>
          <w:rFonts w:hint="eastAsia" w:ascii="仿宋_GB2312" w:eastAsia="仿宋_GB2312"/>
          <w:b w:val="0"/>
          <w:bCs w:val="0"/>
          <w:highlight w:val="none"/>
          <w:lang w:eastAsia="zh-CN"/>
        </w:rPr>
        <w:t>“看见吴中”助力扶贫为他人寻找光明公益项目。</w:t>
      </w:r>
      <w:r>
        <w:rPr>
          <w:rFonts w:hint="eastAsia" w:ascii="仿宋_GB2312" w:eastAsia="仿宋_GB2312"/>
          <w:b w:val="0"/>
          <w:bCs w:val="0"/>
          <w:highlight w:val="none"/>
          <w:lang w:val="en-US" w:eastAsia="zh-CN"/>
        </w:rPr>
        <w:t>四是</w:t>
      </w:r>
      <w:r>
        <w:rPr>
          <w:rFonts w:hint="eastAsia" w:ascii="仿宋_GB2312" w:eastAsia="仿宋_GB2312"/>
          <w:b w:val="0"/>
          <w:bCs w:val="0"/>
          <w:highlight w:val="none"/>
          <w:lang w:eastAsia="zh-CN"/>
        </w:rPr>
        <w:t>加大残疾预防宣传力度。</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lang w:eastAsia="zh-CN"/>
        </w:rPr>
        <w:t>（</w:t>
      </w:r>
      <w:r>
        <w:rPr>
          <w:rFonts w:hint="eastAsia" w:ascii="仿宋_GB2312"/>
          <w:b w:val="0"/>
          <w:bCs w:val="0"/>
          <w:highlight w:val="none"/>
          <w:lang w:eastAsia="zh-CN"/>
        </w:rPr>
        <w:t>四</w:t>
      </w:r>
      <w:r>
        <w:rPr>
          <w:rFonts w:hint="eastAsia" w:ascii="仿宋_GB2312" w:eastAsia="仿宋_GB2312"/>
          <w:b w:val="0"/>
          <w:bCs w:val="0"/>
          <w:highlight w:val="none"/>
          <w:lang w:eastAsia="zh-CN"/>
        </w:rPr>
        <w:t>）不断提升残疾人教育发展水平。为残疾人接受教育提升素质搭建平台，与国家开放大学残疾人教育学院巴州教学点签订联合办学协议，除教材费由残疾人自己承担外，其他的费用均由残联承担，目前已有3名残疾人</w:t>
      </w:r>
      <w:r>
        <w:rPr>
          <w:rFonts w:hint="eastAsia" w:ascii="仿宋_GB2312"/>
          <w:b w:val="0"/>
          <w:bCs w:val="0"/>
          <w:highlight w:val="none"/>
          <w:lang w:eastAsia="zh-CN"/>
        </w:rPr>
        <w:t>毕业，并支付</w:t>
      </w:r>
      <w:r>
        <w:rPr>
          <w:rFonts w:hint="eastAsia" w:ascii="仿宋_GB2312"/>
          <w:b w:val="0"/>
          <w:bCs w:val="0"/>
          <w:highlight w:val="none"/>
          <w:lang w:val="en-US" w:eastAsia="zh-CN"/>
        </w:rPr>
        <w:t>1.48万元学习费用。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lang w:val="en-US" w:eastAsia="zh-CN"/>
        </w:rPr>
      </w:pPr>
      <w:r>
        <w:rPr>
          <w:rFonts w:hint="eastAsia" w:ascii="仿宋_GB2312" w:eastAsia="仿宋_GB2312"/>
          <w:b w:val="0"/>
          <w:bCs w:val="0"/>
          <w:highlight w:val="none"/>
          <w:lang w:val="en-US" w:eastAsia="zh-CN"/>
        </w:rPr>
        <w:t>（</w:t>
      </w:r>
      <w:r>
        <w:rPr>
          <w:rFonts w:hint="eastAsia" w:ascii="仿宋_GB2312"/>
          <w:b w:val="0"/>
          <w:bCs w:val="0"/>
          <w:highlight w:val="none"/>
          <w:lang w:val="en-US" w:eastAsia="zh-CN"/>
        </w:rPr>
        <w:t>五</w:t>
      </w:r>
      <w:r>
        <w:rPr>
          <w:rFonts w:hint="eastAsia" w:ascii="仿宋_GB2312" w:eastAsia="仿宋_GB2312"/>
          <w:b w:val="0"/>
          <w:bCs w:val="0"/>
          <w:highlight w:val="none"/>
          <w:lang w:val="en-US" w:eastAsia="zh-CN"/>
        </w:rPr>
        <w:t>）加强残疾人事业的宣传报道</w:t>
      </w:r>
      <w:r>
        <w:rPr>
          <w:rFonts w:hint="eastAsia" w:ascii="仿宋_GB2312"/>
          <w:b w:val="0"/>
          <w:bCs w:val="0"/>
          <w:highlight w:val="none"/>
          <w:lang w:val="en-US" w:eastAsia="zh-CN"/>
        </w:rPr>
        <w:t>。在</w:t>
      </w:r>
      <w:r>
        <w:rPr>
          <w:rFonts w:hint="eastAsia" w:ascii="仿宋_GB2312" w:eastAsia="仿宋_GB2312"/>
          <w:b w:val="0"/>
          <w:bCs w:val="0"/>
          <w:highlight w:val="none"/>
          <w:lang w:val="en-US" w:eastAsia="zh-CN"/>
        </w:rPr>
        <w:t>《巴音郭楞日报》、巴州电视台、抖音和微信视频号宣传报道残疾人事业中的先进典型、自强模范、助残先进个人稿件10余篇。向各级各类平台报送信息30篇。积极向自治区争取残疾人康复体育器材50套，对低收入残疾人家庭和有康复健身需求且具备一定接受能力的残疾人家庭提供服务，受益人群达300余人。9月9日至13日，新疆维吾尔自治区第七届残疾人运动会暨第四届特殊奥林匹克运动会在巴州库尔勒市成功举办。巴州代表团45名运动员参加比赛，并在比赛中取得22金、21银、25铜，荣获了团体总分第二名的优异成绩。</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color w:val="auto"/>
          <w:highlight w:val="none"/>
          <w:lang w:val="en-US" w:eastAsia="zh-CN"/>
        </w:rPr>
        <w:t>2.</w:t>
      </w:r>
      <w:r>
        <w:rPr>
          <w:rFonts w:hint="eastAsia" w:ascii="仿宋_GB2312"/>
          <w:color w:val="auto"/>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eastAsia="zh-CN"/>
        </w:rPr>
        <w:t>（</w:t>
      </w:r>
      <w:r>
        <w:rPr>
          <w:rFonts w:hint="eastAsia"/>
          <w:color w:val="auto"/>
          <w:lang w:val="en-US" w:eastAsia="zh-CN"/>
        </w:rPr>
        <w:t>1</w:t>
      </w:r>
      <w:r>
        <w:rPr>
          <w:rFonts w:hint="eastAsia"/>
          <w:color w:val="auto"/>
          <w:lang w:eastAsia="zh-CN"/>
        </w:rPr>
        <w:t>）</w:t>
      </w:r>
      <w:r>
        <w:rPr>
          <w:rFonts w:hint="eastAsia"/>
          <w:color w:val="auto"/>
        </w:rPr>
        <w:t>资金投入情况：该项目年初预算数</w:t>
      </w:r>
      <w:r>
        <w:rPr>
          <w:rFonts w:hint="eastAsia"/>
          <w:color w:val="auto"/>
          <w:lang w:val="en-US" w:eastAsia="zh-CN"/>
        </w:rPr>
        <w:t>148.80</w:t>
      </w:r>
      <w:r>
        <w:rPr>
          <w:rFonts w:hint="eastAsia"/>
          <w:color w:val="auto"/>
        </w:rPr>
        <w:t>万元，全年预算数</w:t>
      </w:r>
      <w:r>
        <w:rPr>
          <w:rFonts w:hint="eastAsia"/>
          <w:color w:val="auto"/>
          <w:lang w:val="en-US" w:eastAsia="zh-CN"/>
        </w:rPr>
        <w:t>148.80</w:t>
      </w:r>
      <w:r>
        <w:rPr>
          <w:rFonts w:hint="eastAsia"/>
          <w:color w:val="auto"/>
        </w:rPr>
        <w:t>万元</w:t>
      </w:r>
      <w:r>
        <w:rPr>
          <w:rFonts w:hint="eastAsia"/>
          <w:color w:val="auto"/>
          <w:lang w:eastAsia="zh-CN"/>
        </w:rPr>
        <w:t>，</w:t>
      </w:r>
      <w:r>
        <w:rPr>
          <w:rFonts w:hint="eastAsia"/>
          <w:color w:val="auto"/>
        </w:rPr>
        <w:t>实际总投入</w:t>
      </w:r>
      <w:r>
        <w:rPr>
          <w:rFonts w:hint="eastAsia"/>
          <w:color w:val="auto"/>
          <w:lang w:val="en-US" w:eastAsia="zh-CN"/>
        </w:rPr>
        <w:t>148.80</w:t>
      </w:r>
      <w:r>
        <w:rPr>
          <w:rFonts w:hint="eastAsia"/>
          <w:color w:val="auto"/>
        </w:rPr>
        <w:t>万元，该项目资金已全部落实到位资金来源为</w:t>
      </w:r>
      <w:r>
        <w:rPr>
          <w:rFonts w:hint="eastAsia"/>
          <w:color w:val="auto"/>
          <w:lang w:eastAsia="zh-CN"/>
        </w:rPr>
        <w:t>本级年初预算资金</w:t>
      </w:r>
      <w:r>
        <w:rPr>
          <w:rFonts w:hint="eastAsia"/>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eastAsia="zh-CN"/>
        </w:rPr>
        <w:t>（</w:t>
      </w:r>
      <w:r>
        <w:rPr>
          <w:rFonts w:hint="eastAsia"/>
          <w:color w:val="auto"/>
          <w:lang w:val="en-US" w:eastAsia="zh-CN"/>
        </w:rPr>
        <w:t>2</w:t>
      </w:r>
      <w:r>
        <w:rPr>
          <w:rFonts w:hint="eastAsia"/>
          <w:color w:val="auto"/>
          <w:lang w:eastAsia="zh-CN"/>
        </w:rPr>
        <w:t>）</w:t>
      </w:r>
      <w:r>
        <w:rPr>
          <w:rFonts w:hint="eastAsia"/>
          <w:color w:val="auto"/>
        </w:rPr>
        <w:t>资金使用情况：该项目年初预算数</w:t>
      </w:r>
      <w:r>
        <w:rPr>
          <w:rFonts w:hint="eastAsia"/>
          <w:color w:val="auto"/>
          <w:lang w:val="en-US" w:eastAsia="zh-CN"/>
        </w:rPr>
        <w:t>148.80</w:t>
      </w:r>
      <w:r>
        <w:rPr>
          <w:rFonts w:hint="eastAsia"/>
          <w:color w:val="auto"/>
        </w:rPr>
        <w:t>万元，全年预算数</w:t>
      </w:r>
      <w:r>
        <w:rPr>
          <w:rFonts w:hint="eastAsia"/>
          <w:color w:val="auto"/>
          <w:lang w:val="en-US" w:eastAsia="zh-CN"/>
        </w:rPr>
        <w:t>148.80</w:t>
      </w:r>
      <w:r>
        <w:rPr>
          <w:rFonts w:hint="eastAsia"/>
          <w:color w:val="auto"/>
        </w:rPr>
        <w:t>万元，全年执行数</w:t>
      </w:r>
      <w:r>
        <w:rPr>
          <w:rFonts w:hint="eastAsia"/>
          <w:color w:val="auto"/>
          <w:lang w:val="en-US" w:eastAsia="zh-CN"/>
        </w:rPr>
        <w:t>140.83</w:t>
      </w:r>
      <w:r>
        <w:rPr>
          <w:rFonts w:hint="eastAsia"/>
          <w:color w:val="auto"/>
        </w:rPr>
        <w:t>万元，预算执行率为</w:t>
      </w:r>
      <w:r>
        <w:rPr>
          <w:rFonts w:hint="eastAsia"/>
          <w:color w:val="auto"/>
          <w:lang w:val="en-US" w:eastAsia="zh-CN"/>
        </w:rPr>
        <w:t>94.64</w:t>
      </w:r>
      <w:r>
        <w:rPr>
          <w:rFonts w:hint="eastAsia"/>
          <w:color w:val="auto"/>
        </w:rPr>
        <w:t>%，用于：</w:t>
      </w:r>
      <w:r>
        <w:rPr>
          <w:rFonts w:hint="eastAsia"/>
          <w:color w:val="auto"/>
          <w:lang w:eastAsia="zh-CN"/>
        </w:rPr>
        <w:t>培训残疾人</w:t>
      </w:r>
      <w:r>
        <w:rPr>
          <w:rFonts w:hint="eastAsia"/>
          <w:color w:val="auto"/>
          <w:lang w:val="en-US" w:eastAsia="zh-CN"/>
        </w:rPr>
        <w:t>32</w:t>
      </w:r>
      <w:r>
        <w:rPr>
          <w:rFonts w:hint="eastAsia"/>
          <w:color w:val="auto"/>
        </w:rPr>
        <w:t>万元</w:t>
      </w:r>
      <w:r>
        <w:rPr>
          <w:rFonts w:hint="eastAsia"/>
          <w:color w:val="auto"/>
          <w:lang w:eastAsia="zh-CN"/>
        </w:rPr>
        <w:t>，补助残疾学生</w:t>
      </w:r>
      <w:r>
        <w:rPr>
          <w:rFonts w:hint="eastAsia"/>
          <w:color w:val="auto"/>
          <w:lang w:val="en-US" w:eastAsia="zh-CN"/>
        </w:rPr>
        <w:t>1.48万元，举办宣传活动11万元，发放聘用人员工资31.44万元，保障残疾人组织正常运转64.91万元</w:t>
      </w:r>
      <w:r>
        <w:rPr>
          <w:rFonts w:hint="eastAsia"/>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rPr>
      </w:pPr>
      <w:r>
        <w:rPr>
          <w:rFonts w:hint="eastAsia"/>
        </w:rPr>
        <w:t>1</w:t>
      </w:r>
      <w:r>
        <w:rPr>
          <w:rFonts w:hint="eastAsia"/>
          <w:lang w:val="en-US" w:eastAsia="zh-CN"/>
        </w:rPr>
        <w:t>.</w:t>
      </w:r>
      <w:r>
        <w:rPr>
          <w:rFonts w:hint="eastAsia"/>
        </w:rPr>
        <w:t>总体目标：</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rPr>
      </w:pPr>
      <w:r>
        <w:rPr>
          <w:rFonts w:hint="eastAsia"/>
        </w:rPr>
        <w:t>依托社会各类职业技能培训机构，对残疾人采取集中和分散、理论与实操相结合的培训方式，将残疾人创业培训也纳入培训工作中去，最终提升残疾人技能水平。通过宣传活动的举办，实现残疾人组织在基层更加活跃、残疾人和残疾人组织在社会上更加活跃”的目标，丰富残疾人的文化生活。发放残疾学生助学金补助资金，让更多的残疾学生能享受更好的教育环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18" w:firstLineChars="206"/>
        <w:textAlignment w:val="auto"/>
        <w:rPr>
          <w:rFonts w:hint="eastAsia"/>
        </w:rPr>
      </w:pPr>
      <w:r>
        <w:t>2</w:t>
      </w:r>
      <w:r>
        <w:rPr>
          <w:rFonts w:hint="eastAsia"/>
          <w:lang w:val="en-US" w:eastAsia="zh-CN"/>
        </w:rPr>
        <w:t>.</w:t>
      </w:r>
      <w:r>
        <w:rPr>
          <w:rFonts w:hint="eastAsia"/>
        </w:rPr>
        <w:t>阶段性目标：</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18" w:firstLineChars="206"/>
        <w:textAlignment w:val="auto"/>
        <w:rPr>
          <w:rFonts w:hint="eastAsia"/>
          <w:lang w:eastAsia="zh-CN"/>
        </w:rPr>
      </w:pPr>
      <w:r>
        <w:rPr>
          <w:rFonts w:hint="eastAsia"/>
          <w:lang w:eastAsia="zh-CN"/>
        </w:rPr>
        <w:t>（一）持续巩固拓展残疾人脱贫攻坚成果。</w:t>
      </w:r>
      <w:r>
        <w:rPr>
          <w:rFonts w:hint="default"/>
          <w:lang w:eastAsia="zh-CN"/>
        </w:rPr>
        <w:t>配合相关部门落实好各项残疾人帮扶政策，守住不发生规模性返贫底线。是加强残疾人就业帮扶，积极开展金融助残服务工作</w:t>
      </w:r>
      <w:r>
        <w:rPr>
          <w:rFonts w:hint="eastAsia"/>
          <w:lang w:eastAsia="zh-CN"/>
        </w:rPr>
        <w:t>。落实好残疾人社会保障政策。</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18" w:firstLineChars="206"/>
        <w:textAlignment w:val="auto"/>
        <w:rPr>
          <w:rFonts w:hint="eastAsia"/>
          <w:lang w:eastAsia="zh-CN"/>
        </w:rPr>
      </w:pPr>
      <w:r>
        <w:rPr>
          <w:rFonts w:hint="eastAsia"/>
          <w:lang w:eastAsia="zh-CN"/>
        </w:rPr>
        <w:t>（二）推进残疾预防和残疾人康复服务扩量增效。加强残疾人康复服务机构</w:t>
      </w:r>
      <w:r>
        <w:rPr>
          <w:rFonts w:hint="default"/>
          <w:lang w:eastAsia="zh-CN"/>
        </w:rPr>
        <w:t>建设</w:t>
      </w:r>
      <w:r>
        <w:rPr>
          <w:rFonts w:hint="eastAsia"/>
          <w:lang w:eastAsia="zh-CN"/>
        </w:rPr>
        <w:t>，</w:t>
      </w:r>
      <w:r>
        <w:rPr>
          <w:rFonts w:hint="default"/>
          <w:lang w:eastAsia="zh-CN"/>
        </w:rPr>
        <w:t>加强康复人才培训培养。残疾人康复服务工作呈现出服务机构不断增多，康复人才队伍不断壮大，服务水平不断提升的良好局面</w:t>
      </w:r>
      <w:r>
        <w:rPr>
          <w:rFonts w:hint="eastAsia"/>
          <w:lang w:eastAsia="zh-CN"/>
        </w:rPr>
        <w:t>，加大残疾预防宣传力度。</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18" w:firstLineChars="206"/>
        <w:textAlignment w:val="auto"/>
        <w:rPr>
          <w:rFonts w:hint="eastAsia"/>
          <w:lang w:val="en-US" w:eastAsia="zh-CN"/>
        </w:rPr>
      </w:pPr>
      <w:r>
        <w:rPr>
          <w:rFonts w:hint="eastAsia"/>
          <w:lang w:eastAsia="zh-CN"/>
        </w:rPr>
        <w:t>（四）不断提升残疾人教育发展水平。</w:t>
      </w:r>
      <w:r>
        <w:rPr>
          <w:rFonts w:hint="eastAsia"/>
          <w:lang w:val="en-US" w:eastAsia="zh-CN"/>
        </w:rPr>
        <w:t>为残疾人接受教育提升素质搭建平台，与国家开放大学残疾人教育学院巴州教学点签订联合办学协议，除教材费由残疾人自己承担外，其他的费用均由残联承担。</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18" w:firstLineChars="206"/>
        <w:textAlignment w:val="auto"/>
        <w:rPr>
          <w:rFonts w:hint="eastAsia"/>
          <w:lang w:val="en-US" w:eastAsia="zh-CN"/>
        </w:rPr>
      </w:pPr>
      <w:r>
        <w:rPr>
          <w:rFonts w:hint="eastAsia"/>
          <w:lang w:val="en-US" w:eastAsia="zh-CN"/>
        </w:rPr>
        <w:t>（五）提升残疾人公共文化体育服务。深入开展残疾人文化进社区进家庭“五个一”活动（组织残疾人读一本书、看一次电影、游一次园、参观一次展览、参加一次文化活动），加强残疾人事业的宣传报道。</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spacing w:line="560" w:lineRule="exact"/>
        <w:ind w:firstLine="640" w:firstLineChars="200"/>
        <w:rPr>
          <w:rFonts w:eastAsia="FangSong_GB2312"/>
          <w:color w:val="auto"/>
          <w:sz w:val="32"/>
          <w:szCs w:val="32"/>
        </w:rPr>
      </w:pPr>
      <w:r>
        <w:rPr>
          <w:rFonts w:eastAsia="FangSong_GB2312"/>
          <w:color w:val="auto"/>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1"/>
        </w:numPr>
        <w:spacing w:line="560" w:lineRule="exact"/>
        <w:ind w:firstLine="640" w:firstLineChars="200"/>
        <w:rPr>
          <w:rFonts w:eastAsia="FangSong_GB2312"/>
          <w:color w:val="auto"/>
          <w:sz w:val="32"/>
          <w:szCs w:val="32"/>
        </w:rPr>
      </w:pPr>
      <w:r>
        <w:rPr>
          <w:rFonts w:eastAsia="FangSong_GB2312"/>
          <w:color w:val="auto"/>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FangSong_GB2312"/>
          <w:color w:val="auto"/>
          <w:sz w:val="32"/>
          <w:szCs w:val="32"/>
        </w:rPr>
      </w:pPr>
      <w:r>
        <w:rPr>
          <w:rFonts w:eastAsia="FangSong_GB2312"/>
          <w:color w:val="auto"/>
          <w:sz w:val="32"/>
          <w:szCs w:val="32"/>
        </w:rPr>
        <w:t>（2）项目绩效管理财政支出运行提供及时、有效的信息。</w:t>
      </w:r>
    </w:p>
    <w:p>
      <w:pPr>
        <w:pStyle w:val="21"/>
        <w:spacing w:line="560" w:lineRule="exact"/>
        <w:ind w:firstLine="640" w:firstLineChars="200"/>
        <w:rPr>
          <w:rFonts w:eastAsia="方正仿宋_GBK" w:cs="方正仿宋_GBK"/>
          <w:color w:val="auto"/>
          <w:sz w:val="32"/>
          <w:szCs w:val="32"/>
        </w:rPr>
      </w:pPr>
      <w:r>
        <w:rPr>
          <w:rFonts w:eastAsia="FangSong_GB2312"/>
          <w:color w:val="auto"/>
          <w:sz w:val="32"/>
          <w:szCs w:val="32"/>
        </w:rPr>
        <w:t>综合来看，通过开展有效的财政支出绩效评价管理，</w:t>
      </w:r>
      <w:r>
        <w:rPr>
          <w:rFonts w:hint="eastAsia" w:eastAsia="FangSong_GB2312"/>
          <w:color w:val="auto"/>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残疾人专项费项目所包含的全部项目内容。</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color w:val="auto"/>
          <w:lang w:val="en-US" w:eastAsia="zh-CN"/>
        </w:rPr>
      </w:pPr>
      <w:bookmarkStart w:id="5" w:name="_Toc68703832"/>
      <w:r>
        <w:rPr>
          <w:rFonts w:hint="eastAsia" w:ascii="仿宋_GB2312" w:hAnsi="仿宋_GB2312" w:eastAsia="仿宋_GB2312" w:cs="仿宋_GB2312"/>
          <w:color w:val="auto"/>
          <w:sz w:val="32"/>
          <w:szCs w:val="32"/>
          <w:lang w:val="en-US" w:eastAsia="zh-CN"/>
        </w:rPr>
        <w:t>本次评价从项目决策（包括绩效目标、决策过程）、项目管理（包括项目资金、项目实施）、项目产出（包括项目产出数量、产出质量、产出时效和产出成本）项目效益四个维度</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对</w:t>
      </w:r>
      <w:r>
        <w:rPr>
          <w:rFonts w:hint="eastAsia" w:ascii="仿宋_GB2312" w:hAnsi="仿宋_GB2312" w:cs="仿宋_GB2312"/>
          <w:color w:val="auto"/>
          <w:sz w:val="32"/>
          <w:szCs w:val="32"/>
          <w:lang w:val="en-US" w:eastAsia="zh-CN"/>
        </w:rPr>
        <w:t>2023年残疾人专项费</w:t>
      </w:r>
      <w:r>
        <w:rPr>
          <w:rFonts w:hint="eastAsia" w:ascii="仿宋_GB2312" w:hAnsi="仿宋_GB2312" w:eastAsia="仿宋_GB2312" w:cs="仿宋_GB2312"/>
          <w:color w:val="auto"/>
          <w:sz w:val="32"/>
          <w:szCs w:val="32"/>
          <w:lang w:val="en-US" w:eastAsia="zh-CN"/>
        </w:rPr>
        <w:t>项目所包含</w:t>
      </w:r>
      <w:r>
        <w:rPr>
          <w:rFonts w:hint="eastAsia" w:ascii="仿宋_GB2312" w:hAnsi="仿宋_GB2312" w:cs="仿宋_GB2312"/>
          <w:color w:val="auto"/>
          <w:sz w:val="32"/>
          <w:szCs w:val="32"/>
          <w:lang w:val="en-US" w:eastAsia="zh-CN"/>
        </w:rPr>
        <w:t>：培训、残疾学生助学、举办宣传活动、发放聘用人员工资及人均运转方面</w:t>
      </w:r>
      <w:r>
        <w:rPr>
          <w:rFonts w:hint="eastAsia" w:ascii="仿宋_GB2312" w:hAnsi="仿宋_GB2312" w:eastAsia="仿宋_GB2312" w:cs="仿宋_GB2312"/>
          <w:color w:val="auto"/>
          <w:sz w:val="32"/>
          <w:szCs w:val="32"/>
          <w:lang w:val="en-US" w:eastAsia="zh-CN"/>
        </w:rPr>
        <w:t>评价资金的支出完成情况和效果。</w:t>
      </w: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（二）绩效评价原则、评价指标体系、评价方法、评价标准等。</w:t>
      </w:r>
    </w:p>
    <w:bookmarkEnd w:id="5"/>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rPr>
      </w:pPr>
      <w:r>
        <w:rPr>
          <w:rFonts w:hint="eastAsia" w:ascii="仿宋_GB2312"/>
          <w:bCs/>
          <w:color w:val="auto"/>
          <w:sz w:val="32"/>
          <w:szCs w:val="32"/>
        </w:rPr>
        <w:t>（一）科学公正。</w:t>
      </w:r>
      <w:r>
        <w:rPr>
          <w:rFonts w:hint="eastAsia" w:ascii="仿宋_GB2312"/>
          <w:bCs/>
          <w:color w:val="auto"/>
          <w:sz w:val="32"/>
          <w:szCs w:val="32"/>
          <w:lang w:val="en-US" w:eastAsia="zh-CN"/>
        </w:rPr>
        <w:t>本次项目支出绩效评价运用科学合理的方法，巴州残联按照规范的程序，对项目立项入库，资金下达后对项目进行梳理、计划，做好项目按进度正常实施等工作，对项目绩效进行客观、公正的反映。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bCs/>
          <w:color w:val="auto"/>
          <w:sz w:val="32"/>
          <w:szCs w:val="32"/>
        </w:rPr>
        <w:t>（</w:t>
      </w:r>
      <w:r>
        <w:rPr>
          <w:rFonts w:hint="eastAsia" w:ascii="仿宋_GB2312"/>
          <w:b w:val="0"/>
          <w:bCs/>
          <w:color w:val="auto"/>
          <w:sz w:val="32"/>
          <w:szCs w:val="32"/>
        </w:rPr>
        <w:t>二）统筹兼顾。</w:t>
      </w:r>
      <w:r>
        <w:rPr>
          <w:rFonts w:hint="eastAsia" w:ascii="仿宋_GB2312" w:hAnsi="仿宋_GB2312" w:eastAsia="仿宋_GB2312" w:cs="仿宋_GB2312"/>
          <w:b w:val="0"/>
          <w:bCs w:val="0"/>
          <w:kern w:val="2"/>
          <w:sz w:val="32"/>
          <w:szCs w:val="32"/>
          <w:lang w:val="en-US" w:eastAsia="zh-CN" w:bidi="ar-SA"/>
        </w:rPr>
        <w:t>全面考虑项目实施的各个方面，在项目实施过程中，召开会议集体决策，兼顾社会效益等诸多因素综合考虑，做好项目施工的每一步工作。本次项目支出绩效评价由</w:t>
      </w:r>
      <w:r>
        <w:rPr>
          <w:rFonts w:hint="eastAsia" w:ascii="仿宋_GB2312" w:hAnsi="仿宋_GB2312" w:cs="仿宋_GB2312"/>
          <w:b w:val="0"/>
          <w:bCs w:val="0"/>
          <w:kern w:val="2"/>
          <w:sz w:val="32"/>
          <w:szCs w:val="32"/>
          <w:lang w:val="en-US" w:eastAsia="zh-CN" w:bidi="ar-SA"/>
        </w:rPr>
        <w:t>巴州残疾人联合会</w:t>
      </w:r>
      <w:r>
        <w:rPr>
          <w:rFonts w:hint="eastAsia" w:ascii="仿宋_GB2312" w:hAnsi="仿宋_GB2312" w:eastAsia="仿宋_GB2312" w:cs="仿宋_GB2312"/>
          <w:b w:val="0"/>
          <w:bCs w:val="0"/>
          <w:kern w:val="2"/>
          <w:sz w:val="32"/>
          <w:szCs w:val="32"/>
          <w:lang w:val="en-US" w:eastAsia="zh-CN" w:bidi="ar-SA"/>
        </w:rPr>
        <w:t>自主实施，即“谁支出、谁自评”。</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bCs/>
          <w:color w:val="auto"/>
          <w:sz w:val="32"/>
          <w:szCs w:val="32"/>
        </w:rPr>
        <w:t>（三）激励约束。</w:t>
      </w:r>
      <w:r>
        <w:rPr>
          <w:rFonts w:hint="eastAsia" w:ascii="仿宋_GB2312" w:hAnsi="仿宋_GB2312" w:eastAsia="仿宋_GB2312" w:cs="仿宋_GB2312"/>
          <w:b w:val="0"/>
          <w:bCs w:val="0"/>
          <w:kern w:val="2"/>
          <w:sz w:val="32"/>
          <w:szCs w:val="32"/>
          <w:lang w:val="en-US" w:eastAsia="zh-CN" w:bidi="ar-SA"/>
        </w:rPr>
        <w:t>通过评价起到激励和约束作用，进一步提升项目实施的效益提升。本次项目支出绩效评价结果与项目分配实质性挂钩，对分配项目落实不好的科室、个人进行提示、通报，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rPr>
        <w:t>（四）公开透明。</w:t>
      </w:r>
      <w:r>
        <w:rPr>
          <w:rFonts w:hint="eastAsia" w:ascii="仿宋_GB2312"/>
          <w:bCs/>
          <w:color w:val="auto"/>
          <w:sz w:val="32"/>
          <w:szCs w:val="32"/>
          <w:lang w:val="en-US" w:eastAsia="zh-CN"/>
        </w:rPr>
        <w:t>绩效评价结果应依法依规在巴州政府人民网站进行公开，并自觉接受社会监督。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FF"/>
          <w:spacing w:val="17"/>
          <w:sz w:val="32"/>
          <w:szCs w:val="32"/>
        </w:rPr>
      </w:pPr>
      <w:r>
        <w:rPr>
          <w:rFonts w:eastAsia="仿宋_GB2312"/>
          <w:color w:val="000000"/>
          <w:spacing w:val="17"/>
          <w:sz w:val="32"/>
          <w:szCs w:val="32"/>
        </w:rPr>
        <w:t>确定各个指标相对于项目总体绩效的权重分值。在绩</w:t>
      </w:r>
      <w:r>
        <w:rPr>
          <w:rFonts w:eastAsia="仿宋_GB2312"/>
          <w:color w:val="auto"/>
          <w:spacing w:val="17"/>
          <w:sz w:val="32"/>
          <w:szCs w:val="32"/>
        </w:rPr>
        <w:t>效评价指标体系中，项目决策权重为2</w:t>
      </w:r>
      <w:r>
        <w:rPr>
          <w:rFonts w:hint="eastAsia"/>
          <w:color w:val="auto"/>
          <w:spacing w:val="17"/>
          <w:sz w:val="32"/>
          <w:szCs w:val="32"/>
          <w:lang w:val="en-US" w:eastAsia="zh-CN"/>
        </w:rPr>
        <w:t>3</w:t>
      </w:r>
      <w:r>
        <w:rPr>
          <w:rFonts w:eastAsia="仿宋_GB2312"/>
          <w:color w:val="auto"/>
          <w:spacing w:val="17"/>
          <w:sz w:val="32"/>
          <w:szCs w:val="32"/>
        </w:rPr>
        <w:t>分，项目过程权重为</w:t>
      </w:r>
      <w:r>
        <w:rPr>
          <w:rFonts w:hint="eastAsia"/>
          <w:color w:val="auto"/>
          <w:spacing w:val="17"/>
          <w:sz w:val="32"/>
          <w:szCs w:val="32"/>
          <w:lang w:val="en-US" w:eastAsia="zh-CN"/>
        </w:rPr>
        <w:t>17</w:t>
      </w:r>
      <w:r>
        <w:rPr>
          <w:rFonts w:eastAsia="仿宋_GB2312"/>
          <w:color w:val="auto"/>
          <w:spacing w:val="17"/>
          <w:sz w:val="32"/>
          <w:szCs w:val="32"/>
        </w:rPr>
        <w:t>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1"/>
        <w:widowControl w:val="0"/>
        <w:spacing w:before="0" w:after="0" w:line="560" w:lineRule="exact"/>
        <w:ind w:firstLine="708" w:firstLineChars="200"/>
        <w:jc w:val="both"/>
        <w:outlineLvl w:val="9"/>
        <w:rPr>
          <w:rFonts w:hint="eastAsia" w:eastAsia="仿宋_GB2312"/>
          <w:lang w:val="en-US" w:eastAsia="zh-CN"/>
        </w:rPr>
      </w:pPr>
      <w:r>
        <w:rPr>
          <w:rFonts w:ascii="Times New Roman" w:hAnsi="Times New Roman" w:eastAsia="仿宋_GB2312"/>
          <w:b w:val="0"/>
          <w:bCs w:val="0"/>
          <w:color w:val="000000"/>
          <w:spacing w:val="17"/>
        </w:rPr>
        <w:t>具体评价指标体系详情见附件</w:t>
      </w:r>
      <w:r>
        <w:rPr>
          <w:rFonts w:hint="eastAsia" w:ascii="Times New Roman" w:hAnsi="Times New Roman" w:eastAsia="仿宋_GB2312"/>
          <w:b w:val="0"/>
          <w:bCs w:val="0"/>
          <w:color w:val="000000"/>
          <w:spacing w:val="17"/>
          <w:lang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通过对绩效目标与实施效果、历史与当期情况，综合分析绩效目标实现程度。对项目最终验收情况与年度绩效目标对比、预算资金执行情况等相关因素进行比较。本次评价指标中</w:t>
      </w:r>
      <w:r>
        <w:rPr>
          <w:rFonts w:hint="eastAsia"/>
          <w:lang w:eastAsia="zh-CN"/>
        </w:rPr>
        <w:t>，</w:t>
      </w:r>
      <w:r>
        <w:rPr>
          <w:rFonts w:hint="eastAsia"/>
          <w:lang w:val="en-US" w:eastAsia="zh-CN"/>
        </w:rPr>
        <w:t>我单位残疾人</w:t>
      </w:r>
      <w:r>
        <w:rPr>
          <w:rFonts w:hint="eastAsia"/>
          <w:lang w:eastAsia="zh-CN"/>
        </w:rPr>
        <w:t>专项工作支出绩效自评采用比较法，原因是：我</w:t>
      </w:r>
      <w:r>
        <w:rPr>
          <w:rFonts w:hint="eastAsia"/>
          <w:lang w:val="en-US" w:eastAsia="zh-CN"/>
        </w:rPr>
        <w:t>单位</w:t>
      </w:r>
      <w:r>
        <w:rPr>
          <w:rFonts w:hint="eastAsia"/>
          <w:lang w:eastAsia="zh-CN"/>
        </w:rPr>
        <w:t>按照财政项目</w:t>
      </w:r>
      <w:r>
        <w:rPr>
          <w:rFonts w:hint="eastAsia"/>
          <w:lang w:val="en-US" w:eastAsia="zh-CN"/>
        </w:rPr>
        <w:t>支出绩效自评工作的要求，结合实际情况，组织相关工作人员根据项目绩效指标内容，对所有项止内容进行核实与考评。比较法通过对年初设置的三级指标内容与完成情况进行对比，在此基础上进行评价，通过直观的方式可以清楚明了体现出项目具体实施情况。</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spacing w:line="560" w:lineRule="exact"/>
        <w:ind w:firstLine="708" w:firstLineChars="200"/>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w:t>
      </w:r>
      <w:r>
        <w:rPr>
          <w:rFonts w:hint="eastAsia" w:eastAsia="仿宋_GB2312"/>
          <w:color w:val="000000"/>
          <w:spacing w:val="17"/>
          <w:sz w:val="32"/>
          <w:szCs w:val="32"/>
        </w:rPr>
        <w:t>标准。</w:t>
      </w:r>
    </w:p>
    <w:p>
      <w:pPr>
        <w:pageBreakBefore w:val="0"/>
        <w:shd w:val="clear"/>
        <w:kinsoku/>
        <w:wordWrap/>
        <w:topLinePunct w:val="0"/>
        <w:autoSpaceDE/>
        <w:autoSpaceDN/>
        <w:bidi w:val="0"/>
        <w:adjustRightInd/>
        <w:snapToGrid/>
        <w:spacing w:line="500" w:lineRule="exact"/>
        <w:ind w:firstLine="600" w:firstLineChars="200"/>
        <w:textAlignment w:val="auto"/>
        <w:outlineLvl w:val="0"/>
        <w:rPr>
          <w:rFonts w:hint="eastAsia"/>
          <w:lang w:val="en-US" w:eastAsia="zh-CN"/>
        </w:rPr>
      </w:pPr>
      <w:r>
        <w:rPr>
          <w:rFonts w:hint="eastAsia"/>
          <w:lang w:val="en-US" w:eastAsia="zh-CN"/>
        </w:rPr>
        <w:t>原因是：该项目</w:t>
      </w:r>
      <w:r>
        <w:rPr>
          <w:rFonts w:hint="eastAsia" w:ascii="仿宋_GB2312" w:hAnsi="仿宋_GB2312" w:eastAsia="仿宋_GB2312" w:cs="仿宋_GB2312"/>
          <w:sz w:val="32"/>
          <w:szCs w:val="32"/>
          <w:lang w:val="en-US" w:eastAsia="zh-CN"/>
        </w:rPr>
        <w:t>根据</w:t>
      </w:r>
      <w:r>
        <w:rPr>
          <w:rFonts w:hint="eastAsia" w:ascii="仿宋_GB2312" w:hAnsi="仿宋_GB2312" w:cs="仿宋_GB2312"/>
          <w:sz w:val="32"/>
          <w:szCs w:val="32"/>
          <w:lang w:val="en-US" w:eastAsia="zh-CN"/>
        </w:rPr>
        <w:t>《残疾人就业保障金征收使用管理办法》、</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关于印发&lt;新疆维吾尔自治区残疾人事业发展补助资金管理办法&gt;的通知</w:t>
      </w:r>
      <w:r>
        <w:rPr>
          <w:rFonts w:hint="eastAsia" w:ascii="仿宋_GB2312" w:hAnsi="仿宋_GB2312" w:eastAsia="仿宋_GB2312" w:cs="仿宋_GB2312"/>
          <w:sz w:val="32"/>
          <w:szCs w:val="32"/>
          <w:lang w:val="en-US" w:eastAsia="zh-CN"/>
        </w:rPr>
        <w:t>》</w:t>
      </w:r>
      <w:r>
        <w:rPr>
          <w:rFonts w:hint="eastAsia" w:ascii="Times New Roman" w:hAnsi="Times New Roman" w:cs="Times New Roman"/>
          <w:lang w:val="en-US" w:eastAsia="zh-CN"/>
        </w:rPr>
        <w:t>（新财规〔2022〕6号）</w:t>
      </w:r>
      <w:r>
        <w:rPr>
          <w:rFonts w:hint="eastAsia" w:ascii="仿宋_GB2312" w:hAnsi="仿宋_GB2312" w:eastAsia="仿宋_GB2312" w:cs="仿宋_GB2312"/>
          <w:sz w:val="32"/>
          <w:szCs w:val="32"/>
          <w:lang w:val="en-US" w:eastAsia="zh-CN"/>
        </w:rPr>
        <w:t>结合我</w:t>
      </w:r>
      <w:r>
        <w:rPr>
          <w:rFonts w:hint="eastAsia" w:ascii="仿宋_GB2312" w:hAnsi="仿宋_GB2312" w:cs="仿宋_GB2312"/>
          <w:sz w:val="32"/>
          <w:szCs w:val="32"/>
          <w:lang w:val="en-US" w:eastAsia="zh-CN"/>
        </w:rPr>
        <w:t>部门</w:t>
      </w:r>
      <w:r>
        <w:rPr>
          <w:rFonts w:hint="eastAsia" w:ascii="仿宋_GB2312" w:hAnsi="仿宋_GB2312" w:eastAsia="仿宋_GB2312" w:cs="仿宋_GB2312"/>
          <w:sz w:val="32"/>
          <w:szCs w:val="32"/>
          <w:lang w:val="en-US" w:eastAsia="zh-CN"/>
        </w:rPr>
        <w:t>实际</w:t>
      </w:r>
      <w:r>
        <w:rPr>
          <w:rFonts w:hint="eastAsia" w:ascii="仿宋_GB2312" w:hAnsi="仿宋_GB2312" w:cs="仿宋_GB2312"/>
          <w:sz w:val="32"/>
          <w:szCs w:val="32"/>
          <w:lang w:val="en-US" w:eastAsia="zh-CN"/>
        </w:rPr>
        <w:t>摸底</w:t>
      </w:r>
      <w:r>
        <w:rPr>
          <w:rFonts w:hint="eastAsia" w:ascii="仿宋_GB2312" w:hAnsi="仿宋_GB2312" w:eastAsia="仿宋_GB2312" w:cs="仿宋_GB2312"/>
          <w:sz w:val="32"/>
          <w:szCs w:val="32"/>
          <w:lang w:val="en-US" w:eastAsia="zh-CN"/>
        </w:rPr>
        <w:t>情况，设置年初绩效目标申报表时预选制定计划、设置年初预算及参照历史数据，并根据该项目的年度计划确定三级指标进行评价。</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bookmarkStart w:id="6" w:name="_Toc31464"/>
      <w:bookmarkStart w:id="7" w:name="_Toc17882"/>
      <w:r>
        <w:rPr>
          <w:rFonts w:hint="eastAsia"/>
          <w:lang w:val="en-US" w:eastAsia="zh-CN"/>
        </w:rPr>
        <w:t>计划标准：残疾人专项业务专项以预先制定的目标、计划、预算、定额等作为评价标准。</w:t>
      </w:r>
      <w:bookmarkEnd w:id="6"/>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8" w:name="_Toc68703833"/>
      <w:r>
        <w:rPr>
          <w:rFonts w:hint="eastAsia" w:ascii="仿宋_GB2312" w:eastAsia="仿宋_GB2312"/>
          <w:b w:val="0"/>
          <w:bCs w:val="0"/>
        </w:rPr>
        <w:t>（三）绩效评价工作过程。</w:t>
      </w:r>
      <w:bookmarkEnd w:id="8"/>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bCs/>
          <w:color w:val="auto"/>
          <w:sz w:val="32"/>
          <w:szCs w:val="32"/>
        </w:rPr>
      </w:pPr>
      <w:bookmarkStart w:id="9" w:name="_Toc68703834"/>
      <w:r>
        <w:rPr>
          <w:rFonts w:hint="eastAsia" w:ascii="仿宋_GB2312" w:hAnsi="仿宋_GB2312" w:eastAsia="仿宋_GB2312" w:cs="仿宋_GB2312"/>
          <w:bCs/>
          <w:color w:val="auto"/>
          <w:sz w:val="32"/>
          <w:szCs w:val="32"/>
        </w:rPr>
        <w:t>1.前期准备。首先成立评价工作组，</w:t>
      </w:r>
      <w:r>
        <w:rPr>
          <w:rFonts w:hint="eastAsia" w:ascii="仿宋_GB2312" w:hAnsi="仿宋_GB2312" w:cs="仿宋_GB2312"/>
          <w:bCs/>
          <w:color w:val="auto"/>
          <w:sz w:val="32"/>
          <w:szCs w:val="32"/>
          <w:lang w:eastAsia="zh-CN"/>
        </w:rPr>
        <w:t>结合残疾人工作要点实际情况，</w:t>
      </w:r>
      <w:r>
        <w:rPr>
          <w:rFonts w:hint="eastAsia" w:ascii="仿宋_GB2312" w:hAnsi="仿宋_GB2312" w:eastAsia="仿宋_GB2312" w:cs="仿宋_GB2312"/>
          <w:bCs/>
          <w:color w:val="auto"/>
          <w:sz w:val="32"/>
          <w:szCs w:val="32"/>
        </w:rPr>
        <w:t>开展前期调研；其次明确项目绩效目标，</w:t>
      </w:r>
      <w:r>
        <w:rPr>
          <w:rFonts w:hint="eastAsia" w:ascii="仿宋_GB2312" w:hAnsi="仿宋_GB2312" w:cs="仿宋_GB2312"/>
          <w:bCs/>
          <w:color w:val="auto"/>
          <w:sz w:val="32"/>
          <w:szCs w:val="32"/>
          <w:lang w:eastAsia="zh-CN"/>
        </w:rPr>
        <w:t>按照实施方案及</w:t>
      </w:r>
      <w:r>
        <w:rPr>
          <w:rFonts w:hint="eastAsia" w:ascii="仿宋_GB2312" w:hAnsi="仿宋_GB2312" w:eastAsia="仿宋_GB2312" w:cs="仿宋_GB2312"/>
          <w:bCs/>
          <w:color w:val="auto"/>
          <w:sz w:val="32"/>
          <w:szCs w:val="32"/>
        </w:rPr>
        <w:t>设计绩效评价指标体系并确定绩效评价方法；</w:t>
      </w:r>
      <w:r>
        <w:rPr>
          <w:rFonts w:hint="eastAsia" w:ascii="仿宋_GB2312" w:hAnsi="仿宋_GB2312" w:cs="仿宋_GB2312"/>
          <w:bCs/>
          <w:color w:val="auto"/>
          <w:sz w:val="32"/>
          <w:szCs w:val="32"/>
          <w:lang w:eastAsia="zh-CN"/>
        </w:rPr>
        <w:t>按照实地评价及档案评价两部分</w:t>
      </w:r>
      <w:r>
        <w:rPr>
          <w:rFonts w:hint="eastAsia" w:ascii="仿宋_GB2312" w:hAnsi="仿宋_GB2312" w:eastAsia="仿宋_GB2312" w:cs="仿宋_GB2312"/>
          <w:bCs/>
          <w:color w:val="auto"/>
          <w:sz w:val="32"/>
          <w:szCs w:val="32"/>
        </w:rPr>
        <w:t>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2.组织实施。</w:t>
      </w:r>
      <w:r>
        <w:rPr>
          <w:rFonts w:hint="eastAsia" w:ascii="仿宋_GB2312" w:hAnsi="仿宋_GB2312" w:cs="仿宋_GB2312"/>
          <w:bCs/>
          <w:color w:val="auto"/>
          <w:sz w:val="32"/>
          <w:szCs w:val="32"/>
          <w:lang w:eastAsia="zh-CN"/>
        </w:rPr>
        <w:t>巴州残联结合前几年项目实施情况</w:t>
      </w:r>
      <w:r>
        <w:rPr>
          <w:rFonts w:hint="eastAsia" w:ascii="仿宋_GB2312" w:hAnsi="仿宋_GB2312" w:eastAsia="仿宋_GB2312" w:cs="仿宋_GB2312"/>
          <w:bCs/>
          <w:color w:val="auto"/>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3.分析评价。根据</w:t>
      </w:r>
      <w:r>
        <w:rPr>
          <w:rFonts w:hint="eastAsia" w:ascii="仿宋_GB2312" w:hAnsi="仿宋_GB2312" w:cs="仿宋_GB2312"/>
          <w:bCs/>
          <w:color w:val="auto"/>
          <w:sz w:val="32"/>
          <w:szCs w:val="32"/>
          <w:lang w:eastAsia="zh-CN"/>
        </w:rPr>
        <w:t>项目</w:t>
      </w:r>
      <w:r>
        <w:rPr>
          <w:rFonts w:hint="eastAsia" w:ascii="仿宋_GB2312" w:hAnsi="仿宋_GB2312" w:eastAsia="仿宋_GB2312" w:cs="仿宋_GB2312"/>
          <w:bCs/>
          <w:color w:val="auto"/>
          <w:sz w:val="32"/>
          <w:szCs w:val="32"/>
        </w:rPr>
        <w:t>收集梳理的资料</w:t>
      </w:r>
      <w:r>
        <w:rPr>
          <w:rFonts w:hint="eastAsia" w:ascii="仿宋_GB2312" w:hAnsi="仿宋_GB2312" w:cs="仿宋_GB2312"/>
          <w:bCs/>
          <w:color w:val="auto"/>
          <w:sz w:val="32"/>
          <w:szCs w:val="32"/>
          <w:lang w:eastAsia="zh-CN"/>
        </w:rPr>
        <w:t>，包括</w:t>
      </w:r>
      <w:r>
        <w:rPr>
          <w:rFonts w:hint="eastAsia" w:ascii="仿宋_GB2312" w:hAnsi="仿宋_GB2312" w:eastAsia="仿宋_GB2312" w:cs="仿宋_GB2312"/>
          <w:bCs/>
          <w:color w:val="auto"/>
          <w:sz w:val="32"/>
          <w:szCs w:val="32"/>
        </w:rPr>
        <w:t>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9"/>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10" w:name="_Toc68703835"/>
      <w:r>
        <w:rPr>
          <w:rFonts w:hint="eastAsia" w:ascii="仿宋_GB2312" w:eastAsia="仿宋_GB2312"/>
          <w:b w:val="0"/>
          <w:bCs w:val="0"/>
        </w:rPr>
        <w:t>（一）综合评价情况</w:t>
      </w:r>
      <w:bookmarkEnd w:id="10"/>
      <w:r>
        <w:rPr>
          <w:rFonts w:hint="eastAsia" w:ascii="仿宋_GB2312" w:eastAsia="仿宋_GB2312"/>
          <w:b w:val="0"/>
          <w:bCs w:val="0"/>
          <w:lang w:eastAsia="zh-CN"/>
        </w:rPr>
        <w:t>及评价结论</w:t>
      </w: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lang w:eastAsia="zh-CN"/>
        </w:rPr>
      </w:pPr>
      <w:bookmarkStart w:id="11" w:name="_Toc68703836"/>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rPr>
        <w:t>评价情况</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严格按照科学公正、统筹兼顾、激励约束、公开透明的绩效评价原则，采用比较法，坚持计划标准对本项目的立项、绩效目标、资金投入、资金管理、组织实施、产出数量、产出质量、产出时效、产出成本、项目效益进行了综合评价。</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评价结论</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仿宋_GB2312" w:hAnsi="仿宋_GB2312" w:cs="仿宋_GB2312"/>
          <w:b w:val="0"/>
          <w:bCs w:val="0"/>
          <w:color w:val="auto"/>
          <w:sz w:val="32"/>
          <w:szCs w:val="32"/>
          <w:highlight w:val="none"/>
          <w:lang w:val="en-US" w:eastAsia="zh-CN"/>
        </w:rPr>
        <w:t>99</w:t>
      </w:r>
      <w:r>
        <w:rPr>
          <w:rFonts w:hint="eastAsia" w:ascii="仿宋_GB2312" w:hAnsi="仿宋_GB2312" w:eastAsia="仿宋_GB2312" w:cs="仿宋_GB2312"/>
          <w:b w:val="0"/>
          <w:bCs w:val="0"/>
          <w:color w:val="auto"/>
          <w:sz w:val="32"/>
          <w:szCs w:val="32"/>
          <w:highlight w:val="none"/>
        </w:rPr>
        <w:t>分，属于“优”。其中，项目决策类指标权重为</w:t>
      </w:r>
      <w:r>
        <w:rPr>
          <w:rFonts w:hint="eastAsia" w:ascii="仿宋_GB2312" w:hAnsi="仿宋_GB2312" w:cs="仿宋_GB2312"/>
          <w:b w:val="0"/>
          <w:bCs w:val="0"/>
          <w:color w:val="auto"/>
          <w:sz w:val="32"/>
          <w:szCs w:val="32"/>
          <w:highlight w:val="none"/>
          <w:lang w:val="en-US" w:eastAsia="zh-CN"/>
        </w:rPr>
        <w:t>23</w:t>
      </w:r>
      <w:r>
        <w:rPr>
          <w:rFonts w:hint="eastAsia" w:ascii="仿宋_GB2312" w:hAnsi="仿宋_GB2312" w:eastAsia="仿宋_GB2312" w:cs="仿宋_GB2312"/>
          <w:b w:val="0"/>
          <w:bCs w:val="0"/>
          <w:color w:val="auto"/>
          <w:sz w:val="32"/>
          <w:szCs w:val="32"/>
          <w:highlight w:val="none"/>
        </w:rPr>
        <w:t>分，得分为</w:t>
      </w:r>
      <w:r>
        <w:rPr>
          <w:rFonts w:hint="eastAsia" w:ascii="仿宋_GB2312" w:hAnsi="仿宋_GB2312" w:cs="仿宋_GB2312"/>
          <w:b w:val="0"/>
          <w:bCs w:val="0"/>
          <w:color w:val="auto"/>
          <w:sz w:val="32"/>
          <w:szCs w:val="32"/>
          <w:highlight w:val="none"/>
          <w:lang w:val="en-US" w:eastAsia="zh-CN"/>
        </w:rPr>
        <w:t>23</w:t>
      </w:r>
      <w:r>
        <w:rPr>
          <w:rFonts w:hint="eastAsia" w:ascii="仿宋_GB2312" w:hAnsi="仿宋_GB2312" w:eastAsia="仿宋_GB2312" w:cs="仿宋_GB2312"/>
          <w:b w:val="0"/>
          <w:bCs w:val="0"/>
          <w:color w:val="auto"/>
          <w:sz w:val="32"/>
          <w:szCs w:val="32"/>
          <w:highlight w:val="none"/>
        </w:rPr>
        <w:t>分，得分率为 100%。项目过程类指标权重为</w:t>
      </w:r>
      <w:r>
        <w:rPr>
          <w:rFonts w:hint="eastAsia" w:ascii="仿宋_GB2312" w:hAnsi="仿宋_GB2312" w:cs="仿宋_GB2312"/>
          <w:b w:val="0"/>
          <w:bCs w:val="0"/>
          <w:color w:val="auto"/>
          <w:sz w:val="32"/>
          <w:szCs w:val="32"/>
          <w:highlight w:val="none"/>
          <w:lang w:val="en-US" w:eastAsia="zh-CN"/>
        </w:rPr>
        <w:t>17</w:t>
      </w:r>
      <w:r>
        <w:rPr>
          <w:rFonts w:hint="eastAsia" w:ascii="仿宋_GB2312" w:hAnsi="仿宋_GB2312" w:eastAsia="仿宋_GB2312" w:cs="仿宋_GB2312"/>
          <w:b w:val="0"/>
          <w:bCs w:val="0"/>
          <w:color w:val="auto"/>
          <w:sz w:val="32"/>
          <w:szCs w:val="32"/>
          <w:highlight w:val="none"/>
        </w:rPr>
        <w:t>分，得分为</w:t>
      </w:r>
      <w:r>
        <w:rPr>
          <w:rFonts w:hint="eastAsia" w:ascii="仿宋_GB2312" w:hAnsi="仿宋_GB2312" w:cs="仿宋_GB2312"/>
          <w:b w:val="0"/>
          <w:bCs w:val="0"/>
          <w:color w:val="auto"/>
          <w:sz w:val="32"/>
          <w:szCs w:val="32"/>
          <w:highlight w:val="none"/>
          <w:lang w:val="en-US" w:eastAsia="zh-CN"/>
        </w:rPr>
        <w:t>16.5</w:t>
      </w:r>
      <w:r>
        <w:rPr>
          <w:rFonts w:hint="eastAsia" w:ascii="仿宋_GB2312" w:hAnsi="仿宋_GB2312" w:eastAsia="仿宋_GB2312" w:cs="仿宋_GB2312"/>
          <w:b w:val="0"/>
          <w:bCs w:val="0"/>
          <w:color w:val="auto"/>
          <w:sz w:val="32"/>
          <w:szCs w:val="32"/>
          <w:highlight w:val="none"/>
        </w:rPr>
        <w:t>分，得分率为</w:t>
      </w:r>
      <w:r>
        <w:rPr>
          <w:rFonts w:hint="eastAsia" w:ascii="仿宋_GB2312" w:hAnsi="仿宋_GB2312" w:cs="仿宋_GB2312"/>
          <w:b w:val="0"/>
          <w:bCs w:val="0"/>
          <w:color w:val="auto"/>
          <w:sz w:val="32"/>
          <w:szCs w:val="32"/>
          <w:highlight w:val="none"/>
          <w:lang w:val="en-US" w:eastAsia="zh-CN"/>
        </w:rPr>
        <w:t>97.06</w:t>
      </w:r>
      <w:r>
        <w:rPr>
          <w:rFonts w:hint="eastAsia" w:ascii="仿宋_GB2312" w:hAnsi="仿宋_GB2312" w:eastAsia="仿宋_GB2312" w:cs="仿宋_GB2312"/>
          <w:b w:val="0"/>
          <w:bCs w:val="0"/>
          <w:color w:val="auto"/>
          <w:sz w:val="32"/>
          <w:szCs w:val="32"/>
          <w:highlight w:val="none"/>
        </w:rPr>
        <w:t>%。项目产出类指标权重为</w:t>
      </w:r>
      <w:r>
        <w:rPr>
          <w:rFonts w:hint="eastAsia" w:ascii="仿宋_GB2312" w:hAnsi="仿宋_GB2312" w:cs="仿宋_GB2312"/>
          <w:b w:val="0"/>
          <w:bCs w:val="0"/>
          <w:color w:val="auto"/>
          <w:sz w:val="32"/>
          <w:szCs w:val="32"/>
          <w:highlight w:val="none"/>
          <w:lang w:val="en-US" w:eastAsia="zh-CN"/>
        </w:rPr>
        <w:t>40</w:t>
      </w:r>
      <w:r>
        <w:rPr>
          <w:rFonts w:hint="eastAsia" w:ascii="仿宋_GB2312" w:hAnsi="仿宋_GB2312" w:eastAsia="仿宋_GB2312" w:cs="仿宋_GB2312"/>
          <w:b w:val="0"/>
          <w:bCs w:val="0"/>
          <w:color w:val="auto"/>
          <w:sz w:val="32"/>
          <w:szCs w:val="32"/>
          <w:highlight w:val="none"/>
        </w:rPr>
        <w:t>分，得分为</w:t>
      </w:r>
      <w:r>
        <w:rPr>
          <w:rFonts w:hint="eastAsia" w:ascii="仿宋_GB2312" w:hAnsi="仿宋_GB2312" w:cs="仿宋_GB2312"/>
          <w:b w:val="0"/>
          <w:bCs w:val="0"/>
          <w:color w:val="auto"/>
          <w:sz w:val="32"/>
          <w:szCs w:val="32"/>
          <w:highlight w:val="none"/>
          <w:lang w:val="en-US" w:eastAsia="zh-CN"/>
        </w:rPr>
        <w:t>39.5</w:t>
      </w:r>
      <w:r>
        <w:rPr>
          <w:rFonts w:hint="eastAsia" w:ascii="仿宋_GB2312" w:hAnsi="仿宋_GB2312" w:eastAsia="仿宋_GB2312" w:cs="仿宋_GB2312"/>
          <w:b w:val="0"/>
          <w:bCs w:val="0"/>
          <w:color w:val="auto"/>
          <w:sz w:val="32"/>
          <w:szCs w:val="32"/>
          <w:highlight w:val="none"/>
        </w:rPr>
        <w:t>分，得分率为</w:t>
      </w:r>
      <w:r>
        <w:rPr>
          <w:rFonts w:hint="eastAsia" w:ascii="仿宋_GB2312" w:hAnsi="仿宋_GB2312" w:cs="仿宋_GB2312"/>
          <w:b w:val="0"/>
          <w:bCs w:val="0"/>
          <w:color w:val="auto"/>
          <w:sz w:val="32"/>
          <w:szCs w:val="32"/>
          <w:highlight w:val="none"/>
          <w:lang w:val="en-US" w:eastAsia="zh-CN"/>
        </w:rPr>
        <w:t>98.75</w:t>
      </w:r>
      <w:r>
        <w:rPr>
          <w:rFonts w:hint="eastAsia" w:ascii="仿宋_GB2312" w:hAnsi="仿宋_GB2312" w:eastAsia="仿宋_GB2312" w:cs="仿宋_GB2312"/>
          <w:b w:val="0"/>
          <w:bCs w:val="0"/>
          <w:color w:val="auto"/>
          <w:sz w:val="32"/>
          <w:szCs w:val="32"/>
          <w:highlight w:val="none"/>
        </w:rPr>
        <w:t>%。项目效益类指标权重为20分，得分为20分，得分率为100%。具体打分情况详见：附件1综合评分表。</w:t>
      </w:r>
    </w:p>
    <w:bookmarkEnd w:id="11"/>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lang w:eastAsia="zh-CN"/>
        </w:rPr>
        <w:t>残疾人专项费</w:t>
      </w:r>
      <w:r>
        <w:rPr>
          <w:rFonts w:hint="eastAsia"/>
          <w:color w:val="auto"/>
        </w:rPr>
        <w:t>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23</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23</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17</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16.5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39.5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99</w:t>
            </w:r>
          </w:p>
        </w:tc>
      </w:tr>
    </w:tbl>
    <w:p>
      <w:pPr>
        <w:pStyle w:val="11"/>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2" w:name="_Toc68703837"/>
      <w:r>
        <w:rPr>
          <w:rFonts w:hint="eastAsia" w:ascii="宋体" w:hAnsi="宋体" w:eastAsia="宋体"/>
          <w:sz w:val="32"/>
          <w:szCs w:val="32"/>
        </w:rPr>
        <w:t>四、绩效评价指标分析</w:t>
      </w:r>
      <w:bookmarkEnd w:id="12"/>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8"/>
      <w:r>
        <w:rPr>
          <w:rFonts w:hint="eastAsia" w:ascii="仿宋_GB2312" w:eastAsia="仿宋_GB2312"/>
          <w:b w:val="0"/>
          <w:bCs w:val="0"/>
        </w:rPr>
        <w:t>（一）项目决策情况。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pStyle w:val="11"/>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11"/>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项目申请、设立过程符合相关要求，</w:t>
      </w:r>
      <w:r>
        <w:rPr>
          <w:rFonts w:hint="eastAsia" w:ascii="仿宋_GB2312" w:hAnsi="仿宋_GB2312" w:eastAsia="仿宋_GB2312" w:cs="仿宋_GB2312"/>
          <w:b w:val="0"/>
          <w:bCs w:val="0"/>
          <w:kern w:val="2"/>
          <w:sz w:val="32"/>
          <w:szCs w:val="32"/>
          <w:lang w:val="en-US" w:eastAsia="zh-Hans" w:bidi="ar-SA"/>
        </w:rPr>
        <w:t>严格按照审批流程准备符合要求的文件、材料；</w:t>
      </w:r>
      <w:r>
        <w:rPr>
          <w:rFonts w:hint="eastAsia" w:ascii="仿宋_GB2312" w:hAnsi="仿宋_GB2312" w:eastAsia="仿宋_GB2312" w:cs="仿宋_GB2312"/>
          <w:b w:val="0"/>
          <w:bCs w:val="0"/>
          <w:kern w:val="2"/>
          <w:sz w:val="32"/>
          <w:szCs w:val="32"/>
          <w:lang w:val="en-US" w:eastAsia="zh-CN" w:bidi="ar-SA"/>
        </w:rPr>
        <w:t>根据决算依据编制工作计划和经费预算，经过与业务科室项目分管领导沟通、筛选确定经费预算计划，确定最终预算方案。项目的审批文件、材料符合相关要求，项目事前经过必要的可行性研究、专家论证、风险评估、绩效评估、集体决策，保障了程序的规范性。</w:t>
      </w:r>
    </w:p>
    <w:p>
      <w:pPr>
        <w:pStyle w:val="11"/>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Style w:val="11"/>
        <w:ind w:firstLine="600" w:firstLineChars="200"/>
        <w:jc w:val="left"/>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设置了明确的预期产出效益和效果，将绩效目标细化分解为具体的绩效指标，绩效目标与项目目标任务数相对应，绩效目标设定的绩效指标清晰、细化、可衡量，所有绩效指标均通过清晰、可衡量的指标值予以体现，并且做到了与项目目标任务数或计划数相对应。</w:t>
      </w:r>
    </w:p>
    <w:p>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Style w:val="11"/>
        <w:ind w:firstLine="600" w:firstLineChars="200"/>
        <w:jc w:val="left"/>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预算编制经过科学论证，预算内容与项目内容一致，预算确定项目投资金额、资金与工作任务相匹配，预算额度测算依据根据项目实施计划安排，按照州财政下发预算编制标准编制。</w:t>
      </w:r>
    </w:p>
    <w:p>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shd w:val="clear"/>
        <w:spacing w:line="600" w:lineRule="exact"/>
        <w:ind w:firstLine="600" w:firstLineChars="200"/>
        <w:outlineLvl w:val="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我单位按照财政要求基本支出分月度申报资金使用计划，由财政部门按照进度每月按期拨付，人员支出按照工资计划发放工资；依照巴州残疾人联合会《财务管理制度》相关规定和巴州残疾人联合会《财务支付》规定流程，资金支出按照我内控体系中设定的流程申报审批进行；项目支出属于政府采购的，按照《巴州残疾人联合会采购管理办法》组织人员制定采购计划，按照财政局采购部门批复，进行公开招标、邀请招标等方式进行；属于非政府采购的项目，按照“三重一大”制度规定，重大项目支出上党组会研究决定。资金分配额度与项目单位实际工作内容相适应，资金分配额度合理，资金分配依据充分。</w:t>
      </w:r>
    </w:p>
    <w:p>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4" w:name="_Toc68703839"/>
      <w:r>
        <w:rPr>
          <w:rFonts w:hint="eastAsia" w:ascii="仿宋_GB2312" w:eastAsia="仿宋_GB2312"/>
          <w:b w:val="0"/>
          <w:bCs w:val="0"/>
        </w:rPr>
        <w:t>（二）项目过程情况。</w:t>
      </w:r>
      <w:bookmarkEnd w:id="14"/>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148.80</w:t>
      </w:r>
      <w:r>
        <w:rPr>
          <w:rFonts w:hint="eastAsia"/>
          <w:color w:val="auto"/>
        </w:rPr>
        <w:t>万元，实际到位资金</w:t>
      </w:r>
      <w:r>
        <w:rPr>
          <w:rFonts w:hint="eastAsia"/>
          <w:color w:val="auto"/>
          <w:lang w:val="en-US" w:eastAsia="zh-CN"/>
        </w:rPr>
        <w:t>148.80</w:t>
      </w:r>
      <w:r>
        <w:rPr>
          <w:rFonts w:hint="eastAsia"/>
          <w:color w:val="auto"/>
        </w:rPr>
        <w:t>万元，资金到位率</w:t>
      </w:r>
      <w:r>
        <w:rPr>
          <w:rFonts w:hint="eastAsia"/>
          <w:color w:val="auto"/>
          <w:lang w:val="en-US" w:eastAsia="zh-CN"/>
        </w:rPr>
        <w:t>100</w:t>
      </w:r>
      <w:r>
        <w:rPr>
          <w:rFonts w:hint="eastAsia"/>
          <w:color w:val="auto"/>
        </w:rPr>
        <w:t>%。</w:t>
      </w:r>
    </w:p>
    <w:p>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年初预算数</w:t>
      </w:r>
      <w:r>
        <w:rPr>
          <w:rFonts w:hint="eastAsia"/>
          <w:color w:val="auto"/>
          <w:lang w:val="en-US" w:eastAsia="zh-CN"/>
        </w:rPr>
        <w:t>148.80</w:t>
      </w:r>
      <w:r>
        <w:rPr>
          <w:rFonts w:hint="eastAsia"/>
          <w:color w:val="auto"/>
        </w:rPr>
        <w:t>万元，全年预算数</w:t>
      </w:r>
      <w:r>
        <w:rPr>
          <w:rFonts w:hint="eastAsia"/>
          <w:color w:val="auto"/>
          <w:lang w:val="en-US" w:eastAsia="zh-CN"/>
        </w:rPr>
        <w:t>148.80</w:t>
      </w:r>
      <w:r>
        <w:rPr>
          <w:rFonts w:hint="eastAsia"/>
          <w:color w:val="auto"/>
        </w:rPr>
        <w:t>万元，全年执行数</w:t>
      </w:r>
      <w:r>
        <w:rPr>
          <w:rFonts w:hint="eastAsia"/>
          <w:color w:val="auto"/>
          <w:lang w:val="en-US" w:eastAsia="zh-CN"/>
        </w:rPr>
        <w:t>140.83</w:t>
      </w:r>
      <w:r>
        <w:rPr>
          <w:rFonts w:hint="eastAsia"/>
          <w:color w:val="auto"/>
        </w:rPr>
        <w:t>万元，预算执行率为</w:t>
      </w:r>
      <w:r>
        <w:rPr>
          <w:rFonts w:hint="eastAsia"/>
          <w:color w:val="auto"/>
          <w:lang w:val="en-US" w:eastAsia="zh-CN"/>
        </w:rPr>
        <w:t>94.64</w:t>
      </w:r>
      <w:r>
        <w:rPr>
          <w:rFonts w:hint="eastAsia"/>
          <w:color w:val="auto"/>
        </w:rPr>
        <w:t>%</w:t>
      </w:r>
      <w:r>
        <w:rPr>
          <w:rFonts w:hint="eastAsia"/>
          <w:color w:val="auto"/>
          <w:lang w:eastAsia="zh-CN"/>
        </w:rPr>
        <w:t>。</w:t>
      </w:r>
    </w:p>
    <w:p>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此项权重分3分，得分2.5分。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1"/>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新修订了《自治州残联项目资金管理制度》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1"/>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5" w:name="_Toc68703840"/>
      <w:r>
        <w:rPr>
          <w:rFonts w:hint="eastAsia"/>
          <w:color w:val="auto"/>
          <w:highlight w:val="none"/>
          <w:shd w:val="clear" w:color="auto" w:fill="auto"/>
          <w:lang w:val="en-US" w:eastAsia="zh-CN"/>
        </w:rPr>
        <w:t>（三）</w:t>
      </w:r>
      <w:r>
        <w:rPr>
          <w:rFonts w:hint="eastAsia" w:ascii="仿宋_GB2312" w:eastAsia="仿宋_GB2312"/>
          <w:b w:val="0"/>
          <w:bCs w:val="0"/>
          <w:color w:val="auto"/>
          <w:highlight w:val="none"/>
          <w:shd w:val="clear" w:color="auto" w:fill="auto"/>
        </w:rPr>
        <w:t>项目</w:t>
      </w:r>
      <w:r>
        <w:rPr>
          <w:rFonts w:hint="eastAsia" w:ascii="仿宋_GB2312" w:eastAsia="仿宋_GB2312"/>
          <w:b w:val="0"/>
          <w:bCs w:val="0"/>
          <w:highlight w:val="none"/>
        </w:rPr>
        <w:t>产出情况。</w:t>
      </w:r>
      <w:bookmarkEnd w:id="15"/>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1.</w:t>
      </w:r>
      <w:r>
        <w:rPr>
          <w:rFonts w:hint="eastAsia"/>
          <w:color w:val="auto"/>
        </w:rPr>
        <w:t>数量指标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指标1：举办宣传活动次数，指标值：&gt;=7次，实际完成值=7次，指标完成率</w:t>
      </w:r>
      <w:r>
        <w:rPr>
          <w:rFonts w:hint="eastAsia"/>
          <w:color w:val="auto"/>
          <w:lang w:val="en-US" w:eastAsia="zh-CN"/>
        </w:rPr>
        <w:t>100</w:t>
      </w:r>
      <w:r>
        <w:rPr>
          <w:rFonts w:hint="eastAsia"/>
          <w:color w:val="auto"/>
        </w:rPr>
        <w:t>%，偏差原因：</w:t>
      </w:r>
      <w:r>
        <w:rPr>
          <w:rFonts w:hint="eastAsia"/>
          <w:color w:val="auto"/>
          <w:lang w:val="en-US" w:eastAsia="zh-CN"/>
        </w:rPr>
        <w:t>无偏差。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指标2：保障办公人员数量，指标值：&gt;=22人，实际完成值=21人，指标完成率</w:t>
      </w:r>
      <w:r>
        <w:rPr>
          <w:rFonts w:hint="eastAsia"/>
          <w:color w:val="auto"/>
          <w:lang w:val="en-US" w:eastAsia="zh-CN"/>
        </w:rPr>
        <w:t>95.45</w:t>
      </w:r>
      <w:r>
        <w:rPr>
          <w:rFonts w:hint="eastAsia"/>
          <w:color w:val="auto"/>
        </w:rPr>
        <w:t>%，偏差原因：</w:t>
      </w:r>
      <w:r>
        <w:rPr>
          <w:rFonts w:hint="eastAsia"/>
          <w:color w:val="auto"/>
          <w:lang w:val="en-US" w:eastAsia="zh-CN"/>
        </w:rPr>
        <w:t>因年中聘用人员辞职减少一人，导致保障办公人员数量减少。今后根据年初人员情况设置合理、科学的绩效指标，便于精准实施。</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w:t>
      </w:r>
      <w:r>
        <w:rPr>
          <w:rFonts w:hint="eastAsia"/>
          <w:color w:val="auto"/>
          <w:lang w:val="en-US" w:eastAsia="zh-CN"/>
        </w:rPr>
        <w:t>3</w:t>
      </w:r>
      <w:r>
        <w:rPr>
          <w:rFonts w:hint="eastAsia"/>
          <w:color w:val="auto"/>
        </w:rPr>
        <w:t>：发放聘用人员工资人数，指标值：&gt;=5人，实际完成值=5人，指标完成率</w:t>
      </w:r>
      <w:r>
        <w:rPr>
          <w:rFonts w:hint="eastAsia"/>
          <w:color w:val="auto"/>
          <w:lang w:val="en-US" w:eastAsia="zh-CN"/>
        </w:rPr>
        <w:t>100</w:t>
      </w:r>
      <w:r>
        <w:rPr>
          <w:rFonts w:hint="eastAsia"/>
          <w:color w:val="auto"/>
        </w:rPr>
        <w:t>%，偏差原因：</w:t>
      </w:r>
      <w:r>
        <w:rPr>
          <w:rFonts w:hint="eastAsia"/>
          <w:color w:val="auto"/>
          <w:lang w:val="en-US" w:eastAsia="zh-CN"/>
        </w:rPr>
        <w:t>无偏差。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w:t>
      </w:r>
      <w:r>
        <w:rPr>
          <w:rFonts w:hint="eastAsia"/>
          <w:color w:val="auto"/>
          <w:lang w:val="en-US" w:eastAsia="zh-CN"/>
        </w:rPr>
        <w:t>4</w:t>
      </w:r>
      <w:r>
        <w:rPr>
          <w:rFonts w:hint="eastAsia"/>
          <w:color w:val="auto"/>
        </w:rPr>
        <w:t>：发放聘用人员工资次数，指标值：&gt;=12次，实际完成值=12次，指标完成率</w:t>
      </w:r>
      <w:r>
        <w:rPr>
          <w:rFonts w:hint="eastAsia"/>
          <w:color w:val="auto"/>
          <w:lang w:val="en-US" w:eastAsia="zh-CN"/>
        </w:rPr>
        <w:t>100</w:t>
      </w:r>
      <w:r>
        <w:rPr>
          <w:rFonts w:hint="eastAsia"/>
          <w:color w:val="auto"/>
        </w:rPr>
        <w:t>%，偏差原因：</w:t>
      </w:r>
      <w:r>
        <w:rPr>
          <w:rFonts w:hint="eastAsia"/>
          <w:color w:val="auto"/>
          <w:lang w:val="en-US" w:eastAsia="zh-CN"/>
        </w:rPr>
        <w:t>无偏差。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w:t>
      </w:r>
      <w:r>
        <w:rPr>
          <w:rFonts w:hint="eastAsia"/>
          <w:color w:val="auto"/>
          <w:lang w:val="en-US" w:eastAsia="zh-CN"/>
        </w:rPr>
        <w:t>5</w:t>
      </w:r>
      <w:r>
        <w:rPr>
          <w:rFonts w:hint="eastAsia"/>
          <w:color w:val="auto"/>
        </w:rPr>
        <w:t>：残疾学生助学金补助次数，指标值：&gt;=1次，实际完成值=1次，指标完成率</w:t>
      </w:r>
      <w:r>
        <w:rPr>
          <w:rFonts w:hint="eastAsia"/>
          <w:color w:val="auto"/>
          <w:lang w:val="en-US" w:eastAsia="zh-CN"/>
        </w:rPr>
        <w:t>100</w:t>
      </w:r>
      <w:r>
        <w:rPr>
          <w:rFonts w:hint="eastAsia"/>
          <w:color w:val="auto"/>
        </w:rPr>
        <w:t>%，偏差原因：</w:t>
      </w:r>
      <w:r>
        <w:rPr>
          <w:rFonts w:hint="eastAsia"/>
          <w:color w:val="auto"/>
          <w:lang w:val="en-US" w:eastAsia="zh-CN"/>
        </w:rPr>
        <w:t>无偏差。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w:t>
      </w:r>
      <w:r>
        <w:rPr>
          <w:rFonts w:hint="eastAsia"/>
          <w:color w:val="auto"/>
          <w:lang w:val="en-US" w:eastAsia="zh-CN"/>
        </w:rPr>
        <w:t>6</w:t>
      </w:r>
      <w:r>
        <w:rPr>
          <w:rFonts w:hint="eastAsia"/>
          <w:color w:val="auto"/>
        </w:rPr>
        <w:t>：补助残疾学生人数，指标值：&gt;=26人，实际完成值=3人，指标完成率</w:t>
      </w:r>
      <w:r>
        <w:rPr>
          <w:rFonts w:hint="eastAsia"/>
          <w:color w:val="auto"/>
          <w:lang w:val="en-US" w:eastAsia="zh-CN"/>
        </w:rPr>
        <w:t>11.54</w:t>
      </w:r>
      <w:r>
        <w:rPr>
          <w:rFonts w:hint="eastAsia"/>
          <w:color w:val="auto"/>
        </w:rPr>
        <w:t>%，偏差原因：</w:t>
      </w:r>
      <w:r>
        <w:rPr>
          <w:rFonts w:hint="eastAsia"/>
          <w:color w:val="auto"/>
          <w:lang w:val="en-US" w:eastAsia="zh-CN"/>
        </w:rPr>
        <w:t>根据当年实际毕业数显示为3人。今后根据工作计划设置合理、科学的绩效指标，便于精准实施。</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w:t>
      </w:r>
      <w:r>
        <w:rPr>
          <w:rFonts w:hint="eastAsia"/>
          <w:color w:val="auto"/>
          <w:lang w:val="en-US" w:eastAsia="zh-CN"/>
        </w:rPr>
        <w:t>7</w:t>
      </w:r>
      <w:r>
        <w:rPr>
          <w:rFonts w:hint="eastAsia"/>
          <w:color w:val="auto"/>
        </w:rPr>
        <w:t>：业务技能培训次数，指标值：&gt;=3次，实际完成值=3次，指标完成率</w:t>
      </w:r>
      <w:r>
        <w:rPr>
          <w:rFonts w:hint="eastAsia"/>
          <w:color w:val="auto"/>
          <w:lang w:val="en-US" w:eastAsia="zh-CN"/>
        </w:rPr>
        <w:t>100</w:t>
      </w:r>
      <w:r>
        <w:rPr>
          <w:rFonts w:hint="eastAsia"/>
          <w:color w:val="auto"/>
        </w:rPr>
        <w:t>%，偏差原因：</w:t>
      </w:r>
      <w:r>
        <w:rPr>
          <w:rFonts w:hint="eastAsia"/>
          <w:color w:val="auto"/>
          <w:lang w:val="en-US" w:eastAsia="zh-CN"/>
        </w:rPr>
        <w:t>无偏差。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w:t>
      </w:r>
      <w:r>
        <w:rPr>
          <w:rFonts w:hint="eastAsia"/>
          <w:color w:val="auto"/>
          <w:lang w:val="en-US" w:eastAsia="zh-CN"/>
        </w:rPr>
        <w:t>8</w:t>
      </w:r>
      <w:r>
        <w:rPr>
          <w:rFonts w:hint="eastAsia"/>
          <w:color w:val="auto"/>
        </w:rPr>
        <w:t>：业务技能培训人数，指标值：&gt;=10人，实际完成值=31人，指标完成率</w:t>
      </w:r>
      <w:r>
        <w:rPr>
          <w:rFonts w:hint="eastAsia"/>
          <w:color w:val="auto"/>
          <w:lang w:val="en-US" w:eastAsia="zh-CN"/>
        </w:rPr>
        <w:t>310</w:t>
      </w:r>
      <w:r>
        <w:rPr>
          <w:rFonts w:hint="eastAsia"/>
          <w:color w:val="auto"/>
        </w:rPr>
        <w:t>%，偏差原因：</w:t>
      </w:r>
      <w:r>
        <w:rPr>
          <w:rFonts w:hint="eastAsia"/>
          <w:color w:val="auto"/>
          <w:lang w:val="en-US" w:eastAsia="zh-CN"/>
        </w:rPr>
        <w:t>根据实际完成资料显示，业务技能培训人数为31人。今后根据工作计划设置合理、科学的绩效指标，便于精准实施。</w:t>
      </w:r>
    </w:p>
    <w:p>
      <w:pPr>
        <w:pStyle w:val="11"/>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color w:val="auto"/>
        </w:rPr>
      </w:pPr>
      <w:r>
        <w:rPr>
          <w:rFonts w:hint="eastAsia"/>
          <w:color w:val="auto"/>
          <w:lang w:val="en-US" w:eastAsia="zh-CN"/>
        </w:rPr>
        <w:t>2.</w:t>
      </w:r>
      <w:r>
        <w:rPr>
          <w:rFonts w:hint="eastAsia"/>
          <w:color w:val="auto"/>
        </w:rPr>
        <w:t>质量指标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rPr>
      </w:pPr>
      <w:r>
        <w:rPr>
          <w:rFonts w:hint="eastAsia"/>
          <w:color w:val="auto"/>
          <w:highlight w:val="none"/>
        </w:rPr>
        <w:t>指标1：残疾学生助学金保障率，指标值：&gt;=95%，实际完成值=100%，指标完成率105.26%，偏差原因：根据实际支付情况，残疾学生助学金保障率为100%。</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lang w:eastAsia="zh-CN"/>
        </w:rPr>
      </w:pPr>
      <w:r>
        <w:rPr>
          <w:rFonts w:hint="eastAsia"/>
          <w:color w:val="auto"/>
          <w:highlight w:val="none"/>
        </w:rPr>
        <w:t>指标2：业务技能培训出勤率，指标值：&gt;=90%，实际完成值=100%，指标完成率</w:t>
      </w:r>
      <w:r>
        <w:rPr>
          <w:rFonts w:hint="eastAsia"/>
          <w:color w:val="auto"/>
          <w:highlight w:val="none"/>
          <w:lang w:val="en-US" w:eastAsia="zh-CN"/>
        </w:rPr>
        <w:t>111.11</w:t>
      </w:r>
      <w:r>
        <w:rPr>
          <w:rFonts w:hint="eastAsia"/>
          <w:color w:val="auto"/>
          <w:highlight w:val="none"/>
        </w:rPr>
        <w:t>%，偏差原因：</w:t>
      </w:r>
      <w:r>
        <w:rPr>
          <w:rFonts w:hint="eastAsia"/>
          <w:color w:val="auto"/>
          <w:highlight w:val="none"/>
          <w:lang w:val="en-US" w:eastAsia="zh-CN"/>
        </w:rPr>
        <w:t>根据签到表显示业务技能培训出勤率为100%。</w:t>
      </w:r>
      <w:r>
        <w:rPr>
          <w:rFonts w:hint="eastAsia"/>
          <w:color w:val="auto"/>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lang w:val="en-US" w:eastAsia="zh-CN"/>
        </w:rPr>
      </w:pPr>
      <w:r>
        <w:rPr>
          <w:rFonts w:hint="eastAsia"/>
          <w:color w:val="auto"/>
          <w:highlight w:val="none"/>
        </w:rPr>
        <w:t>指标</w:t>
      </w:r>
      <w:r>
        <w:rPr>
          <w:rFonts w:hint="eastAsia"/>
          <w:color w:val="auto"/>
          <w:highlight w:val="none"/>
          <w:lang w:val="en-US" w:eastAsia="zh-CN"/>
        </w:rPr>
        <w:t>3</w:t>
      </w:r>
      <w:r>
        <w:rPr>
          <w:rFonts w:hint="eastAsia"/>
          <w:color w:val="auto"/>
          <w:highlight w:val="none"/>
        </w:rPr>
        <w:t>：发放人员工资准确率，指标值：&gt;=90%，实际完成值=100%，指标完成率</w:t>
      </w:r>
      <w:r>
        <w:rPr>
          <w:rFonts w:hint="eastAsia"/>
          <w:color w:val="auto"/>
          <w:highlight w:val="none"/>
          <w:lang w:val="en-US" w:eastAsia="zh-CN"/>
        </w:rPr>
        <w:t>111.11%</w:t>
      </w:r>
      <w:r>
        <w:rPr>
          <w:rFonts w:hint="eastAsia"/>
          <w:color w:val="auto"/>
          <w:highlight w:val="none"/>
        </w:rPr>
        <w:t>，偏差原因：</w:t>
      </w:r>
      <w:r>
        <w:rPr>
          <w:rFonts w:hint="eastAsia"/>
          <w:color w:val="auto"/>
          <w:highlight w:val="none"/>
          <w:lang w:val="en-US" w:eastAsia="zh-CN"/>
        </w:rPr>
        <w:t>根据实际支付情况，发放人员工资准确率为100%。</w:t>
      </w:r>
    </w:p>
    <w:p>
      <w:pPr>
        <w:pStyle w:val="11"/>
        <w:ind w:firstLine="600" w:firstLineChars="200"/>
        <w:jc w:val="left"/>
        <w:rPr>
          <w:highlight w:val="none"/>
        </w:rPr>
      </w:pPr>
      <w:r>
        <w:rPr>
          <w:rFonts w:hint="eastAsia" w:ascii="Times New Roman" w:hAnsi="Times New Roman" w:eastAsia="仿宋_GB2312" w:cs="Times New Roman"/>
          <w:b w:val="0"/>
          <w:bCs w:val="0"/>
          <w:kern w:val="2"/>
          <w:sz w:val="30"/>
          <w:szCs w:val="24"/>
          <w:highlight w:val="none"/>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3.</w:t>
      </w:r>
      <w:r>
        <w:rPr>
          <w:rFonts w:hint="eastAsia"/>
          <w:color w:val="auto"/>
        </w:rPr>
        <w:t>时效指标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指标1：公用经费支付及时率，指标值：&gt;=90%，实际完成值=100%，指标完成率</w:t>
      </w:r>
      <w:r>
        <w:rPr>
          <w:rFonts w:hint="eastAsia"/>
          <w:color w:val="auto"/>
          <w:lang w:val="en-US" w:eastAsia="zh-CN"/>
        </w:rPr>
        <w:t>111.11%</w:t>
      </w:r>
      <w:r>
        <w:rPr>
          <w:rFonts w:hint="eastAsia"/>
          <w:color w:val="auto"/>
        </w:rPr>
        <w:t>，偏差原因：</w:t>
      </w:r>
      <w:r>
        <w:rPr>
          <w:rFonts w:hint="eastAsia"/>
          <w:color w:val="auto"/>
          <w:lang w:val="en-US" w:eastAsia="zh-CN"/>
        </w:rPr>
        <w:t>根据实际支付情况，公用经费支付及时率为100%。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指标2：残疾学生助学金补助及时率，指标值：=100%，实际完成值=100%，指标完成率</w:t>
      </w:r>
      <w:r>
        <w:rPr>
          <w:rFonts w:hint="eastAsia"/>
          <w:color w:val="auto"/>
          <w:lang w:val="en-US" w:eastAsia="zh-CN"/>
        </w:rPr>
        <w:t>100</w:t>
      </w:r>
      <w:r>
        <w:rPr>
          <w:rFonts w:hint="eastAsia"/>
          <w:color w:val="auto"/>
        </w:rPr>
        <w:t>%，偏差原因：</w:t>
      </w:r>
      <w:r>
        <w:rPr>
          <w:rFonts w:hint="eastAsia"/>
          <w:color w:val="auto"/>
          <w:lang w:val="en-US" w:eastAsia="zh-CN"/>
        </w:rPr>
        <w:t>无偏差。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w:t>
      </w:r>
      <w:r>
        <w:rPr>
          <w:rFonts w:hint="eastAsia"/>
          <w:color w:val="auto"/>
          <w:lang w:val="en-US" w:eastAsia="zh-CN"/>
        </w:rPr>
        <w:t>3</w:t>
      </w:r>
      <w:r>
        <w:rPr>
          <w:rFonts w:hint="eastAsia"/>
          <w:color w:val="auto"/>
        </w:rPr>
        <w:t>：业务技能培训按期完成率，指标值：&gt;=90%，实际完成值=100%，指标完成率</w:t>
      </w:r>
      <w:r>
        <w:rPr>
          <w:rFonts w:hint="eastAsia"/>
          <w:color w:val="auto"/>
          <w:lang w:val="en-US" w:eastAsia="zh-CN"/>
        </w:rPr>
        <w:t>111.11%</w:t>
      </w:r>
      <w:r>
        <w:rPr>
          <w:rFonts w:hint="eastAsia"/>
          <w:color w:val="auto"/>
        </w:rPr>
        <w:t>，偏差原因：</w:t>
      </w:r>
      <w:r>
        <w:rPr>
          <w:rFonts w:hint="eastAsia"/>
          <w:color w:val="auto"/>
          <w:lang w:val="en-US" w:eastAsia="zh-CN"/>
        </w:rPr>
        <w:t>根据签到表显示业务技能培训出勤率为100%。。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w:t>
      </w:r>
      <w:r>
        <w:rPr>
          <w:rFonts w:hint="eastAsia"/>
          <w:color w:val="auto"/>
          <w:lang w:val="en-US" w:eastAsia="zh-CN"/>
        </w:rPr>
        <w:t>4</w:t>
      </w:r>
      <w:r>
        <w:rPr>
          <w:rFonts w:hint="eastAsia"/>
          <w:color w:val="auto"/>
        </w:rPr>
        <w:t>：宣传活动按时完成率，指标值：&gt;=90%，实际完成值=100%，指标完成率</w:t>
      </w:r>
      <w:r>
        <w:rPr>
          <w:rFonts w:hint="eastAsia"/>
          <w:color w:val="auto"/>
          <w:lang w:val="en-US" w:eastAsia="zh-CN"/>
        </w:rPr>
        <w:t>111.11</w:t>
      </w:r>
      <w:r>
        <w:rPr>
          <w:rFonts w:hint="eastAsia"/>
          <w:color w:val="auto"/>
        </w:rPr>
        <w:t>%，偏差原因：</w:t>
      </w:r>
      <w:r>
        <w:rPr>
          <w:rFonts w:hint="eastAsia"/>
          <w:color w:val="auto"/>
          <w:lang w:val="en-US" w:eastAsia="zh-CN"/>
        </w:rPr>
        <w:t>根据实际支付情况，宣传活动按时完成率为100%。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w:t>
      </w:r>
      <w:r>
        <w:rPr>
          <w:rFonts w:hint="eastAsia"/>
          <w:color w:val="auto"/>
          <w:lang w:val="en-US" w:eastAsia="zh-CN"/>
        </w:rPr>
        <w:t>5</w:t>
      </w:r>
      <w:r>
        <w:rPr>
          <w:rFonts w:hint="eastAsia"/>
          <w:color w:val="auto"/>
        </w:rPr>
        <w:t>：聘用人员工资发放及时率，指标值：&gt;=95%，实际完成值=100%，指标完成率</w:t>
      </w:r>
      <w:r>
        <w:rPr>
          <w:rFonts w:hint="eastAsia"/>
          <w:color w:val="auto"/>
          <w:lang w:val="en-US" w:eastAsia="zh-CN"/>
        </w:rPr>
        <w:t>105.26%</w:t>
      </w:r>
      <w:r>
        <w:rPr>
          <w:rFonts w:hint="eastAsia"/>
          <w:color w:val="auto"/>
        </w:rPr>
        <w:t>，偏差原因：</w:t>
      </w:r>
      <w:r>
        <w:rPr>
          <w:rFonts w:hint="eastAsia"/>
          <w:color w:val="auto"/>
          <w:lang w:val="en-US" w:eastAsia="zh-CN"/>
        </w:rPr>
        <w:t>根据实际支付情况，聘用人员工资发放及时率为100%。</w:t>
      </w:r>
    </w:p>
    <w:p>
      <w:pPr>
        <w:pStyle w:val="11"/>
        <w:ind w:firstLine="600" w:firstLineChars="200"/>
        <w:jc w:val="left"/>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ascii="Times New Roman" w:hAnsi="Times New Roman" w:eastAsia="仿宋_GB2312" w:cs="Times New Roman"/>
          <w:b w:val="0"/>
          <w:bCs w:val="0"/>
          <w:color w:val="auto"/>
          <w:kern w:val="2"/>
          <w:sz w:val="30"/>
          <w:szCs w:val="24"/>
          <w:highlight w:val="none"/>
          <w:lang w:val="en-US" w:eastAsia="zh-CN" w:bidi="ar-SA"/>
        </w:rPr>
        <w:t>10</w:t>
      </w:r>
      <w:r>
        <w:rPr>
          <w:rFonts w:hint="eastAsia" w:ascii="Times New Roman" w:hAnsi="Times New Roman" w:eastAsia="仿宋_GB2312" w:cs="Times New Roman"/>
          <w:b w:val="0"/>
          <w:bCs w:val="0"/>
          <w:kern w:val="2"/>
          <w:sz w:val="30"/>
          <w:szCs w:val="24"/>
          <w:lang w:val="en-US" w:eastAsia="zh-CN" w:bidi="ar-SA"/>
        </w:rPr>
        <w:t>分，得分10分。</w:t>
      </w:r>
    </w:p>
    <w:p>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val="en-US" w:eastAsia="zh-CN"/>
        </w:rPr>
        <w:t>经济成本指标完成情况</w:t>
      </w:r>
      <w:r>
        <w:rPr>
          <w:rFonts w:hint="eastAsia"/>
          <w:color w:val="auto"/>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指标1：培训成本，指标值</w:t>
      </w:r>
      <w:r>
        <w:rPr>
          <w:rFonts w:hint="eastAsia"/>
          <w:color w:val="auto"/>
          <w:highlight w:val="none"/>
          <w:lang w:eastAsia="zh-CN"/>
        </w:rPr>
        <w:t>：</w:t>
      </w:r>
      <w:r>
        <w:rPr>
          <w:rFonts w:hint="eastAsia"/>
          <w:color w:val="auto"/>
          <w:highlight w:val="none"/>
        </w:rPr>
        <w:t>&lt;=32万元，实际完成值=32万元，指标完成率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指标2：残疾学生助学金补助标准，指标值</w:t>
      </w:r>
      <w:r>
        <w:rPr>
          <w:rFonts w:hint="eastAsia"/>
          <w:color w:val="auto"/>
          <w:highlight w:val="none"/>
          <w:lang w:eastAsia="zh-CN"/>
        </w:rPr>
        <w:t>=0.2万元/人/年</w:t>
      </w:r>
      <w:r>
        <w:rPr>
          <w:rFonts w:hint="eastAsia"/>
          <w:color w:val="auto"/>
          <w:highlight w:val="none"/>
        </w:rPr>
        <w:t>，实际完成值=0.2万元/人/年，指标完成率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指标</w:t>
      </w:r>
      <w:r>
        <w:rPr>
          <w:rFonts w:hint="eastAsia"/>
          <w:color w:val="auto"/>
          <w:highlight w:val="none"/>
          <w:lang w:val="en-US" w:eastAsia="zh-CN"/>
        </w:rPr>
        <w:t>3</w:t>
      </w:r>
      <w:r>
        <w:rPr>
          <w:rFonts w:hint="eastAsia"/>
          <w:color w:val="auto"/>
          <w:highlight w:val="none"/>
        </w:rPr>
        <w:t>：举办宣传活动成本，指标值</w:t>
      </w:r>
      <w:r>
        <w:rPr>
          <w:rFonts w:hint="eastAsia"/>
          <w:color w:val="auto"/>
          <w:highlight w:val="none"/>
          <w:lang w:eastAsia="zh-CN"/>
        </w:rPr>
        <w:t>：</w:t>
      </w:r>
      <w:r>
        <w:rPr>
          <w:rFonts w:hint="eastAsia"/>
          <w:color w:val="auto"/>
          <w:highlight w:val="none"/>
        </w:rPr>
        <w:t>&lt;=11万元，实际完成值=</w:t>
      </w:r>
      <w:r>
        <w:rPr>
          <w:rFonts w:hint="eastAsia"/>
          <w:color w:val="auto"/>
          <w:highlight w:val="none"/>
          <w:lang w:val="en-US" w:eastAsia="zh-CN"/>
        </w:rPr>
        <w:t>11</w:t>
      </w:r>
      <w:r>
        <w:rPr>
          <w:rFonts w:hint="eastAsia"/>
          <w:color w:val="auto"/>
          <w:highlight w:val="none"/>
        </w:rPr>
        <w:t>万元，指标完成率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rPr>
        <w:t>指标</w:t>
      </w:r>
      <w:r>
        <w:rPr>
          <w:rFonts w:hint="eastAsia"/>
          <w:color w:val="auto"/>
          <w:highlight w:val="none"/>
          <w:lang w:val="en-US" w:eastAsia="zh-CN"/>
        </w:rPr>
        <w:t>4</w:t>
      </w:r>
      <w:r>
        <w:rPr>
          <w:rFonts w:hint="eastAsia"/>
          <w:color w:val="auto"/>
          <w:highlight w:val="none"/>
        </w:rPr>
        <w:t>：每次发放聘用人员工资资金数，指标值：&lt;=2.92万元，实际完成值=2.62万元，指标完成率</w:t>
      </w:r>
      <w:r>
        <w:rPr>
          <w:rFonts w:hint="eastAsia"/>
          <w:color w:val="auto"/>
          <w:highlight w:val="none"/>
          <w:lang w:val="en-US" w:eastAsia="zh-CN"/>
        </w:rPr>
        <w:t>89.73%</w:t>
      </w:r>
      <w:r>
        <w:rPr>
          <w:rFonts w:hint="eastAsia"/>
          <w:color w:val="auto"/>
          <w:highlight w:val="none"/>
        </w:rPr>
        <w:t>，偏差原因：</w:t>
      </w:r>
      <w:r>
        <w:rPr>
          <w:rFonts w:hint="eastAsia"/>
          <w:color w:val="auto"/>
          <w:highlight w:val="none"/>
          <w:lang w:val="en-US" w:eastAsia="zh-CN"/>
        </w:rPr>
        <w:t>因年中聘用人员人数有变化，导致每月发放工资数有差异。今后根据年初人员情况设置合理、科学的绩效指标，便于精准实施。</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rPr>
        <w:t>指标</w:t>
      </w:r>
      <w:r>
        <w:rPr>
          <w:rFonts w:hint="eastAsia"/>
          <w:color w:val="auto"/>
          <w:highlight w:val="none"/>
          <w:lang w:val="en-US" w:eastAsia="zh-CN"/>
        </w:rPr>
        <w:t>5</w:t>
      </w:r>
      <w:r>
        <w:rPr>
          <w:rFonts w:hint="eastAsia"/>
          <w:color w:val="auto"/>
          <w:highlight w:val="none"/>
        </w:rPr>
        <w:t>：人均运转数，指标值：&lt;=2.98万元，实际完成值=3.04万元，指标完成率</w:t>
      </w:r>
      <w:r>
        <w:rPr>
          <w:rFonts w:hint="eastAsia"/>
          <w:color w:val="auto"/>
          <w:highlight w:val="none"/>
          <w:lang w:val="en-US" w:eastAsia="zh-CN"/>
        </w:rPr>
        <w:t>0%</w:t>
      </w:r>
      <w:r>
        <w:rPr>
          <w:rFonts w:hint="eastAsia"/>
          <w:color w:val="auto"/>
          <w:highlight w:val="none"/>
        </w:rPr>
        <w:t>，偏差原因：</w:t>
      </w:r>
      <w:r>
        <w:rPr>
          <w:rFonts w:hint="eastAsia"/>
          <w:color w:val="auto"/>
          <w:highlight w:val="none"/>
          <w:lang w:val="en-US" w:eastAsia="zh-CN"/>
        </w:rPr>
        <w:t>因年中聘用人员人数有变化，导致每月发放工资数有差异。</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highlight w:val="none"/>
          <w:lang w:eastAsia="zh-CN"/>
        </w:rPr>
      </w:pPr>
      <w:r>
        <w:rPr>
          <w:rFonts w:hint="eastAsia"/>
          <w:color w:val="auto"/>
          <w:highlight w:val="none"/>
          <w:lang w:val="en-US" w:eastAsia="zh-CN"/>
        </w:rPr>
        <w:t>此项权重分10分，得分9.5分。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6"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6"/>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lang w:val="en-US" w:eastAsia="zh-CN"/>
        </w:rPr>
        <w:t>1.</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rPr>
        <w:t>指标1：宣传残疾人政策知晓率，指标值：&gt;=90%，实际完成值=100%，指标完成率</w:t>
      </w:r>
      <w:r>
        <w:rPr>
          <w:rFonts w:hint="eastAsia"/>
          <w:color w:val="auto"/>
          <w:highlight w:val="none"/>
          <w:lang w:val="en-US" w:eastAsia="zh-CN"/>
        </w:rPr>
        <w:t>111.11%</w:t>
      </w:r>
      <w:r>
        <w:rPr>
          <w:rFonts w:hint="eastAsia"/>
          <w:color w:val="auto"/>
          <w:highlight w:val="none"/>
        </w:rPr>
        <w:t>，偏差原因：</w:t>
      </w:r>
      <w:r>
        <w:rPr>
          <w:rFonts w:hint="eastAsia"/>
          <w:color w:val="auto"/>
          <w:highlight w:val="none"/>
          <w:lang w:val="en-US" w:eastAsia="zh-CN"/>
        </w:rPr>
        <w:t>根据实际业务开展情况总结，宣传残疾人政策知晓率达到100%。</w:t>
      </w:r>
    </w:p>
    <w:p>
      <w:pPr>
        <w:pStyle w:val="11"/>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3"/>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rPr>
        <w:t>指标1：培训人员满意度，指标值：&gt;=90%，实际完成值=100%，指标完成率</w:t>
      </w:r>
      <w:r>
        <w:rPr>
          <w:rFonts w:hint="eastAsia"/>
          <w:color w:val="auto"/>
          <w:highlight w:val="none"/>
          <w:lang w:val="en-US" w:eastAsia="zh-CN"/>
        </w:rPr>
        <w:t>111.11%</w:t>
      </w:r>
      <w:r>
        <w:rPr>
          <w:rFonts w:hint="eastAsia"/>
          <w:color w:val="auto"/>
          <w:highlight w:val="none"/>
        </w:rPr>
        <w:t>，偏差原因：</w:t>
      </w:r>
      <w:r>
        <w:rPr>
          <w:rFonts w:hint="eastAsia"/>
          <w:color w:val="auto"/>
          <w:highlight w:val="none"/>
          <w:lang w:val="en-US" w:eastAsia="zh-CN"/>
        </w:rPr>
        <w:t>根据满意度调查问卷显示，培训人员满意度达到100%。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rPr>
        <w:t>指标2：参加宣传活动人员满意度，指标值：&gt;=9</w:t>
      </w:r>
      <w:r>
        <w:rPr>
          <w:rFonts w:hint="eastAsia"/>
          <w:color w:val="auto"/>
          <w:highlight w:val="none"/>
          <w:lang w:val="en-US" w:eastAsia="zh-CN"/>
        </w:rPr>
        <w:t>5</w:t>
      </w:r>
      <w:r>
        <w:rPr>
          <w:rFonts w:hint="eastAsia"/>
          <w:color w:val="auto"/>
          <w:highlight w:val="none"/>
        </w:rPr>
        <w:t>%，实际完成值=100%，指标完成率</w:t>
      </w:r>
      <w:r>
        <w:rPr>
          <w:rFonts w:hint="eastAsia"/>
          <w:color w:val="auto"/>
          <w:highlight w:val="none"/>
          <w:lang w:val="en-US" w:eastAsia="zh-CN"/>
        </w:rPr>
        <w:t>105.26%</w:t>
      </w:r>
      <w:r>
        <w:rPr>
          <w:rFonts w:hint="eastAsia"/>
          <w:color w:val="auto"/>
          <w:highlight w:val="none"/>
        </w:rPr>
        <w:t>%，偏差原因：</w:t>
      </w:r>
      <w:r>
        <w:rPr>
          <w:rFonts w:hint="eastAsia"/>
          <w:color w:val="auto"/>
          <w:highlight w:val="none"/>
          <w:lang w:val="en-US" w:eastAsia="zh-CN"/>
        </w:rPr>
        <w:t>根据满意度调查问卷显示，参加宣传活动人员满意度达到100%。</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rPr>
        <w:t>指标</w:t>
      </w:r>
      <w:r>
        <w:rPr>
          <w:rFonts w:hint="eastAsia"/>
          <w:color w:val="auto"/>
          <w:highlight w:val="none"/>
          <w:lang w:val="en-US" w:eastAsia="zh-CN"/>
        </w:rPr>
        <w:t>3</w:t>
      </w:r>
      <w:r>
        <w:rPr>
          <w:rFonts w:hint="eastAsia"/>
          <w:color w:val="auto"/>
          <w:highlight w:val="none"/>
        </w:rPr>
        <w:t>：聘用人员满意度，指标值：&gt;=9</w:t>
      </w:r>
      <w:r>
        <w:rPr>
          <w:rFonts w:hint="eastAsia"/>
          <w:color w:val="auto"/>
          <w:highlight w:val="none"/>
          <w:lang w:val="en-US" w:eastAsia="zh-CN"/>
        </w:rPr>
        <w:t>5</w:t>
      </w:r>
      <w:r>
        <w:rPr>
          <w:rFonts w:hint="eastAsia"/>
          <w:color w:val="auto"/>
          <w:highlight w:val="none"/>
        </w:rPr>
        <w:t>%，实际完成值=100%，指标完成率</w:t>
      </w:r>
      <w:r>
        <w:rPr>
          <w:rFonts w:hint="eastAsia"/>
          <w:color w:val="auto"/>
          <w:highlight w:val="none"/>
          <w:lang w:val="en-US" w:eastAsia="zh-CN"/>
        </w:rPr>
        <w:t>105.26%</w:t>
      </w:r>
      <w:r>
        <w:rPr>
          <w:rFonts w:hint="eastAsia"/>
          <w:color w:val="auto"/>
          <w:highlight w:val="none"/>
        </w:rPr>
        <w:t>，偏差原因：</w:t>
      </w:r>
      <w:r>
        <w:rPr>
          <w:rFonts w:hint="eastAsia"/>
          <w:color w:val="auto"/>
          <w:highlight w:val="none"/>
          <w:lang w:val="en-US" w:eastAsia="zh-CN"/>
        </w:rPr>
        <w:t xml:space="preserve">根据满意度调查问卷显示，聘用人员满意度达到100%。 </w:t>
      </w:r>
    </w:p>
    <w:p>
      <w:pPr>
        <w:pStyle w:val="11"/>
        <w:ind w:firstLine="600" w:firstLineChars="200"/>
        <w:jc w:val="left"/>
      </w:pPr>
      <w:bookmarkStart w:id="17" w:name="_Toc68703842"/>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预算执行进度与绩效指标总体完成率偏差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2023残疾人专项费项目年初预算148.80万元，全年预算148.80万元，实际支出140.83万元，预算执行率为94.64%，项目绩效指标总体完成率为104.22%，</w:t>
      </w:r>
      <w:r>
        <w:rPr>
          <w:rFonts w:hint="eastAsia" w:ascii="Times New Roman" w:hAnsi="Times New Roman" w:eastAsia="仿宋_GB2312" w:cs="Times New Roman"/>
          <w:b w:val="0"/>
          <w:bCs w:val="0"/>
          <w:color w:val="auto"/>
          <w:kern w:val="2"/>
          <w:sz w:val="30"/>
          <w:szCs w:val="24"/>
          <w:highlight w:val="none"/>
          <w:lang w:val="en-US" w:eastAsia="zh-Hans" w:bidi="ar-SA"/>
        </w:rPr>
        <w:t>总体</w:t>
      </w:r>
      <w:r>
        <w:rPr>
          <w:rFonts w:hint="eastAsia" w:ascii="Times New Roman" w:hAnsi="Times New Roman" w:eastAsia="仿宋_GB2312" w:cs="Times New Roman"/>
          <w:b w:val="0"/>
          <w:bCs w:val="0"/>
          <w:color w:val="auto"/>
          <w:kern w:val="2"/>
          <w:sz w:val="30"/>
          <w:szCs w:val="24"/>
          <w:highlight w:val="none"/>
          <w:lang w:val="en-US" w:eastAsia="zh-CN" w:bidi="ar-SA"/>
        </w:rPr>
        <w:t>偏差率为9.58%,</w:t>
      </w:r>
      <w:r>
        <w:rPr>
          <w:rFonts w:hint="eastAsia" w:ascii="Times New Roman" w:hAnsi="Times New Roman" w:eastAsia="仿宋_GB2312" w:cs="Times New Roman"/>
          <w:b w:val="0"/>
          <w:bCs w:val="0"/>
          <w:color w:val="auto"/>
          <w:kern w:val="2"/>
          <w:sz w:val="30"/>
          <w:szCs w:val="24"/>
          <w:highlight w:val="none"/>
          <w:lang w:val="en-US" w:eastAsia="zh-Hans" w:bidi="ar-SA"/>
        </w:rPr>
        <w:t>偏差</w:t>
      </w:r>
      <w:r>
        <w:rPr>
          <w:rFonts w:hint="eastAsia" w:ascii="Times New Roman" w:hAnsi="Times New Roman" w:eastAsia="仿宋_GB2312" w:cs="Times New Roman"/>
          <w:b w:val="0"/>
          <w:bCs w:val="0"/>
          <w:color w:val="auto"/>
          <w:kern w:val="2"/>
          <w:sz w:val="30"/>
          <w:szCs w:val="24"/>
          <w:highlight w:val="none"/>
          <w:lang w:val="en-US" w:eastAsia="zh-CN" w:bidi="ar-SA"/>
        </w:rPr>
        <w:t>原因：通过实际摸底调查，有意愿参加培训的残疾人比年初计划数多，受疫情影响培训工作无法按期完成，人员变动导致聘用人员工资与年初预算略有差异，公用经费通过实际支付情况，支付结果超出设定数值。</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改进措施：预算编制和预算执行关系密切，要采取有效措施，进一步做细、做实施、做准预算，为预算执行打好基础。</w:t>
      </w:r>
    </w:p>
    <w:p>
      <w:pPr>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sz w:val="32"/>
          <w:szCs w:val="32"/>
        </w:rPr>
      </w:pPr>
      <w:r>
        <w:rPr>
          <w:rFonts w:hint="eastAsia" w:ascii="宋体" w:hAnsi="宋体" w:eastAsia="宋体"/>
          <w:sz w:val="32"/>
          <w:szCs w:val="32"/>
        </w:rPr>
        <w:t>主要经验及做法、存在的问题及原因分析</w:t>
      </w:r>
      <w:bookmarkEnd w:id="17"/>
      <w:bookmarkStart w:id="18" w:name="_Toc68703843"/>
    </w:p>
    <w:p>
      <w:pPr>
        <w:pageBreakBefore w:val="0"/>
        <w:numPr>
          <w:ilvl w:val="0"/>
          <w:numId w:val="5"/>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rPr>
      </w:pPr>
      <w:r>
        <w:rPr>
          <w:rFonts w:hint="eastAsia" w:ascii="仿宋_GB2312" w:eastAsia="仿宋_GB2312"/>
          <w:b w:val="0"/>
          <w:bCs w:val="0"/>
        </w:rPr>
        <w:t>主要经验及做法</w:t>
      </w:r>
      <w:bookmarkEnd w:id="18"/>
      <w:bookmarkStart w:id="19" w:name="_Toc68703844"/>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严格坚持先做事、后验收、再拨付的原则，基本杜绝了资金被挤占和挪用现象的发生，跟踪检查到位。办公室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一是巴州残联干部职工的大局意识、组织纪律观念和法治观念，干部综合素质能力得到提高。二是为残疾人服务的工作能力进一步提升。三是紧紧围绕总目标，扎实推进脱贫攻坚工作群众生产生活条件进一步改善，四是坚持贯彻新发展理念，推动全州残疾人工作高质量发展。</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bookmarkStart w:id="20" w:name="_Toc68703845"/>
      <w:r>
        <w:rPr>
          <w:rFonts w:hint="eastAsia" w:ascii="Times New Roman" w:hAnsi="Times New Roman" w:eastAsia="仿宋_GB2312" w:cs="Times New Roman"/>
          <w:b w:val="0"/>
          <w:bCs w:val="0"/>
          <w:color w:val="auto"/>
          <w:kern w:val="2"/>
          <w:sz w:val="30"/>
          <w:szCs w:val="24"/>
          <w:highlight w:val="none"/>
          <w:lang w:val="en-US" w:eastAsia="zh-CN" w:bidi="ar-SA"/>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2.因轮岗、调动、等因素使我单位绩效工作人员流动频繁，造成了工作衔接不到位的情况。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3.没有深入细致科学规划地做好各项前期工作，项目实施前期已根据项目建设内容设置绩效目标，但项目绩效目标级绩效指标设置过于笼统，不够细化，在实际实施绩效监控和绩效评价时较为困难。</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20"/>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bookmarkStart w:id="21" w:name="_Toc68703846"/>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1"/>
    </w:p>
    <w:p>
      <w:pPr>
        <w:pStyle w:val="1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cs="Times New Roman"/>
          <w:b/>
          <w:bCs/>
          <w:sz w:val="28"/>
          <w:szCs w:val="40"/>
          <w:highlight w:val="none"/>
          <w:lang w:val="en-US" w:eastAsia="zh-CN"/>
        </w:rPr>
      </w:pPr>
    </w:p>
    <w:p>
      <w:pPr>
        <w:pStyle w:val="21"/>
        <w:ind w:firstLine="562"/>
        <w:jc w:val="center"/>
        <w:rPr>
          <w:rFonts w:hint="eastAsia" w:cs="Times New Roman"/>
          <w:b/>
          <w:bCs/>
          <w:sz w:val="28"/>
          <w:szCs w:val="40"/>
          <w:highlight w:val="none"/>
          <w:lang w:val="en-US" w:eastAsia="zh-CN"/>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ascii="Times New Roman" w:hAnsi="Times New Roman" w:cs="Times New Roman"/>
          <w:b/>
          <w:bCs/>
          <w:sz w:val="28"/>
          <w:szCs w:val="40"/>
          <w:highlight w:val="none"/>
        </w:rPr>
      </w:pPr>
    </w:p>
    <w:p>
      <w:pPr>
        <w:pStyle w:val="21"/>
        <w:ind w:firstLine="562"/>
        <w:jc w:val="center"/>
        <w:rPr>
          <w:rFonts w:hint="eastAsia" w:eastAsia="宋体"/>
          <w:highlight w:val="none"/>
          <w:lang w:eastAsia="zh-CN"/>
        </w:rPr>
      </w:pPr>
      <w:r>
        <w:rPr>
          <w:rFonts w:hint="eastAsia" w:ascii="Times New Roman" w:hAnsi="Times New Roman" w:cs="Times New Roman"/>
          <w:b/>
          <w:bCs/>
          <w:sz w:val="28"/>
          <w:szCs w:val="40"/>
          <w:highlight w:val="none"/>
        </w:rPr>
        <w:t>2023年</w:t>
      </w:r>
      <w:r>
        <w:rPr>
          <w:rFonts w:hint="eastAsia" w:cs="Times New Roman"/>
          <w:b/>
          <w:bCs/>
          <w:sz w:val="28"/>
          <w:szCs w:val="40"/>
          <w:highlight w:val="none"/>
          <w:lang w:val="en-US" w:eastAsia="zh-CN"/>
        </w:rPr>
        <w:t>残疾人专项费</w:t>
      </w:r>
      <w:r>
        <w:rPr>
          <w:rFonts w:hint="eastAsia" w:ascii="Times New Roman" w:hAnsi="Times New Roman" w:cs="Times New Roman"/>
          <w:b/>
          <w:bCs/>
          <w:sz w:val="28"/>
          <w:szCs w:val="40"/>
          <w:highlight w:val="none"/>
          <w:lang w:eastAsia="zh-CN"/>
        </w:rPr>
        <w:t>项目</w:t>
      </w:r>
      <w:r>
        <w:rPr>
          <w:rFonts w:hint="eastAsia" w:ascii="Times New Roman" w:hAnsi="Times New Roman" w:cs="Times New Roman"/>
          <w:b/>
          <w:bCs/>
          <w:sz w:val="28"/>
          <w:szCs w:val="40"/>
          <w:highlight w:val="none"/>
        </w:rPr>
        <w:t>绩效评价指标体系及综合评分表</w:t>
      </w:r>
    </w:p>
    <w:tbl>
      <w:tblPr>
        <w:tblStyle w:val="13"/>
        <w:tblW w:w="810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532"/>
        <w:gridCol w:w="488"/>
        <w:gridCol w:w="558"/>
        <w:gridCol w:w="1504"/>
        <w:gridCol w:w="3323"/>
        <w:gridCol w:w="831"/>
        <w:gridCol w:w="87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532"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488"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558"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1504"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332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831"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871"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532" w:type="dxa"/>
            <w:vMerge w:val="restart"/>
            <w:shd w:val="clear" w:color="auto" w:fill="FFFFFF"/>
            <w:vAlign w:val="center"/>
          </w:tcPr>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488"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1504"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3323"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831" w:type="dxa"/>
            <w:shd w:val="clear" w:color="auto" w:fill="FFFFFF"/>
            <w:vAlign w:val="center"/>
          </w:tcPr>
          <w:p>
            <w:pPr>
              <w:keepNext w:val="0"/>
              <w:keepLines w:val="0"/>
              <w:widowControl/>
              <w:suppressLineNumbers w:val="0"/>
              <w:jc w:val="center"/>
              <w:textAlignment w:val="center"/>
              <w:rPr>
                <w:rFonts w:hint="eastAsia" w:eastAsia="仿宋_GB2312"/>
                <w:b/>
                <w:bCs/>
                <w:color w:val="000000"/>
                <w:kern w:val="0"/>
                <w:sz w:val="20"/>
                <w:szCs w:val="20"/>
                <w:highlight w:val="none"/>
                <w:lang w:eastAsia="zh-CN"/>
              </w:rPr>
            </w:pPr>
            <w:r>
              <w:rPr>
                <w:rFonts w:hint="eastAsia" w:ascii="等线" w:hAnsi="等线" w:eastAsia="等线" w:cs="等线"/>
                <w:i w:val="0"/>
                <w:color w:val="000000"/>
                <w:kern w:val="0"/>
                <w:sz w:val="20"/>
                <w:szCs w:val="20"/>
                <w:u w:val="none"/>
                <w:lang w:val="en-US" w:eastAsia="zh-CN" w:bidi="ar"/>
              </w:rPr>
              <w:t>4</w:t>
            </w:r>
          </w:p>
        </w:tc>
        <w:tc>
          <w:tcPr>
            <w:tcW w:w="871" w:type="dxa"/>
            <w:shd w:val="clear" w:color="auto" w:fill="FFFFFF"/>
            <w:vAlign w:val="center"/>
          </w:tcPr>
          <w:p>
            <w:pPr>
              <w:keepNext w:val="0"/>
              <w:keepLines w:val="0"/>
              <w:widowControl/>
              <w:suppressLineNumbers w:val="0"/>
              <w:jc w:val="center"/>
              <w:textAlignment w:val="center"/>
              <w:rPr>
                <w:rFonts w:hint="eastAsia" w:eastAsia="宋体"/>
                <w:b/>
                <w:bCs/>
                <w:color w:val="000000"/>
                <w:kern w:val="0"/>
                <w:sz w:val="20"/>
                <w:szCs w:val="20"/>
                <w:highlight w:val="none"/>
                <w:lang w:eastAsia="zh-CN"/>
              </w:rPr>
            </w:pPr>
            <w:r>
              <w:rPr>
                <w:rFonts w:hint="eastAsia" w:ascii="等线" w:hAnsi="等线" w:eastAsia="等线" w:cs="等线"/>
                <w:i w:val="0"/>
                <w:color w:val="000000"/>
                <w:kern w:val="0"/>
                <w:sz w:val="20"/>
                <w:szCs w:val="20"/>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532" w:type="dxa"/>
            <w:vMerge w:val="continue"/>
            <w:shd w:val="clear" w:color="auto" w:fill="FFFFFF"/>
            <w:vAlign w:val="center"/>
          </w:tcPr>
          <w:p>
            <w:pPr>
              <w:spacing w:line="0" w:lineRule="atLeast"/>
              <w:jc w:val="center"/>
              <w:rPr>
                <w:color w:val="000000"/>
                <w:kern w:val="0"/>
                <w:sz w:val="22"/>
                <w:szCs w:val="22"/>
                <w:highlight w:val="none"/>
              </w:rPr>
            </w:pPr>
          </w:p>
        </w:tc>
        <w:tc>
          <w:tcPr>
            <w:tcW w:w="488" w:type="dxa"/>
            <w:vMerge w:val="continue"/>
            <w:shd w:val="clear" w:color="auto" w:fill="FFFFFF"/>
            <w:vAlign w:val="center"/>
          </w:tcPr>
          <w:p>
            <w:pPr>
              <w:widowControl/>
              <w:spacing w:line="0" w:lineRule="atLeast"/>
              <w:jc w:val="center"/>
              <w:rPr>
                <w:color w:val="000000"/>
                <w:kern w:val="0"/>
                <w:sz w:val="22"/>
                <w:szCs w:val="22"/>
                <w:highlight w:val="none"/>
              </w:rPr>
            </w:pP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1504"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3323"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831" w:type="dxa"/>
            <w:shd w:val="clear" w:color="auto" w:fill="FFFFFF"/>
            <w:vAlign w:val="center"/>
          </w:tcPr>
          <w:p>
            <w:pPr>
              <w:keepNext w:val="0"/>
              <w:keepLines w:val="0"/>
              <w:widowControl/>
              <w:suppressLineNumbers w:val="0"/>
              <w:jc w:val="center"/>
              <w:textAlignment w:val="center"/>
              <w:rPr>
                <w:rFonts w:hint="eastAsia" w:eastAsia="仿宋_GB2312"/>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4</w:t>
            </w:r>
          </w:p>
        </w:tc>
        <w:tc>
          <w:tcPr>
            <w:tcW w:w="871" w:type="dxa"/>
            <w:shd w:val="clear" w:color="auto" w:fill="FFFFFF"/>
            <w:vAlign w:val="center"/>
          </w:tcPr>
          <w:p>
            <w:pPr>
              <w:keepNext w:val="0"/>
              <w:keepLines w:val="0"/>
              <w:widowControl/>
              <w:suppressLineNumbers w:val="0"/>
              <w:jc w:val="center"/>
              <w:textAlignment w:val="center"/>
              <w:rPr>
                <w:rFonts w:hint="eastAsia" w:eastAsia="宋体"/>
                <w:b/>
                <w:bCs/>
                <w:color w:val="000000"/>
                <w:kern w:val="0"/>
                <w:sz w:val="20"/>
                <w:szCs w:val="20"/>
                <w:highlight w:val="none"/>
                <w:lang w:eastAsia="zh-CN"/>
              </w:rPr>
            </w:pPr>
            <w:r>
              <w:rPr>
                <w:rFonts w:hint="eastAsia" w:ascii="等线" w:hAnsi="等线" w:eastAsia="等线" w:cs="等线"/>
                <w:i w:val="0"/>
                <w:color w:val="000000"/>
                <w:kern w:val="0"/>
                <w:sz w:val="20"/>
                <w:szCs w:val="20"/>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532" w:type="dxa"/>
            <w:vMerge w:val="continue"/>
            <w:shd w:val="clear" w:color="auto" w:fill="FFFFFF"/>
            <w:vAlign w:val="center"/>
          </w:tcPr>
          <w:p>
            <w:pPr>
              <w:spacing w:line="0" w:lineRule="atLeast"/>
              <w:jc w:val="center"/>
              <w:rPr>
                <w:color w:val="000000"/>
                <w:kern w:val="0"/>
                <w:sz w:val="22"/>
                <w:szCs w:val="22"/>
                <w:highlight w:val="none"/>
              </w:rPr>
            </w:pPr>
          </w:p>
        </w:tc>
        <w:tc>
          <w:tcPr>
            <w:tcW w:w="488"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1504"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3323" w:type="dxa"/>
            <w:shd w:val="clear" w:color="000000"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831" w:type="dxa"/>
            <w:shd w:val="clear" w:color="000000" w:fill="FFFFFF"/>
            <w:vAlign w:val="center"/>
          </w:tcPr>
          <w:p>
            <w:pPr>
              <w:keepNext w:val="0"/>
              <w:keepLines w:val="0"/>
              <w:widowControl/>
              <w:suppressLineNumbers w:val="0"/>
              <w:jc w:val="center"/>
              <w:textAlignment w:val="center"/>
              <w:rPr>
                <w:rFonts w:hint="eastAsia" w:eastAsia="仿宋_GB2312"/>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4</w:t>
            </w:r>
          </w:p>
        </w:tc>
        <w:tc>
          <w:tcPr>
            <w:tcW w:w="871" w:type="dxa"/>
            <w:shd w:val="clear" w:color="000000" w:fill="FFFFFF"/>
            <w:vAlign w:val="center"/>
          </w:tcPr>
          <w:p>
            <w:pPr>
              <w:keepNext w:val="0"/>
              <w:keepLines w:val="0"/>
              <w:widowControl/>
              <w:suppressLineNumbers w:val="0"/>
              <w:jc w:val="center"/>
              <w:textAlignment w:val="center"/>
              <w:rPr>
                <w:rFonts w:hint="eastAsia" w:eastAsia="宋体"/>
                <w:b/>
                <w:bCs/>
                <w:color w:val="000000"/>
                <w:kern w:val="0"/>
                <w:sz w:val="20"/>
                <w:szCs w:val="20"/>
                <w:highlight w:val="none"/>
                <w:lang w:eastAsia="zh-CN"/>
              </w:rPr>
            </w:pPr>
            <w:r>
              <w:rPr>
                <w:rFonts w:hint="eastAsia" w:ascii="等线" w:hAnsi="等线" w:eastAsia="等线" w:cs="等线"/>
                <w:i w:val="0"/>
                <w:color w:val="000000"/>
                <w:kern w:val="0"/>
                <w:sz w:val="20"/>
                <w:szCs w:val="20"/>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532" w:type="dxa"/>
            <w:vMerge w:val="continue"/>
            <w:shd w:val="clear" w:color="auto" w:fill="FFFFFF"/>
            <w:vAlign w:val="center"/>
          </w:tcPr>
          <w:p>
            <w:pPr>
              <w:widowControl/>
              <w:spacing w:line="0" w:lineRule="atLeast"/>
              <w:jc w:val="center"/>
              <w:rPr>
                <w:color w:val="000000"/>
                <w:kern w:val="0"/>
                <w:sz w:val="22"/>
                <w:szCs w:val="22"/>
                <w:highlight w:val="none"/>
              </w:rPr>
            </w:pPr>
          </w:p>
        </w:tc>
        <w:tc>
          <w:tcPr>
            <w:tcW w:w="488" w:type="dxa"/>
            <w:vMerge w:val="continue"/>
            <w:shd w:val="clear" w:color="auto" w:fill="FFFFFF"/>
            <w:vAlign w:val="center"/>
          </w:tcPr>
          <w:p>
            <w:pPr>
              <w:widowControl/>
              <w:spacing w:line="0" w:lineRule="atLeast"/>
              <w:jc w:val="center"/>
              <w:rPr>
                <w:color w:val="000000"/>
                <w:kern w:val="0"/>
                <w:sz w:val="22"/>
                <w:szCs w:val="22"/>
                <w:highlight w:val="none"/>
              </w:rPr>
            </w:pP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1504"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332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831" w:type="dxa"/>
            <w:shd w:val="clear" w:color="000000" w:fill="FFFFFF"/>
            <w:vAlign w:val="center"/>
          </w:tcPr>
          <w:p>
            <w:pPr>
              <w:keepNext w:val="0"/>
              <w:keepLines w:val="0"/>
              <w:widowControl/>
              <w:suppressLineNumbers w:val="0"/>
              <w:jc w:val="center"/>
              <w:textAlignment w:val="center"/>
              <w:rPr>
                <w:rFonts w:hint="eastAsia" w:eastAsia="仿宋_GB2312"/>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4</w:t>
            </w:r>
          </w:p>
        </w:tc>
        <w:tc>
          <w:tcPr>
            <w:tcW w:w="871" w:type="dxa"/>
            <w:shd w:val="clear" w:color="000000" w:fill="FFFFFF"/>
            <w:vAlign w:val="center"/>
          </w:tcPr>
          <w:p>
            <w:pPr>
              <w:keepNext w:val="0"/>
              <w:keepLines w:val="0"/>
              <w:widowControl/>
              <w:suppressLineNumbers w:val="0"/>
              <w:jc w:val="center"/>
              <w:textAlignment w:val="center"/>
              <w:rPr>
                <w:rFonts w:hint="eastAsia" w:eastAsia="宋体"/>
                <w:b/>
                <w:bCs/>
                <w:color w:val="000000"/>
                <w:kern w:val="0"/>
                <w:sz w:val="20"/>
                <w:szCs w:val="20"/>
                <w:highlight w:val="none"/>
                <w:lang w:eastAsia="zh-CN"/>
              </w:rPr>
            </w:pPr>
            <w:r>
              <w:rPr>
                <w:rFonts w:hint="eastAsia" w:ascii="等线" w:hAnsi="等线" w:eastAsia="等线" w:cs="等线"/>
                <w:i w:val="0"/>
                <w:color w:val="000000"/>
                <w:kern w:val="0"/>
                <w:sz w:val="20"/>
                <w:szCs w:val="20"/>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532" w:type="dxa"/>
            <w:vMerge w:val="continue"/>
            <w:shd w:val="clear" w:color="auto" w:fill="FFFFFF"/>
            <w:vAlign w:val="center"/>
          </w:tcPr>
          <w:p>
            <w:pPr>
              <w:spacing w:line="0" w:lineRule="atLeast"/>
              <w:jc w:val="center"/>
              <w:rPr>
                <w:color w:val="000000"/>
                <w:kern w:val="0"/>
                <w:sz w:val="22"/>
                <w:szCs w:val="22"/>
                <w:highlight w:val="none"/>
              </w:rPr>
            </w:pPr>
          </w:p>
        </w:tc>
        <w:tc>
          <w:tcPr>
            <w:tcW w:w="488"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p>
            <w:pPr>
              <w:spacing w:line="0" w:lineRule="atLeast"/>
              <w:jc w:val="center"/>
              <w:rPr>
                <w:color w:val="000000"/>
                <w:kern w:val="0"/>
                <w:sz w:val="22"/>
                <w:szCs w:val="22"/>
                <w:highlight w:val="none"/>
              </w:rPr>
            </w:pPr>
            <w:r>
              <w:rPr>
                <w:color w:val="000000"/>
                <w:kern w:val="0"/>
                <w:sz w:val="22"/>
                <w:szCs w:val="22"/>
                <w:highlight w:val="none"/>
              </w:rPr>
              <w:t>　</w:t>
            </w: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1504"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332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831" w:type="dxa"/>
            <w:shd w:val="clear" w:color="auto" w:fill="FFFFFF"/>
            <w:vAlign w:val="center"/>
          </w:tcPr>
          <w:p>
            <w:pPr>
              <w:keepNext w:val="0"/>
              <w:keepLines w:val="0"/>
              <w:widowControl/>
              <w:suppressLineNumbers w:val="0"/>
              <w:jc w:val="center"/>
              <w:textAlignment w:val="center"/>
              <w:rPr>
                <w:rFonts w:hint="eastAsia" w:eastAsia="仿宋_GB2312"/>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4</w:t>
            </w:r>
          </w:p>
        </w:tc>
        <w:tc>
          <w:tcPr>
            <w:tcW w:w="871" w:type="dxa"/>
            <w:shd w:val="clear" w:color="auto" w:fill="FFFFFF"/>
            <w:vAlign w:val="center"/>
          </w:tcPr>
          <w:p>
            <w:pPr>
              <w:keepNext w:val="0"/>
              <w:keepLines w:val="0"/>
              <w:widowControl/>
              <w:suppressLineNumbers w:val="0"/>
              <w:jc w:val="center"/>
              <w:textAlignment w:val="center"/>
              <w:rPr>
                <w:rFonts w:hint="eastAsia" w:eastAsia="宋体"/>
                <w:b/>
                <w:bCs/>
                <w:color w:val="000000"/>
                <w:kern w:val="0"/>
                <w:sz w:val="20"/>
                <w:szCs w:val="20"/>
                <w:highlight w:val="none"/>
                <w:lang w:eastAsia="zh-CN"/>
              </w:rPr>
            </w:pPr>
            <w:r>
              <w:rPr>
                <w:rFonts w:hint="eastAsia" w:ascii="等线" w:hAnsi="等线" w:eastAsia="等线" w:cs="等线"/>
                <w:i w:val="0"/>
                <w:color w:val="000000"/>
                <w:kern w:val="0"/>
                <w:sz w:val="20"/>
                <w:szCs w:val="20"/>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532" w:type="dxa"/>
            <w:vMerge w:val="continue"/>
            <w:shd w:val="clear" w:color="auto" w:fill="FFFFFF"/>
            <w:vAlign w:val="center"/>
          </w:tcPr>
          <w:p>
            <w:pPr>
              <w:widowControl/>
              <w:spacing w:line="0" w:lineRule="atLeast"/>
              <w:jc w:val="center"/>
              <w:rPr>
                <w:color w:val="000000"/>
                <w:kern w:val="0"/>
                <w:sz w:val="22"/>
                <w:szCs w:val="22"/>
                <w:highlight w:val="none"/>
              </w:rPr>
            </w:pPr>
          </w:p>
        </w:tc>
        <w:tc>
          <w:tcPr>
            <w:tcW w:w="488" w:type="dxa"/>
            <w:vMerge w:val="continue"/>
            <w:shd w:val="clear" w:color="auto" w:fill="FFFFFF"/>
            <w:vAlign w:val="center"/>
          </w:tcPr>
          <w:p>
            <w:pPr>
              <w:widowControl/>
              <w:spacing w:line="0" w:lineRule="atLeast"/>
              <w:jc w:val="center"/>
              <w:rPr>
                <w:color w:val="000000"/>
                <w:kern w:val="0"/>
                <w:sz w:val="22"/>
                <w:szCs w:val="22"/>
                <w:highlight w:val="none"/>
              </w:rPr>
            </w:pP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1504"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332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831" w:type="dxa"/>
            <w:shd w:val="clear" w:color="auto" w:fill="FFFFFF"/>
            <w:vAlign w:val="center"/>
          </w:tcPr>
          <w:p>
            <w:pPr>
              <w:keepNext w:val="0"/>
              <w:keepLines w:val="0"/>
              <w:widowControl/>
              <w:suppressLineNumbers w:val="0"/>
              <w:jc w:val="center"/>
              <w:textAlignment w:val="center"/>
              <w:rPr>
                <w:rFonts w:hint="eastAsia" w:eastAsia="仿宋_GB2312"/>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3</w:t>
            </w:r>
          </w:p>
        </w:tc>
        <w:tc>
          <w:tcPr>
            <w:tcW w:w="871" w:type="dxa"/>
            <w:shd w:val="clear" w:color="auto" w:fill="FFFFFF"/>
            <w:vAlign w:val="center"/>
          </w:tcPr>
          <w:p>
            <w:pPr>
              <w:keepNext w:val="0"/>
              <w:keepLines w:val="0"/>
              <w:widowControl/>
              <w:suppressLineNumbers w:val="0"/>
              <w:jc w:val="center"/>
              <w:textAlignment w:val="center"/>
              <w:rPr>
                <w:rFonts w:hint="eastAsia" w:eastAsia="宋体"/>
                <w:b/>
                <w:bCs/>
                <w:color w:val="000000"/>
                <w:kern w:val="0"/>
                <w:sz w:val="20"/>
                <w:szCs w:val="20"/>
                <w:highlight w:val="none"/>
                <w:lang w:eastAsia="zh-CN"/>
              </w:rPr>
            </w:pPr>
            <w:r>
              <w:rPr>
                <w:rFonts w:hint="eastAsia" w:ascii="等线" w:hAnsi="等线" w:eastAsia="等线" w:cs="等线"/>
                <w:i w:val="0"/>
                <w:color w:val="000000"/>
                <w:kern w:val="0"/>
                <w:sz w:val="20"/>
                <w:szCs w:val="20"/>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532" w:type="dxa"/>
            <w:vMerge w:val="restart"/>
            <w:shd w:val="clear" w:color="auto" w:fill="FFFFFF"/>
            <w:vAlign w:val="center"/>
          </w:tcPr>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r>
              <w:rPr>
                <w:color w:val="000000"/>
                <w:kern w:val="0"/>
                <w:sz w:val="22"/>
                <w:szCs w:val="22"/>
                <w:highlight w:val="none"/>
              </w:rPr>
              <w:t>过程</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488"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1504"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332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831" w:type="dxa"/>
            <w:shd w:val="clear" w:color="000000" w:fill="FFFFFF"/>
            <w:vAlign w:val="center"/>
          </w:tcPr>
          <w:p>
            <w:pPr>
              <w:keepNext w:val="0"/>
              <w:keepLines w:val="0"/>
              <w:widowControl/>
              <w:suppressLineNumbers w:val="0"/>
              <w:jc w:val="center"/>
              <w:textAlignment w:val="center"/>
              <w:rPr>
                <w:rFonts w:hint="eastAsia" w:eastAsia="仿宋_GB2312"/>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3</w:t>
            </w:r>
          </w:p>
        </w:tc>
        <w:tc>
          <w:tcPr>
            <w:tcW w:w="871" w:type="dxa"/>
            <w:shd w:val="clear" w:color="000000" w:fill="FFFFFF"/>
            <w:vAlign w:val="center"/>
          </w:tcPr>
          <w:p>
            <w:pPr>
              <w:keepNext w:val="0"/>
              <w:keepLines w:val="0"/>
              <w:widowControl/>
              <w:suppressLineNumbers w:val="0"/>
              <w:jc w:val="center"/>
              <w:textAlignment w:val="center"/>
              <w:rPr>
                <w:rFonts w:hint="eastAsia" w:eastAsia="宋体"/>
                <w:b/>
                <w:bCs/>
                <w:color w:val="000000"/>
                <w:kern w:val="0"/>
                <w:sz w:val="20"/>
                <w:szCs w:val="20"/>
                <w:highlight w:val="none"/>
                <w:lang w:eastAsia="zh-CN"/>
              </w:rPr>
            </w:pPr>
            <w:r>
              <w:rPr>
                <w:rFonts w:hint="eastAsia" w:ascii="等线" w:hAnsi="等线" w:eastAsia="等线" w:cs="等线"/>
                <w:i w:val="0"/>
                <w:color w:val="000000"/>
                <w:kern w:val="0"/>
                <w:sz w:val="20"/>
                <w:szCs w:val="20"/>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532" w:type="dxa"/>
            <w:vMerge w:val="continue"/>
            <w:shd w:val="clear" w:color="auto" w:fill="FFFFFF"/>
            <w:vAlign w:val="center"/>
          </w:tcPr>
          <w:p>
            <w:pPr>
              <w:spacing w:line="0" w:lineRule="atLeast"/>
              <w:jc w:val="center"/>
              <w:rPr>
                <w:color w:val="000000"/>
                <w:kern w:val="0"/>
                <w:sz w:val="22"/>
                <w:szCs w:val="22"/>
                <w:highlight w:val="none"/>
              </w:rPr>
            </w:pPr>
          </w:p>
        </w:tc>
        <w:tc>
          <w:tcPr>
            <w:tcW w:w="488" w:type="dxa"/>
            <w:vMerge w:val="continue"/>
            <w:shd w:val="clear" w:color="auto" w:fill="FFFFFF"/>
            <w:vAlign w:val="center"/>
          </w:tcPr>
          <w:p>
            <w:pPr>
              <w:spacing w:line="0" w:lineRule="atLeast"/>
              <w:jc w:val="center"/>
              <w:rPr>
                <w:color w:val="000000"/>
                <w:kern w:val="0"/>
                <w:sz w:val="22"/>
                <w:szCs w:val="22"/>
                <w:highlight w:val="none"/>
              </w:rPr>
            </w:pP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1504"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332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831" w:type="dxa"/>
            <w:shd w:val="clear" w:color="auto" w:fill="FFFFFF"/>
            <w:vAlign w:val="center"/>
          </w:tcPr>
          <w:p>
            <w:pPr>
              <w:keepNext w:val="0"/>
              <w:keepLines w:val="0"/>
              <w:widowControl/>
              <w:suppressLineNumbers w:val="0"/>
              <w:jc w:val="center"/>
              <w:textAlignment w:val="center"/>
              <w:rPr>
                <w:b/>
                <w:bCs/>
                <w:color w:val="000000"/>
                <w:kern w:val="0"/>
                <w:sz w:val="20"/>
                <w:szCs w:val="20"/>
                <w:highlight w:val="none"/>
              </w:rPr>
            </w:pPr>
            <w:r>
              <w:rPr>
                <w:rFonts w:hint="eastAsia" w:ascii="等线" w:hAnsi="等线" w:eastAsia="等线" w:cs="等线"/>
                <w:i w:val="0"/>
                <w:color w:val="000000"/>
                <w:kern w:val="0"/>
                <w:sz w:val="20"/>
                <w:szCs w:val="20"/>
                <w:u w:val="none"/>
                <w:lang w:val="en-US" w:eastAsia="zh-CN" w:bidi="ar"/>
              </w:rPr>
              <w:t>3</w:t>
            </w:r>
          </w:p>
        </w:tc>
        <w:tc>
          <w:tcPr>
            <w:tcW w:w="871" w:type="dxa"/>
            <w:shd w:val="clear" w:color="auto" w:fill="FFFFFF"/>
            <w:vAlign w:val="center"/>
          </w:tcPr>
          <w:p>
            <w:pPr>
              <w:keepNext w:val="0"/>
              <w:keepLines w:val="0"/>
              <w:widowControl/>
              <w:suppressLineNumbers w:val="0"/>
              <w:jc w:val="center"/>
              <w:textAlignment w:val="center"/>
              <w:rPr>
                <w:rFonts w:hint="default" w:eastAsia="宋体"/>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532" w:type="dxa"/>
            <w:vMerge w:val="continue"/>
            <w:shd w:val="clear" w:color="auto" w:fill="FFFFFF"/>
            <w:vAlign w:val="center"/>
          </w:tcPr>
          <w:p>
            <w:pPr>
              <w:spacing w:line="0" w:lineRule="atLeast"/>
              <w:jc w:val="center"/>
              <w:rPr>
                <w:color w:val="000000"/>
                <w:kern w:val="0"/>
                <w:sz w:val="22"/>
                <w:szCs w:val="22"/>
                <w:highlight w:val="none"/>
              </w:rPr>
            </w:pPr>
          </w:p>
        </w:tc>
        <w:tc>
          <w:tcPr>
            <w:tcW w:w="48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1504"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332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831" w:type="dxa"/>
            <w:shd w:val="clear" w:color="000000" w:fill="FFFFFF"/>
            <w:vAlign w:val="center"/>
          </w:tcPr>
          <w:p>
            <w:pPr>
              <w:keepNext w:val="0"/>
              <w:keepLines w:val="0"/>
              <w:widowControl/>
              <w:suppressLineNumbers w:val="0"/>
              <w:jc w:val="center"/>
              <w:textAlignment w:val="center"/>
              <w:rPr>
                <w:rFonts w:hint="eastAsia" w:eastAsia="仿宋_GB2312"/>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4</w:t>
            </w:r>
          </w:p>
        </w:tc>
        <w:tc>
          <w:tcPr>
            <w:tcW w:w="871" w:type="dxa"/>
            <w:shd w:val="clear" w:color="000000" w:fill="FFFFFF"/>
            <w:vAlign w:val="center"/>
          </w:tcPr>
          <w:p>
            <w:pPr>
              <w:keepNext w:val="0"/>
              <w:keepLines w:val="0"/>
              <w:widowControl/>
              <w:suppressLineNumbers w:val="0"/>
              <w:jc w:val="center"/>
              <w:textAlignment w:val="center"/>
              <w:rPr>
                <w:rFonts w:hint="eastAsia" w:eastAsia="宋体"/>
                <w:b/>
                <w:bCs/>
                <w:color w:val="000000"/>
                <w:kern w:val="0"/>
                <w:sz w:val="20"/>
                <w:szCs w:val="20"/>
                <w:highlight w:val="none"/>
                <w:lang w:eastAsia="zh-CN"/>
              </w:rPr>
            </w:pPr>
            <w:r>
              <w:rPr>
                <w:rFonts w:hint="eastAsia" w:ascii="等线" w:hAnsi="等线" w:eastAsia="等线" w:cs="等线"/>
                <w:i w:val="0"/>
                <w:color w:val="000000"/>
                <w:kern w:val="0"/>
                <w:sz w:val="20"/>
                <w:szCs w:val="20"/>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532" w:type="dxa"/>
            <w:vMerge w:val="continue"/>
            <w:shd w:val="clear" w:color="auto" w:fill="FFFFFF"/>
            <w:vAlign w:val="center"/>
          </w:tcPr>
          <w:p>
            <w:pPr>
              <w:spacing w:line="0" w:lineRule="atLeast"/>
              <w:jc w:val="center"/>
              <w:rPr>
                <w:color w:val="000000"/>
                <w:kern w:val="0"/>
                <w:sz w:val="22"/>
                <w:szCs w:val="22"/>
                <w:highlight w:val="none"/>
              </w:rPr>
            </w:pPr>
          </w:p>
        </w:tc>
        <w:tc>
          <w:tcPr>
            <w:tcW w:w="488"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1504"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332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831" w:type="dxa"/>
            <w:shd w:val="clear" w:color="000000" w:fill="FFFFFF"/>
            <w:vAlign w:val="center"/>
          </w:tcPr>
          <w:p>
            <w:pPr>
              <w:keepNext w:val="0"/>
              <w:keepLines w:val="0"/>
              <w:widowControl/>
              <w:suppressLineNumbers w:val="0"/>
              <w:jc w:val="center"/>
              <w:textAlignment w:val="center"/>
              <w:rPr>
                <w:b/>
                <w:bCs/>
                <w:color w:val="000000"/>
                <w:kern w:val="0"/>
                <w:sz w:val="20"/>
                <w:szCs w:val="20"/>
                <w:highlight w:val="none"/>
              </w:rPr>
            </w:pPr>
            <w:r>
              <w:rPr>
                <w:rFonts w:hint="eastAsia" w:ascii="等线" w:hAnsi="等线" w:eastAsia="等线" w:cs="等线"/>
                <w:i w:val="0"/>
                <w:color w:val="000000"/>
                <w:kern w:val="0"/>
                <w:sz w:val="20"/>
                <w:szCs w:val="20"/>
                <w:u w:val="none"/>
                <w:lang w:val="en-US" w:eastAsia="zh-CN" w:bidi="ar"/>
              </w:rPr>
              <w:t>3</w:t>
            </w:r>
          </w:p>
        </w:tc>
        <w:tc>
          <w:tcPr>
            <w:tcW w:w="871" w:type="dxa"/>
            <w:shd w:val="clear" w:color="000000" w:fill="FFFFFF"/>
            <w:vAlign w:val="center"/>
          </w:tcPr>
          <w:p>
            <w:pPr>
              <w:keepNext w:val="0"/>
              <w:keepLines w:val="0"/>
              <w:widowControl/>
              <w:suppressLineNumbers w:val="0"/>
              <w:jc w:val="center"/>
              <w:textAlignment w:val="center"/>
              <w:rPr>
                <w:rFonts w:hint="eastAsia" w:eastAsia="宋体"/>
                <w:b/>
                <w:bCs/>
                <w:color w:val="000000"/>
                <w:kern w:val="0"/>
                <w:sz w:val="20"/>
                <w:szCs w:val="20"/>
                <w:highlight w:val="none"/>
                <w:lang w:eastAsia="zh-CN"/>
              </w:rPr>
            </w:pPr>
            <w:r>
              <w:rPr>
                <w:rFonts w:hint="eastAsia" w:ascii="等线" w:hAnsi="等线" w:eastAsia="等线" w:cs="等线"/>
                <w:i w:val="0"/>
                <w:color w:val="000000"/>
                <w:kern w:val="0"/>
                <w:sz w:val="20"/>
                <w:szCs w:val="20"/>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532" w:type="dxa"/>
            <w:vMerge w:val="continue"/>
            <w:shd w:val="clear" w:color="auto" w:fill="FFFFFF"/>
            <w:vAlign w:val="center"/>
          </w:tcPr>
          <w:p>
            <w:pPr>
              <w:widowControl/>
              <w:spacing w:line="0" w:lineRule="atLeast"/>
              <w:jc w:val="center"/>
              <w:rPr>
                <w:color w:val="000000"/>
                <w:kern w:val="0"/>
                <w:sz w:val="22"/>
                <w:szCs w:val="22"/>
                <w:highlight w:val="none"/>
              </w:rPr>
            </w:pPr>
          </w:p>
        </w:tc>
        <w:tc>
          <w:tcPr>
            <w:tcW w:w="488" w:type="dxa"/>
            <w:vMerge w:val="continue"/>
            <w:shd w:val="clear" w:color="auto" w:fill="FFFFFF"/>
            <w:vAlign w:val="center"/>
          </w:tcPr>
          <w:p>
            <w:pPr>
              <w:widowControl/>
              <w:spacing w:line="0" w:lineRule="atLeast"/>
              <w:jc w:val="center"/>
              <w:rPr>
                <w:color w:val="000000"/>
                <w:kern w:val="0"/>
                <w:sz w:val="22"/>
                <w:szCs w:val="22"/>
                <w:highlight w:val="none"/>
              </w:rPr>
            </w:pP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1504"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332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831" w:type="dxa"/>
            <w:shd w:val="clear" w:color="000000" w:fill="FFFFFF"/>
            <w:vAlign w:val="center"/>
          </w:tcPr>
          <w:p>
            <w:pPr>
              <w:keepNext w:val="0"/>
              <w:keepLines w:val="0"/>
              <w:widowControl/>
              <w:suppressLineNumbers w:val="0"/>
              <w:jc w:val="center"/>
              <w:textAlignment w:val="center"/>
              <w:rPr>
                <w:rFonts w:hint="eastAsia" w:eastAsia="仿宋_GB2312"/>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4</w:t>
            </w:r>
          </w:p>
        </w:tc>
        <w:tc>
          <w:tcPr>
            <w:tcW w:w="871" w:type="dxa"/>
            <w:shd w:val="clear" w:color="000000" w:fill="FFFFFF"/>
            <w:vAlign w:val="center"/>
          </w:tcPr>
          <w:p>
            <w:pPr>
              <w:keepNext w:val="0"/>
              <w:keepLines w:val="0"/>
              <w:widowControl/>
              <w:suppressLineNumbers w:val="0"/>
              <w:jc w:val="center"/>
              <w:textAlignment w:val="center"/>
              <w:rPr>
                <w:rFonts w:hint="eastAsia" w:eastAsia="宋体"/>
                <w:b/>
                <w:bCs/>
                <w:color w:val="000000"/>
                <w:kern w:val="0"/>
                <w:sz w:val="20"/>
                <w:szCs w:val="20"/>
                <w:highlight w:val="none"/>
                <w:lang w:eastAsia="zh-CN"/>
              </w:rPr>
            </w:pPr>
            <w:r>
              <w:rPr>
                <w:rFonts w:hint="eastAsia" w:ascii="等线" w:hAnsi="等线" w:eastAsia="等线" w:cs="等线"/>
                <w:i w:val="0"/>
                <w:color w:val="000000"/>
                <w:kern w:val="0"/>
                <w:sz w:val="20"/>
                <w:szCs w:val="20"/>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532"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48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1504"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332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831" w:type="dxa"/>
            <w:shd w:val="clear" w:color="000000" w:fill="FFFFFF"/>
            <w:vAlign w:val="center"/>
          </w:tcPr>
          <w:p>
            <w:pPr>
              <w:keepNext w:val="0"/>
              <w:keepLines w:val="0"/>
              <w:widowControl/>
              <w:suppressLineNumbers w:val="0"/>
              <w:jc w:val="center"/>
              <w:textAlignment w:val="center"/>
              <w:rPr>
                <w:b/>
                <w:bCs/>
                <w:color w:val="000000"/>
                <w:kern w:val="0"/>
                <w:sz w:val="20"/>
                <w:szCs w:val="20"/>
                <w:highlight w:val="none"/>
              </w:rPr>
            </w:pPr>
            <w:r>
              <w:rPr>
                <w:rFonts w:hint="eastAsia" w:ascii="等线" w:hAnsi="等线" w:eastAsia="等线" w:cs="等线"/>
                <w:i w:val="0"/>
                <w:color w:val="000000"/>
                <w:kern w:val="0"/>
                <w:sz w:val="20"/>
                <w:szCs w:val="20"/>
                <w:u w:val="none"/>
                <w:lang w:val="en-US" w:eastAsia="zh-CN" w:bidi="ar"/>
              </w:rPr>
              <w:t>10</w:t>
            </w:r>
          </w:p>
        </w:tc>
        <w:tc>
          <w:tcPr>
            <w:tcW w:w="871" w:type="dxa"/>
            <w:shd w:val="clear" w:color="000000" w:fill="FFFFFF"/>
            <w:vAlign w:val="center"/>
          </w:tcPr>
          <w:p>
            <w:pPr>
              <w:keepNext w:val="0"/>
              <w:keepLines w:val="0"/>
              <w:widowControl/>
              <w:suppressLineNumbers w:val="0"/>
              <w:jc w:val="center"/>
              <w:textAlignment w:val="center"/>
              <w:rPr>
                <w:rFonts w:hint="default" w:eastAsia="宋体"/>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532" w:type="dxa"/>
            <w:vMerge w:val="continue"/>
            <w:shd w:val="clear" w:color="auto" w:fill="FFFFFF"/>
            <w:vAlign w:val="center"/>
          </w:tcPr>
          <w:p>
            <w:pPr>
              <w:widowControl/>
              <w:spacing w:line="0" w:lineRule="atLeast"/>
              <w:jc w:val="center"/>
              <w:rPr>
                <w:color w:val="000000"/>
                <w:kern w:val="0"/>
                <w:sz w:val="22"/>
                <w:szCs w:val="22"/>
                <w:highlight w:val="none"/>
              </w:rPr>
            </w:pPr>
          </w:p>
        </w:tc>
        <w:tc>
          <w:tcPr>
            <w:tcW w:w="48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1504"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332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31" w:type="dxa"/>
            <w:shd w:val="clear" w:color="000000" w:fill="FFFFFF"/>
            <w:vAlign w:val="center"/>
          </w:tcPr>
          <w:p>
            <w:pPr>
              <w:keepNext w:val="0"/>
              <w:keepLines w:val="0"/>
              <w:widowControl/>
              <w:suppressLineNumbers w:val="0"/>
              <w:jc w:val="center"/>
              <w:textAlignment w:val="center"/>
              <w:rPr>
                <w:b/>
                <w:bCs/>
                <w:color w:val="000000"/>
                <w:kern w:val="0"/>
                <w:sz w:val="20"/>
                <w:szCs w:val="20"/>
                <w:highlight w:val="none"/>
              </w:rPr>
            </w:pPr>
            <w:r>
              <w:rPr>
                <w:rFonts w:hint="eastAsia" w:ascii="等线" w:hAnsi="等线" w:eastAsia="等线" w:cs="等线"/>
                <w:i w:val="0"/>
                <w:color w:val="000000"/>
                <w:kern w:val="0"/>
                <w:sz w:val="20"/>
                <w:szCs w:val="20"/>
                <w:u w:val="none"/>
                <w:lang w:val="en-US" w:eastAsia="zh-CN" w:bidi="ar"/>
              </w:rPr>
              <w:t>10</w:t>
            </w:r>
          </w:p>
        </w:tc>
        <w:tc>
          <w:tcPr>
            <w:tcW w:w="871" w:type="dxa"/>
            <w:shd w:val="clear" w:color="000000" w:fill="FFFFFF"/>
            <w:vAlign w:val="center"/>
          </w:tcPr>
          <w:p>
            <w:pPr>
              <w:keepNext w:val="0"/>
              <w:keepLines w:val="0"/>
              <w:widowControl/>
              <w:suppressLineNumbers w:val="0"/>
              <w:jc w:val="center"/>
              <w:textAlignment w:val="center"/>
              <w:rPr>
                <w:rFonts w:hint="default" w:eastAsia="宋体"/>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532" w:type="dxa"/>
            <w:vMerge w:val="continue"/>
            <w:shd w:val="clear" w:color="auto" w:fill="FFFFFF"/>
            <w:vAlign w:val="center"/>
          </w:tcPr>
          <w:p>
            <w:pPr>
              <w:spacing w:line="0" w:lineRule="atLeast"/>
              <w:jc w:val="center"/>
              <w:rPr>
                <w:color w:val="000000"/>
                <w:kern w:val="0"/>
                <w:sz w:val="22"/>
                <w:szCs w:val="22"/>
                <w:highlight w:val="none"/>
              </w:rPr>
            </w:pPr>
          </w:p>
        </w:tc>
        <w:tc>
          <w:tcPr>
            <w:tcW w:w="488" w:type="dxa"/>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1504"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332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831" w:type="dxa"/>
            <w:shd w:val="clear" w:color="000000" w:fill="FFFFFF"/>
            <w:vAlign w:val="center"/>
          </w:tcPr>
          <w:p>
            <w:pPr>
              <w:keepNext w:val="0"/>
              <w:keepLines w:val="0"/>
              <w:widowControl/>
              <w:suppressLineNumbers w:val="0"/>
              <w:jc w:val="center"/>
              <w:textAlignment w:val="center"/>
              <w:rPr>
                <w:b/>
                <w:bCs/>
                <w:color w:val="000000"/>
                <w:kern w:val="0"/>
                <w:sz w:val="20"/>
                <w:szCs w:val="20"/>
                <w:highlight w:val="none"/>
              </w:rPr>
            </w:pPr>
            <w:r>
              <w:rPr>
                <w:rFonts w:hint="eastAsia" w:ascii="等线" w:hAnsi="等线" w:eastAsia="等线" w:cs="等线"/>
                <w:i w:val="0"/>
                <w:color w:val="000000"/>
                <w:kern w:val="0"/>
                <w:sz w:val="20"/>
                <w:szCs w:val="20"/>
                <w:u w:val="none"/>
                <w:lang w:val="en-US" w:eastAsia="zh-CN" w:bidi="ar"/>
              </w:rPr>
              <w:t>10</w:t>
            </w:r>
          </w:p>
        </w:tc>
        <w:tc>
          <w:tcPr>
            <w:tcW w:w="871" w:type="dxa"/>
            <w:shd w:val="clear" w:color="000000" w:fill="FFFFFF"/>
            <w:vAlign w:val="center"/>
          </w:tcPr>
          <w:p>
            <w:pPr>
              <w:keepNext w:val="0"/>
              <w:keepLines w:val="0"/>
              <w:widowControl/>
              <w:suppressLineNumbers w:val="0"/>
              <w:jc w:val="center"/>
              <w:textAlignment w:val="center"/>
              <w:rPr>
                <w:rFonts w:hint="default" w:eastAsia="宋体"/>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532" w:type="dxa"/>
            <w:vMerge w:val="continue"/>
            <w:shd w:val="clear" w:color="auto" w:fill="FFFFFF"/>
            <w:vAlign w:val="center"/>
          </w:tcPr>
          <w:p>
            <w:pPr>
              <w:widowControl/>
              <w:spacing w:line="0" w:lineRule="atLeast"/>
              <w:jc w:val="center"/>
              <w:rPr>
                <w:color w:val="000000"/>
                <w:kern w:val="0"/>
                <w:sz w:val="22"/>
                <w:szCs w:val="22"/>
                <w:highlight w:val="none"/>
              </w:rPr>
            </w:pPr>
          </w:p>
        </w:tc>
        <w:tc>
          <w:tcPr>
            <w:tcW w:w="48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1504"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332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831" w:type="dxa"/>
            <w:shd w:val="clear" w:color="000000" w:fill="FFFFFF"/>
            <w:vAlign w:val="center"/>
          </w:tcPr>
          <w:p>
            <w:pPr>
              <w:keepNext w:val="0"/>
              <w:keepLines w:val="0"/>
              <w:widowControl/>
              <w:suppressLineNumbers w:val="0"/>
              <w:jc w:val="center"/>
              <w:textAlignment w:val="center"/>
              <w:rPr>
                <w:b/>
                <w:bCs/>
                <w:color w:val="000000"/>
                <w:kern w:val="0"/>
                <w:sz w:val="20"/>
                <w:szCs w:val="20"/>
                <w:highlight w:val="none"/>
              </w:rPr>
            </w:pPr>
            <w:r>
              <w:rPr>
                <w:rFonts w:hint="eastAsia" w:ascii="等线" w:hAnsi="等线" w:eastAsia="等线" w:cs="等线"/>
                <w:i w:val="0"/>
                <w:color w:val="000000"/>
                <w:kern w:val="0"/>
                <w:sz w:val="20"/>
                <w:szCs w:val="20"/>
                <w:u w:val="none"/>
                <w:lang w:val="en-US" w:eastAsia="zh-CN" w:bidi="ar"/>
              </w:rPr>
              <w:t>10</w:t>
            </w:r>
          </w:p>
        </w:tc>
        <w:tc>
          <w:tcPr>
            <w:tcW w:w="871" w:type="dxa"/>
            <w:shd w:val="clear" w:color="000000" w:fill="FFFFFF"/>
            <w:vAlign w:val="center"/>
          </w:tcPr>
          <w:p>
            <w:pPr>
              <w:keepNext w:val="0"/>
              <w:keepLines w:val="0"/>
              <w:widowControl/>
              <w:suppressLineNumbers w:val="0"/>
              <w:jc w:val="center"/>
              <w:textAlignment w:val="center"/>
              <w:rPr>
                <w:rFonts w:hint="default" w:eastAsia="宋体"/>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9.5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532"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488"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1504"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332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831" w:type="dxa"/>
            <w:shd w:val="clear" w:color="auto" w:fill="FFFFFF"/>
            <w:vAlign w:val="center"/>
          </w:tcPr>
          <w:p>
            <w:pPr>
              <w:keepNext w:val="0"/>
              <w:keepLines w:val="0"/>
              <w:widowControl/>
              <w:suppressLineNumbers w:val="0"/>
              <w:jc w:val="left"/>
              <w:textAlignment w:val="center"/>
              <w:rPr>
                <w:b/>
                <w:bCs/>
                <w:color w:val="000000"/>
                <w:kern w:val="0"/>
                <w:sz w:val="20"/>
                <w:szCs w:val="20"/>
                <w:highlight w:val="none"/>
              </w:rPr>
            </w:pPr>
            <w:r>
              <w:rPr>
                <w:rFonts w:hint="eastAsia" w:ascii="等线" w:hAnsi="等线" w:eastAsia="等线" w:cs="等线"/>
                <w:i w:val="0"/>
                <w:color w:val="000000"/>
                <w:kern w:val="0"/>
                <w:sz w:val="20"/>
                <w:szCs w:val="20"/>
                <w:u w:val="none"/>
                <w:lang w:val="en-US" w:eastAsia="zh-CN" w:bidi="ar"/>
              </w:rPr>
              <w:t>10</w:t>
            </w:r>
          </w:p>
        </w:tc>
        <w:tc>
          <w:tcPr>
            <w:tcW w:w="871" w:type="dxa"/>
            <w:shd w:val="clear" w:color="auto" w:fill="FFFFFF"/>
            <w:vAlign w:val="center"/>
          </w:tcPr>
          <w:p>
            <w:pPr>
              <w:keepNext w:val="0"/>
              <w:keepLines w:val="0"/>
              <w:widowControl/>
              <w:suppressLineNumbers w:val="0"/>
              <w:jc w:val="left"/>
              <w:textAlignment w:val="center"/>
              <w:rPr>
                <w:rFonts w:hint="default" w:eastAsia="宋体"/>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532" w:type="dxa"/>
            <w:vMerge w:val="continue"/>
            <w:shd w:val="clear" w:color="auto" w:fill="FFFFFF"/>
            <w:vAlign w:val="center"/>
          </w:tcPr>
          <w:p>
            <w:pPr>
              <w:widowControl/>
              <w:spacing w:line="0" w:lineRule="atLeast"/>
              <w:jc w:val="center"/>
              <w:rPr>
                <w:color w:val="000000"/>
                <w:kern w:val="0"/>
                <w:sz w:val="22"/>
                <w:szCs w:val="22"/>
                <w:highlight w:val="none"/>
              </w:rPr>
            </w:pPr>
          </w:p>
        </w:tc>
        <w:tc>
          <w:tcPr>
            <w:tcW w:w="488" w:type="dxa"/>
            <w:vMerge w:val="continue"/>
            <w:shd w:val="clear" w:color="auto" w:fill="FFFFFF"/>
            <w:vAlign w:val="center"/>
          </w:tcPr>
          <w:p>
            <w:pPr>
              <w:widowControl/>
              <w:spacing w:line="0" w:lineRule="atLeast"/>
              <w:jc w:val="center"/>
              <w:rPr>
                <w:color w:val="000000"/>
                <w:kern w:val="0"/>
                <w:sz w:val="22"/>
                <w:szCs w:val="22"/>
                <w:highlight w:val="none"/>
              </w:rPr>
            </w:pPr>
          </w:p>
        </w:tc>
        <w:tc>
          <w:tcPr>
            <w:tcW w:w="558"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1504"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332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831" w:type="dxa"/>
            <w:shd w:val="clear" w:color="000000" w:fill="FFFFFF"/>
            <w:vAlign w:val="center"/>
          </w:tcPr>
          <w:p>
            <w:pPr>
              <w:keepNext w:val="0"/>
              <w:keepLines w:val="0"/>
              <w:widowControl/>
              <w:suppressLineNumbers w:val="0"/>
              <w:jc w:val="left"/>
              <w:textAlignment w:val="center"/>
              <w:rPr>
                <w:b/>
                <w:bCs/>
                <w:color w:val="000000"/>
                <w:kern w:val="0"/>
                <w:sz w:val="20"/>
                <w:szCs w:val="20"/>
                <w:highlight w:val="none"/>
              </w:rPr>
            </w:pPr>
            <w:r>
              <w:rPr>
                <w:rFonts w:hint="eastAsia" w:ascii="等线" w:hAnsi="等线" w:eastAsia="等线" w:cs="等线"/>
                <w:i w:val="0"/>
                <w:color w:val="000000"/>
                <w:kern w:val="0"/>
                <w:sz w:val="20"/>
                <w:szCs w:val="20"/>
                <w:u w:val="none"/>
                <w:lang w:val="en-US" w:eastAsia="zh-CN" w:bidi="ar"/>
              </w:rPr>
              <w:t>10</w:t>
            </w:r>
          </w:p>
        </w:tc>
        <w:tc>
          <w:tcPr>
            <w:tcW w:w="871" w:type="dxa"/>
            <w:shd w:val="clear" w:color="000000" w:fill="FFFFFF"/>
            <w:vAlign w:val="center"/>
          </w:tcPr>
          <w:p>
            <w:pPr>
              <w:keepNext w:val="0"/>
              <w:keepLines w:val="0"/>
              <w:widowControl/>
              <w:suppressLineNumbers w:val="0"/>
              <w:jc w:val="left"/>
              <w:textAlignment w:val="center"/>
              <w:rPr>
                <w:rFonts w:hint="default" w:eastAsia="宋体"/>
                <w:b/>
                <w:bCs/>
                <w:color w:val="000000"/>
                <w:kern w:val="0"/>
                <w:sz w:val="20"/>
                <w:szCs w:val="20"/>
                <w:highlight w:val="none"/>
                <w:lang w:val="en-US" w:eastAsia="zh-CN"/>
              </w:rPr>
            </w:pPr>
            <w:r>
              <w:rPr>
                <w:rFonts w:hint="eastAsia" w:ascii="等线" w:hAnsi="等线" w:eastAsia="等线" w:cs="等线"/>
                <w:i w:val="0"/>
                <w:color w:val="000000"/>
                <w:kern w:val="0"/>
                <w:sz w:val="20"/>
                <w:szCs w:val="20"/>
                <w:u w:val="none"/>
                <w:lang w:val="en-US" w:eastAsia="zh-CN" w:bidi="ar"/>
              </w:rPr>
              <w:t>10</w:t>
            </w:r>
          </w:p>
        </w:tc>
      </w:tr>
    </w:tbl>
    <w:p/>
    <w:sectPr>
      <w:footerReference r:id="rId3"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FangSong_GB2312">
    <w:altName w:val="仿宋"/>
    <w:panose1 w:val="02010609030101010101"/>
    <w:charset w:val="86"/>
    <w:family w:val="modern"/>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方正楷体_GBK">
    <w:altName w:val="微软雅黑"/>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663D9EE3"/>
    <w:multiLevelType w:val="singleLevel"/>
    <w:tmpl w:val="663D9EE3"/>
    <w:lvl w:ilvl="0" w:tentative="0">
      <w:start w:val="4"/>
      <w:numFmt w:val="decimal"/>
      <w:suff w:val="nothing"/>
      <w:lvlText w:val="%1."/>
      <w:lvlJc w:val="left"/>
    </w:lvl>
  </w:abstractNum>
  <w:abstractNum w:abstractNumId="2">
    <w:nsid w:val="663D9F8A"/>
    <w:multiLevelType w:val="singleLevel"/>
    <w:tmpl w:val="663D9F8A"/>
    <w:lvl w:ilvl="0" w:tentative="0">
      <w:start w:val="4"/>
      <w:numFmt w:val="decimal"/>
      <w:suff w:val="nothing"/>
      <w:lvlText w:val="%1."/>
      <w:lvlJc w:val="left"/>
    </w:lvl>
  </w:abstractNum>
  <w:abstractNum w:abstractNumId="3">
    <w:nsid w:val="663DA6AC"/>
    <w:multiLevelType w:val="singleLevel"/>
    <w:tmpl w:val="663DA6AC"/>
    <w:lvl w:ilvl="0" w:tentative="0">
      <w:start w:val="5"/>
      <w:numFmt w:val="chineseCounting"/>
      <w:suff w:val="nothing"/>
      <w:lvlText w:val="%1、"/>
      <w:lvlJc w:val="left"/>
    </w:lvl>
  </w:abstractNum>
  <w:abstractNum w:abstractNumId="4">
    <w:nsid w:val="663DA6D1"/>
    <w:multiLevelType w:val="singleLevel"/>
    <w:tmpl w:val="663DA6D1"/>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78E2CF2"/>
    <w:rsid w:val="08D20D13"/>
    <w:rsid w:val="0C4D0F1B"/>
    <w:rsid w:val="0F1605D0"/>
    <w:rsid w:val="0F2A6BF7"/>
    <w:rsid w:val="135F3DD4"/>
    <w:rsid w:val="1529706A"/>
    <w:rsid w:val="17224E02"/>
    <w:rsid w:val="17496B45"/>
    <w:rsid w:val="1D723F37"/>
    <w:rsid w:val="1D785367"/>
    <w:rsid w:val="1ED70C26"/>
    <w:rsid w:val="21DA4716"/>
    <w:rsid w:val="22BE4F7D"/>
    <w:rsid w:val="24816F73"/>
    <w:rsid w:val="26DA25CB"/>
    <w:rsid w:val="282D143F"/>
    <w:rsid w:val="2887358B"/>
    <w:rsid w:val="303B192D"/>
    <w:rsid w:val="32AE0DEC"/>
    <w:rsid w:val="353D3EF5"/>
    <w:rsid w:val="366F435B"/>
    <w:rsid w:val="36B72533"/>
    <w:rsid w:val="38432FDD"/>
    <w:rsid w:val="3A1D76D0"/>
    <w:rsid w:val="4057649F"/>
    <w:rsid w:val="43182414"/>
    <w:rsid w:val="46507BB3"/>
    <w:rsid w:val="49F63349"/>
    <w:rsid w:val="4A7C25BE"/>
    <w:rsid w:val="4B4F044A"/>
    <w:rsid w:val="4C22332E"/>
    <w:rsid w:val="51B85A66"/>
    <w:rsid w:val="51BB5923"/>
    <w:rsid w:val="52445792"/>
    <w:rsid w:val="56376A81"/>
    <w:rsid w:val="56796849"/>
    <w:rsid w:val="56CA5FF0"/>
    <w:rsid w:val="57454D4A"/>
    <w:rsid w:val="57736809"/>
    <w:rsid w:val="5DA95371"/>
    <w:rsid w:val="5E9268B6"/>
    <w:rsid w:val="5F6D4912"/>
    <w:rsid w:val="6166423A"/>
    <w:rsid w:val="68F11999"/>
    <w:rsid w:val="690C07C5"/>
    <w:rsid w:val="69916AA6"/>
    <w:rsid w:val="714E5D2A"/>
    <w:rsid w:val="752175BA"/>
    <w:rsid w:val="7541206D"/>
    <w:rsid w:val="763A0251"/>
    <w:rsid w:val="78933A88"/>
    <w:rsid w:val="79CD5799"/>
    <w:rsid w:val="7A305A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0"/>
    <w:pPr>
      <w:keepNext/>
      <w:keepLines/>
      <w:spacing w:before="260" w:after="260" w:line="415" w:lineRule="auto"/>
      <w:outlineLvl w:val="2"/>
    </w:pPr>
    <w:rPr>
      <w:b/>
      <w:sz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uiPriority w:val="99"/>
    <w:pPr>
      <w:spacing w:after="120"/>
      <w:ind w:left="420" w:leftChars="200"/>
    </w:pPr>
    <w:rPr>
      <w:rFonts w:ascii="Calibri" w:hAnsi="Calibri"/>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2"/>
    <w:basedOn w:val="6"/>
    <w:unhideWhenUsed/>
    <w:qFormat/>
    <w:uiPriority w:val="99"/>
    <w:pPr>
      <w:ind w:firstLine="420" w:firstLineChars="200"/>
    </w:pPr>
  </w:style>
  <w:style w:type="character" w:styleId="15">
    <w:name w:val="Hyperlink"/>
    <w:basedOn w:val="14"/>
    <w:unhideWhenUsed/>
    <w:qFormat/>
    <w:uiPriority w:val="99"/>
    <w:rPr>
      <w:color w:val="0563C1" w:themeColor="hyperlink"/>
      <w:u w:val="single"/>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Char"/>
    <w:basedOn w:val="14"/>
    <w:link w:val="8"/>
    <w:semiHidden/>
    <w:qFormat/>
    <w:uiPriority w:val="99"/>
    <w:rPr>
      <w:rFonts w:ascii="Times New Roman" w:hAnsi="Times New Roman" w:eastAsia="仿宋_GB2312" w:cs="Times New Roman"/>
      <w:sz w:val="18"/>
      <w:szCs w:val="18"/>
    </w:rPr>
  </w:style>
  <w:style w:type="character" w:customStyle="1" w:styleId="20">
    <w:name w:val="页脚 Char"/>
    <w:basedOn w:val="14"/>
    <w:link w:val="7"/>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3</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2024-05-10T10:29:14Z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