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1263E8">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1531C0BD">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3467C01F">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7B936066">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14:paraId="64585077">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00E56ADF">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14:paraId="41C9E7D0">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5118E707">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6FB82085">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6CC12CE0">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63939095">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1C252611">
      <w:pPr>
        <w:spacing w:line="560" w:lineRule="exact"/>
        <w:ind w:firstLine="321" w:firstLineChars="100"/>
        <w:rPr>
          <w:rFonts w:hint="eastAsia" w:ascii="宋体" w:hAnsi="宋体" w:eastAsia="宋体" w:cs="仿宋_GB2312"/>
          <w:b/>
          <w:bCs/>
          <w:color w:val="0E2EF0"/>
          <w:kern w:val="0"/>
          <w:sz w:val="32"/>
          <w:szCs w:val="32"/>
        </w:rPr>
      </w:pPr>
    </w:p>
    <w:p w14:paraId="5CDCF139">
      <w:pPr>
        <w:spacing w:line="560" w:lineRule="exact"/>
        <w:ind w:firstLine="321" w:firstLineChars="100"/>
        <w:rPr>
          <w:rFonts w:hint="eastAsia" w:ascii="宋体" w:hAnsi="宋体" w:eastAsia="宋体" w:cs="仿宋_GB2312"/>
          <w:b/>
          <w:bCs/>
          <w:color w:val="0E2EF0"/>
          <w:kern w:val="0"/>
          <w:sz w:val="32"/>
          <w:szCs w:val="32"/>
        </w:rPr>
      </w:pPr>
    </w:p>
    <w:p w14:paraId="0E860A8C">
      <w:pPr>
        <w:spacing w:line="560" w:lineRule="exact"/>
        <w:ind w:firstLine="964" w:firstLineChars="300"/>
        <w:rPr>
          <w:rFonts w:ascii="宋体" w:hAnsi="宋体" w:eastAsia="宋体" w:cs="宋体"/>
          <w:color w:val="auto"/>
          <w:kern w:val="0"/>
          <w:sz w:val="32"/>
          <w:szCs w:val="32"/>
        </w:rPr>
      </w:pPr>
      <w:r>
        <w:rPr>
          <w:rFonts w:hint="eastAsia" w:ascii="宋体" w:hAnsi="宋体" w:eastAsia="宋体" w:cs="仿宋_GB2312"/>
          <w:b/>
          <w:bCs/>
          <w:color w:val="auto"/>
          <w:kern w:val="0"/>
          <w:sz w:val="32"/>
          <w:szCs w:val="32"/>
        </w:rPr>
        <w:t>项目名称：</w:t>
      </w:r>
      <w:r>
        <w:rPr>
          <w:rFonts w:hint="default" w:ascii="宋体" w:hAnsi="宋体" w:eastAsia="宋体" w:cs="宋体"/>
          <w:color w:val="auto"/>
          <w:kern w:val="0"/>
          <w:sz w:val="32"/>
          <w:szCs w:val="32"/>
          <w:lang w:val="en-US" w:eastAsia="zh-CN"/>
        </w:rPr>
        <w:t>2023</w:t>
      </w:r>
      <w:r>
        <w:rPr>
          <w:rFonts w:hint="eastAsia" w:ascii="宋体" w:hAnsi="宋体" w:eastAsia="宋体" w:cs="宋体"/>
          <w:color w:val="auto"/>
          <w:kern w:val="0"/>
          <w:sz w:val="32"/>
          <w:szCs w:val="32"/>
          <w:lang w:val="en-US" w:eastAsia="zh-CN"/>
        </w:rPr>
        <w:t>年度生态环境综合执法经费</w:t>
      </w:r>
      <w:r>
        <w:rPr>
          <w:rFonts w:hint="eastAsia" w:ascii="宋体" w:hAnsi="宋体" w:eastAsia="宋体" w:cs="宋体"/>
          <w:color w:val="auto"/>
          <w:kern w:val="0"/>
          <w:sz w:val="32"/>
          <w:szCs w:val="32"/>
          <w:lang w:eastAsia="zh-CN"/>
        </w:rPr>
        <w:t xml:space="preserve">项目 </w:t>
      </w:r>
    </w:p>
    <w:p w14:paraId="773C7E83">
      <w:pPr>
        <w:spacing w:line="560" w:lineRule="exact"/>
        <w:ind w:firstLine="964" w:firstLineChars="300"/>
        <w:rPr>
          <w:rFonts w:hint="eastAsia" w:ascii="宋体" w:hAnsi="宋体" w:eastAsia="宋体" w:cs="宋体"/>
          <w:color w:val="auto"/>
          <w:kern w:val="0"/>
          <w:sz w:val="32"/>
          <w:szCs w:val="32"/>
          <w:lang w:eastAsia="zh-CN"/>
        </w:rPr>
      </w:pPr>
      <w:r>
        <w:rPr>
          <w:rFonts w:hint="eastAsia" w:ascii="宋体" w:hAnsi="宋体" w:eastAsia="宋体" w:cs="仿宋_GB2312"/>
          <w:b/>
          <w:bCs/>
          <w:color w:val="auto"/>
          <w:kern w:val="0"/>
          <w:sz w:val="32"/>
          <w:szCs w:val="32"/>
        </w:rPr>
        <w:t>实施单位（公章）：</w:t>
      </w:r>
      <w:r>
        <w:rPr>
          <w:rFonts w:hint="eastAsia" w:ascii="宋体" w:hAnsi="宋体" w:eastAsia="宋体" w:cs="宋体"/>
          <w:color w:val="auto"/>
          <w:kern w:val="0"/>
          <w:sz w:val="32"/>
          <w:szCs w:val="32"/>
          <w:lang w:eastAsia="zh-CN"/>
        </w:rPr>
        <w:t xml:space="preserve">巴州生态环境保护综合行政执法支队 </w:t>
      </w:r>
    </w:p>
    <w:p w14:paraId="6F547E5F">
      <w:pPr>
        <w:spacing w:line="560" w:lineRule="exact"/>
        <w:ind w:firstLine="964" w:firstLineChars="300"/>
        <w:rPr>
          <w:rFonts w:hint="eastAsia" w:ascii="宋体" w:hAnsi="宋体" w:eastAsia="宋体" w:cs="宋体"/>
          <w:color w:val="auto"/>
          <w:kern w:val="0"/>
          <w:sz w:val="32"/>
          <w:szCs w:val="32"/>
          <w:lang w:eastAsia="zh-CN"/>
        </w:rPr>
      </w:pPr>
      <w:r>
        <w:rPr>
          <w:rFonts w:hint="eastAsia" w:ascii="宋体" w:hAnsi="宋体" w:eastAsia="宋体" w:cs="仿宋_GB2312"/>
          <w:b/>
          <w:bCs/>
          <w:color w:val="auto"/>
          <w:kern w:val="0"/>
          <w:sz w:val="32"/>
          <w:szCs w:val="32"/>
        </w:rPr>
        <w:t>主管部门（公章）：</w:t>
      </w:r>
      <w:r>
        <w:rPr>
          <w:rFonts w:ascii="宋体" w:hAnsi="宋体" w:eastAsia="宋体" w:cs="宋体"/>
          <w:color w:val="auto"/>
          <w:kern w:val="0"/>
          <w:sz w:val="32"/>
          <w:szCs w:val="32"/>
        </w:rPr>
        <w:t xml:space="preserve"> </w:t>
      </w:r>
      <w:r>
        <w:rPr>
          <w:rFonts w:hint="eastAsia" w:ascii="宋体" w:hAnsi="宋体" w:eastAsia="宋体" w:cs="宋体"/>
          <w:color w:val="auto"/>
          <w:kern w:val="0"/>
          <w:sz w:val="32"/>
          <w:szCs w:val="32"/>
          <w:lang w:eastAsia="zh-CN"/>
        </w:rPr>
        <w:t>巴州生态环境局</w:t>
      </w:r>
    </w:p>
    <w:p w14:paraId="10DE84D5">
      <w:pPr>
        <w:spacing w:line="560" w:lineRule="exact"/>
        <w:ind w:firstLine="964" w:firstLineChars="300"/>
        <w:rPr>
          <w:rFonts w:hint="eastAsia" w:ascii="宋体" w:hAnsi="宋体" w:eastAsia="宋体" w:cs="宋体"/>
          <w:color w:val="auto"/>
          <w:kern w:val="0"/>
          <w:sz w:val="32"/>
          <w:szCs w:val="32"/>
          <w:lang w:eastAsia="zh-CN"/>
        </w:rPr>
      </w:pPr>
      <w:r>
        <w:rPr>
          <w:rFonts w:hint="eastAsia" w:ascii="宋体" w:hAnsi="宋体" w:eastAsia="宋体" w:cs="仿宋_GB2312"/>
          <w:b/>
          <w:bCs/>
          <w:color w:val="auto"/>
          <w:kern w:val="0"/>
          <w:sz w:val="32"/>
          <w:szCs w:val="32"/>
        </w:rPr>
        <w:t>项目负责人（签章）：</w:t>
      </w:r>
      <w:r>
        <w:rPr>
          <w:rFonts w:hint="eastAsia" w:ascii="宋体" w:hAnsi="宋体" w:eastAsia="宋体" w:cs="宋体"/>
          <w:color w:val="auto"/>
          <w:kern w:val="0"/>
          <w:sz w:val="32"/>
          <w:szCs w:val="32"/>
          <w:lang w:eastAsia="zh-CN"/>
        </w:rPr>
        <w:t>马锦</w:t>
      </w:r>
    </w:p>
    <w:p w14:paraId="30208E21">
      <w:pPr>
        <w:spacing w:line="560" w:lineRule="exact"/>
        <w:ind w:firstLine="964" w:firstLineChars="300"/>
        <w:rPr>
          <w:rFonts w:hint="eastAsia" w:ascii="宋体" w:hAnsi="宋体" w:eastAsia="宋体" w:cs="仿宋_GB2312"/>
          <w:color w:val="auto"/>
          <w:kern w:val="0"/>
          <w:sz w:val="32"/>
          <w:szCs w:val="32"/>
        </w:rPr>
      </w:pPr>
      <w:r>
        <w:rPr>
          <w:rFonts w:hint="eastAsia" w:ascii="宋体" w:hAnsi="宋体" w:eastAsia="宋体" w:cs="仿宋_GB2312"/>
          <w:b/>
          <w:bCs/>
          <w:color w:val="auto"/>
          <w:kern w:val="0"/>
          <w:sz w:val="32"/>
          <w:szCs w:val="32"/>
        </w:rPr>
        <w:t>填报时间：</w:t>
      </w:r>
      <w:r>
        <w:rPr>
          <w:rFonts w:hint="eastAsia" w:ascii="宋体" w:hAnsi="宋体" w:eastAsia="宋体" w:cs="仿宋_GB2312"/>
          <w:color w:val="auto"/>
          <w:kern w:val="0"/>
          <w:sz w:val="32"/>
          <w:szCs w:val="32"/>
        </w:rPr>
        <w:t>202</w:t>
      </w:r>
      <w:r>
        <w:rPr>
          <w:rFonts w:hint="eastAsia" w:ascii="宋体" w:hAnsi="宋体" w:eastAsia="宋体" w:cs="仿宋_GB2312"/>
          <w:color w:val="auto"/>
          <w:kern w:val="0"/>
          <w:sz w:val="32"/>
          <w:szCs w:val="32"/>
          <w:lang w:val="en-US" w:eastAsia="zh-CN"/>
        </w:rPr>
        <w:t>4</w:t>
      </w:r>
      <w:r>
        <w:rPr>
          <w:rFonts w:hint="eastAsia" w:ascii="宋体" w:hAnsi="宋体" w:eastAsia="宋体" w:cs="仿宋_GB2312"/>
          <w:color w:val="auto"/>
          <w:kern w:val="0"/>
          <w:sz w:val="32"/>
          <w:szCs w:val="32"/>
        </w:rPr>
        <w:t>年</w:t>
      </w:r>
      <w:r>
        <w:rPr>
          <w:rFonts w:hint="eastAsia" w:ascii="宋体" w:hAnsi="宋体" w:eastAsia="宋体" w:cs="仿宋_GB2312"/>
          <w:color w:val="auto"/>
          <w:kern w:val="0"/>
          <w:sz w:val="32"/>
          <w:szCs w:val="32"/>
          <w:lang w:val="en-US" w:eastAsia="zh-CN"/>
        </w:rPr>
        <w:t>5</w:t>
      </w:r>
      <w:r>
        <w:rPr>
          <w:rFonts w:hint="eastAsia" w:ascii="宋体" w:hAnsi="宋体" w:eastAsia="宋体" w:cs="仿宋_GB2312"/>
          <w:color w:val="auto"/>
          <w:kern w:val="0"/>
          <w:sz w:val="32"/>
          <w:szCs w:val="32"/>
        </w:rPr>
        <w:t>月</w:t>
      </w:r>
      <w:r>
        <w:rPr>
          <w:rFonts w:hint="eastAsia" w:ascii="宋体" w:hAnsi="宋体" w:eastAsia="宋体" w:cs="仿宋_GB2312"/>
          <w:color w:val="auto"/>
          <w:kern w:val="0"/>
          <w:sz w:val="32"/>
          <w:szCs w:val="32"/>
          <w:lang w:val="en-US" w:eastAsia="zh-CN"/>
        </w:rPr>
        <w:t>21</w:t>
      </w:r>
      <w:r>
        <w:rPr>
          <w:rFonts w:hint="eastAsia" w:ascii="宋体" w:hAnsi="宋体" w:eastAsia="宋体" w:cs="仿宋_GB2312"/>
          <w:color w:val="auto"/>
          <w:kern w:val="0"/>
          <w:sz w:val="32"/>
          <w:szCs w:val="32"/>
        </w:rPr>
        <w:t>日</w:t>
      </w:r>
    </w:p>
    <w:p w14:paraId="7E283E56">
      <w:pPr>
        <w:widowControl/>
        <w:jc w:val="left"/>
        <w:rPr>
          <w:rFonts w:ascii="宋体" w:hAnsi="宋体" w:eastAsia="宋体" w:cs="Arial"/>
          <w:b/>
          <w:bCs/>
          <w:color w:val="auto"/>
          <w:sz w:val="36"/>
          <w:szCs w:val="36"/>
        </w:rPr>
      </w:pPr>
      <w:r>
        <w:rPr>
          <w:rFonts w:ascii="宋体" w:hAnsi="宋体" w:eastAsia="宋体" w:cs="Arial"/>
          <w:b/>
          <w:bCs/>
          <w:color w:val="auto"/>
          <w:sz w:val="36"/>
          <w:szCs w:val="36"/>
        </w:rPr>
        <w:br w:type="page"/>
      </w:r>
    </w:p>
    <w:p w14:paraId="4D754BAC">
      <w:pPr>
        <w:pageBreakBefore w:val="0"/>
        <w:kinsoku/>
        <w:wordWrap/>
        <w:overflowPunct/>
        <w:topLinePunct w:val="0"/>
        <w:autoSpaceDE/>
        <w:autoSpaceDN/>
        <w:bidi w:val="0"/>
        <w:adjustRightInd/>
        <w:snapToGrid/>
        <w:spacing w:line="560" w:lineRule="exact"/>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195CF4AF">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14:paraId="6FAE70C0">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14:paraId="7DDDD8F6">
      <w:pPr>
        <w:widowControl/>
        <w:spacing w:line="540" w:lineRule="exact"/>
        <w:ind w:firstLine="640" w:firstLineChars="200"/>
        <w:rPr>
          <w:rFonts w:hint="eastAsia" w:ascii="方正仿宋_GBK" w:eastAsia="方正仿宋_GBK"/>
          <w:color w:val="auto"/>
          <w:sz w:val="32"/>
          <w:szCs w:val="32"/>
          <w:lang w:val="en-US" w:eastAsia="zh-CN"/>
        </w:rPr>
      </w:pPr>
      <w:bookmarkStart w:id="1" w:name="_Toc68703828"/>
      <w:r>
        <w:rPr>
          <w:rFonts w:hint="eastAsia" w:ascii="方正仿宋_GBK" w:eastAsia="方正仿宋_GBK"/>
          <w:color w:val="auto"/>
          <w:sz w:val="32"/>
          <w:szCs w:val="32"/>
          <w:lang w:val="en-US" w:eastAsia="zh-CN"/>
        </w:rPr>
        <w:t>（一）项目概况。</w:t>
      </w:r>
      <w:bookmarkEnd w:id="1"/>
    </w:p>
    <w:p w14:paraId="2ECAB5CA">
      <w:pPr>
        <w:widowControl/>
        <w:spacing w:line="540" w:lineRule="exact"/>
        <w:ind w:firstLine="640" w:firstLineChars="200"/>
        <w:rPr>
          <w:rFonts w:hint="eastAsia" w:ascii="方正仿宋_GBK" w:eastAsia="方正仿宋_GBK"/>
          <w:color w:val="auto"/>
          <w:sz w:val="32"/>
          <w:szCs w:val="32"/>
          <w:lang w:val="en-US" w:eastAsia="zh-CN"/>
        </w:rPr>
      </w:pPr>
      <w:r>
        <w:rPr>
          <w:rFonts w:hint="eastAsia" w:ascii="方正仿宋_GBK" w:eastAsia="方正仿宋_GBK"/>
          <w:color w:val="auto"/>
          <w:sz w:val="32"/>
          <w:szCs w:val="32"/>
          <w:lang w:val="en-US" w:eastAsia="zh-CN"/>
        </w:rPr>
        <w:t>（1）项目背景</w:t>
      </w:r>
    </w:p>
    <w:p w14:paraId="5CAA61C0">
      <w:pPr>
        <w:spacing w:line="540" w:lineRule="exact"/>
        <w:ind w:firstLine="600" w:firstLineChars="200"/>
        <w:rPr>
          <w:rFonts w:hint="eastAsia" w:ascii="仿宋_GB2312"/>
          <w:highlight w:val="none"/>
        </w:rPr>
      </w:pPr>
      <w:r>
        <w:rPr>
          <w:rFonts w:hint="eastAsia" w:ascii="仿宋_GB2312"/>
          <w:color w:val="auto"/>
          <w:highlight w:val="none"/>
          <w:lang w:val="en-US" w:eastAsia="zh-CN"/>
        </w:rPr>
        <w:t xml:space="preserve"> </w:t>
      </w:r>
      <w:r>
        <w:rPr>
          <w:rFonts w:hint="eastAsia" w:ascii="仿宋_GB2312"/>
          <w:highlight w:val="none"/>
        </w:rPr>
        <w:t>生态环境是关系党的使命宗旨的重大政治问题，也是关系民生的重大社会问题。全国生态环境工作会议强调，各级环保部门要按照党中央、国务院的决策部署和部党组的工作安排，严格环境执法监管，依法打击环境违法。要通过持续开展执法大练兵活动，不断提高执法人员依法执法、规范执法的能力，全面提升环境执法整体水平。要切实提高对环境执法工作重要性的认识，加强练兵活动组织领导，把执法练兵与日常监管密切结合，把规范执法与严惩违法密切结合，持续保持环境执法高压态势。以深入打好污染防治攻坚战的实际行动，践行“四个意识”、做好“两个维护”。</w:t>
      </w:r>
    </w:p>
    <w:p w14:paraId="3D5521C4">
      <w:pPr>
        <w:widowControl/>
        <w:spacing w:line="540" w:lineRule="exact"/>
        <w:ind w:firstLine="640" w:firstLineChars="200"/>
        <w:rPr>
          <w:rFonts w:hint="eastAsia" w:ascii="方正仿宋_GBK" w:eastAsia="方正仿宋_GBK"/>
          <w:color w:val="auto"/>
          <w:sz w:val="32"/>
          <w:szCs w:val="32"/>
          <w:lang w:val="en-US" w:eastAsia="zh-CN"/>
        </w:rPr>
      </w:pPr>
      <w:r>
        <w:rPr>
          <w:rFonts w:hint="eastAsia" w:ascii="方正仿宋_GBK" w:eastAsia="方正仿宋_GBK"/>
          <w:color w:val="auto"/>
          <w:sz w:val="32"/>
          <w:szCs w:val="32"/>
          <w:lang w:val="en-US" w:eastAsia="zh-CN"/>
        </w:rPr>
        <w:t>（2）主要内容及实施情况</w:t>
      </w:r>
    </w:p>
    <w:p w14:paraId="2AD83622">
      <w:pPr>
        <w:spacing w:line="540" w:lineRule="exact"/>
        <w:ind w:firstLine="600" w:firstLineChars="200"/>
        <w:rPr>
          <w:rFonts w:hint="eastAsia" w:ascii="仿宋_GB2312"/>
          <w:color w:val="auto"/>
          <w:highlight w:val="none"/>
          <w:lang w:val="en-US" w:eastAsia="zh-CN"/>
        </w:rPr>
      </w:pPr>
      <w:r>
        <w:rPr>
          <w:rFonts w:hint="eastAsia" w:ascii="仿宋_GB2312"/>
          <w:color w:val="auto"/>
          <w:highlight w:val="none"/>
          <w:lang w:val="en-US" w:eastAsia="zh-CN"/>
        </w:rPr>
        <w:t>主要内容：通过</w:t>
      </w:r>
      <w:r>
        <w:rPr>
          <w:rFonts w:hint="default" w:ascii="仿宋_GB2312"/>
          <w:color w:val="auto"/>
          <w:highlight w:val="none"/>
          <w:lang w:val="en-US" w:eastAsia="zh-CN"/>
        </w:rPr>
        <w:t>开展生态环境行政执法，</w:t>
      </w:r>
      <w:r>
        <w:rPr>
          <w:rFonts w:hint="eastAsia" w:ascii="仿宋_GB2312"/>
          <w:color w:val="auto"/>
          <w:highlight w:val="none"/>
          <w:lang w:val="en-US" w:eastAsia="zh-CN"/>
        </w:rPr>
        <w:t>不断提升自治州生态环境质量。针对</w:t>
      </w:r>
      <w:r>
        <w:rPr>
          <w:rFonts w:hint="default" w:ascii="仿宋_GB2312"/>
          <w:color w:val="auto"/>
          <w:highlight w:val="none"/>
          <w:lang w:val="en-US" w:eastAsia="zh-CN"/>
        </w:rPr>
        <w:t>重点领域</w:t>
      </w:r>
      <w:r>
        <w:rPr>
          <w:rFonts w:hint="eastAsia" w:ascii="仿宋_GB2312"/>
          <w:color w:val="auto"/>
          <w:highlight w:val="none"/>
          <w:lang w:val="en-US" w:eastAsia="zh-CN"/>
        </w:rPr>
        <w:t>、重点区域加大生态环境执法力度，降低并减少生态环境违法行为</w:t>
      </w:r>
      <w:r>
        <w:rPr>
          <w:rFonts w:hint="default" w:ascii="仿宋_GB2312"/>
          <w:color w:val="auto"/>
          <w:highlight w:val="none"/>
          <w:lang w:val="en-US" w:eastAsia="zh-CN"/>
        </w:rPr>
        <w:t>，保护和改善</w:t>
      </w:r>
      <w:r>
        <w:rPr>
          <w:rFonts w:hint="eastAsia" w:ascii="仿宋_GB2312"/>
          <w:color w:val="auto"/>
          <w:highlight w:val="none"/>
          <w:lang w:val="en-US" w:eastAsia="zh-CN"/>
        </w:rPr>
        <w:t>自治州</w:t>
      </w:r>
      <w:r>
        <w:rPr>
          <w:rFonts w:hint="default" w:ascii="仿宋_GB2312"/>
          <w:color w:val="auto"/>
          <w:highlight w:val="none"/>
          <w:lang w:val="en-US" w:eastAsia="zh-CN"/>
        </w:rPr>
        <w:t>生态环境</w:t>
      </w:r>
      <w:r>
        <w:rPr>
          <w:rFonts w:hint="eastAsia" w:ascii="仿宋_GB2312"/>
          <w:color w:val="auto"/>
          <w:highlight w:val="none"/>
          <w:lang w:val="en-US" w:eastAsia="zh-CN"/>
        </w:rPr>
        <w:t>质量</w:t>
      </w:r>
      <w:r>
        <w:rPr>
          <w:rFonts w:hint="default" w:ascii="仿宋_GB2312"/>
          <w:color w:val="auto"/>
          <w:highlight w:val="none"/>
          <w:lang w:val="en-US" w:eastAsia="zh-CN"/>
        </w:rPr>
        <w:t>，</w:t>
      </w:r>
      <w:r>
        <w:rPr>
          <w:rFonts w:hint="eastAsia" w:ascii="仿宋_GB2312"/>
          <w:color w:val="auto"/>
          <w:highlight w:val="none"/>
          <w:lang w:val="en-US" w:eastAsia="zh-CN"/>
        </w:rPr>
        <w:t>更好地</w:t>
      </w:r>
      <w:r>
        <w:rPr>
          <w:rFonts w:hint="default" w:ascii="仿宋_GB2312"/>
          <w:color w:val="auto"/>
          <w:highlight w:val="none"/>
          <w:lang w:val="en-US" w:eastAsia="zh-CN"/>
        </w:rPr>
        <w:t>满足人民对美好生活的需求</w:t>
      </w:r>
      <w:r>
        <w:rPr>
          <w:rFonts w:hint="eastAsia" w:ascii="仿宋_GB2312"/>
          <w:color w:val="auto"/>
          <w:highlight w:val="none"/>
          <w:lang w:val="en-US" w:eastAsia="zh-CN"/>
        </w:rPr>
        <w:t>。实施“放管服”和“正面清单”管理，减少对企业的影响，</w:t>
      </w:r>
      <w:r>
        <w:rPr>
          <w:rFonts w:hint="default" w:ascii="仿宋_GB2312"/>
          <w:color w:val="auto"/>
          <w:highlight w:val="none"/>
          <w:lang w:val="en-US" w:eastAsia="zh-CN"/>
        </w:rPr>
        <w:t>降低</w:t>
      </w:r>
      <w:r>
        <w:rPr>
          <w:rFonts w:hint="eastAsia" w:ascii="仿宋_GB2312"/>
          <w:color w:val="auto"/>
          <w:highlight w:val="none"/>
          <w:lang w:val="en-US" w:eastAsia="zh-CN"/>
        </w:rPr>
        <w:t>行政执法</w:t>
      </w:r>
      <w:r>
        <w:rPr>
          <w:rFonts w:hint="default" w:ascii="仿宋_GB2312"/>
          <w:color w:val="auto"/>
          <w:highlight w:val="none"/>
          <w:lang w:val="en-US" w:eastAsia="zh-CN"/>
        </w:rPr>
        <w:t>管理成本，</w:t>
      </w:r>
      <w:r>
        <w:rPr>
          <w:rFonts w:hint="eastAsia" w:ascii="仿宋_GB2312"/>
          <w:color w:val="auto"/>
          <w:highlight w:val="none"/>
          <w:lang w:val="en-US" w:eastAsia="zh-CN"/>
        </w:rPr>
        <w:t>更快</w:t>
      </w:r>
      <w:r>
        <w:rPr>
          <w:rFonts w:hint="default" w:ascii="仿宋_GB2312"/>
          <w:color w:val="auto"/>
          <w:highlight w:val="none"/>
          <w:lang w:val="en-US" w:eastAsia="zh-CN"/>
        </w:rPr>
        <w:t>更</w:t>
      </w:r>
      <w:r>
        <w:rPr>
          <w:rFonts w:hint="eastAsia" w:ascii="仿宋_GB2312"/>
          <w:color w:val="auto"/>
          <w:highlight w:val="none"/>
          <w:lang w:val="en-US" w:eastAsia="zh-CN"/>
        </w:rPr>
        <w:t>好</w:t>
      </w:r>
      <w:r>
        <w:rPr>
          <w:rFonts w:hint="default" w:ascii="仿宋_GB2312"/>
          <w:color w:val="auto"/>
          <w:highlight w:val="none"/>
          <w:lang w:val="en-US" w:eastAsia="zh-CN"/>
        </w:rPr>
        <w:t>解决群众身边突出环境问题，为坚决打赢疫情防控阻击战和污染防治攻坚战，建设大美巴州提供坚强保障。</w:t>
      </w:r>
    </w:p>
    <w:p w14:paraId="50083227">
      <w:pPr>
        <w:spacing w:line="540" w:lineRule="exact"/>
        <w:ind w:firstLine="600" w:firstLineChars="200"/>
        <w:rPr>
          <w:rFonts w:hint="eastAsia" w:ascii="仿宋_GB2312"/>
          <w:color w:val="auto"/>
          <w:highlight w:val="none"/>
          <w:lang w:val="en-US" w:eastAsia="zh-CN"/>
        </w:rPr>
      </w:pPr>
      <w:r>
        <w:rPr>
          <w:rFonts w:hint="eastAsia" w:ascii="仿宋_GB2312"/>
          <w:color w:val="auto"/>
          <w:highlight w:val="none"/>
          <w:lang w:val="en-US" w:eastAsia="zh-CN"/>
        </w:rPr>
        <w:t>实施情况：2023年以来完成“双随机、一公开”日常执法检查任务，检查企业424家，发现环境违法问题155个；组织开展4轮次环境执法练兵活动，检查企业320家，发现环境违法行为296个；分别联合住建、畜牧、商务、水利、市监等部门开展5轮次联合执法检查；开展了排污许可证、自然保护地、涉挥发性有机物和消耗臭氧层物质、核与辐射安全等专项检查，检查企业218家次，发现问题189个；组织开展3轮次兵地联合交叉帮扶监督检查，共检查企业19家，发现环境问题24个，全年办理行政处罚案件122个，拟处罚金额737.64万元，</w:t>
      </w:r>
      <w:r>
        <w:rPr>
          <w:rFonts w:hint="default" w:ascii="仿宋_GB2312"/>
          <w:color w:val="auto"/>
          <w:highlight w:val="none"/>
          <w:lang w:val="en-US" w:eastAsia="zh-CN"/>
        </w:rPr>
        <w:t>2023年全州</w:t>
      </w:r>
      <w:r>
        <w:rPr>
          <w:rFonts w:hint="eastAsia" w:ascii="仿宋_GB2312"/>
          <w:color w:val="auto"/>
          <w:highlight w:val="none"/>
          <w:lang w:val="en-US" w:eastAsia="zh-CN"/>
        </w:rPr>
        <w:t>办理行政处罚案件数较上年上升36％。</w:t>
      </w:r>
    </w:p>
    <w:p w14:paraId="5CF680B0">
      <w:pPr>
        <w:spacing w:line="540" w:lineRule="exact"/>
        <w:ind w:firstLine="600" w:firstLineChars="200"/>
        <w:rPr>
          <w:rFonts w:hint="eastAsia" w:ascii="仿宋_GB2312"/>
          <w:color w:val="auto"/>
          <w:highlight w:val="none"/>
          <w:lang w:val="en-US" w:eastAsia="zh-CN"/>
        </w:rPr>
      </w:pPr>
      <w:r>
        <w:rPr>
          <w:rFonts w:hint="eastAsia" w:ascii="仿宋_GB2312"/>
          <w:color w:val="auto"/>
          <w:highlight w:val="none"/>
          <w:lang w:val="en-US" w:eastAsia="zh-CN"/>
        </w:rPr>
        <w:t>全年12369信访投诉举报中心受理环境信访投诉27件，信访事项回访率100%，满意率达到100%。开展县市分局执法工作现场执法稽查，</w:t>
      </w:r>
      <w:r>
        <w:rPr>
          <w:rFonts w:hint="default" w:ascii="仿宋_GB2312"/>
          <w:color w:val="auto"/>
          <w:highlight w:val="none"/>
          <w:lang w:val="en-US" w:eastAsia="zh-CN"/>
        </w:rPr>
        <w:t>下达稽查意见书10份，监督纠错问题22个，执法行为进一步规范</w:t>
      </w:r>
      <w:r>
        <w:rPr>
          <w:rFonts w:hint="eastAsia" w:ascii="仿宋_GB2312"/>
          <w:color w:val="auto"/>
          <w:highlight w:val="none"/>
          <w:lang w:val="en-US" w:eastAsia="zh-CN"/>
        </w:rPr>
        <w:t>。完成塔里木河巴州境内河段、开都河全河段“一河一策一图”5个环境应急响应方案编制工作。</w:t>
      </w:r>
    </w:p>
    <w:p w14:paraId="0758841D">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lang w:val="en-US" w:eastAsia="zh-CN"/>
        </w:rPr>
        <w:t>2.</w:t>
      </w:r>
      <w:r>
        <w:rPr>
          <w:rFonts w:hint="eastAsia" w:ascii="仿宋_GB2312"/>
          <w:highlight w:val="none"/>
        </w:rPr>
        <w:t>资金投入和使用情况</w:t>
      </w:r>
    </w:p>
    <w:p w14:paraId="01DBE2C9">
      <w:pPr>
        <w:spacing w:line="540" w:lineRule="exact"/>
        <w:ind w:firstLine="600" w:firstLineChars="200"/>
        <w:rPr>
          <w:rFonts w:hint="default" w:ascii="仿宋_GB2312"/>
          <w:color w:val="auto"/>
          <w:highlight w:val="none"/>
          <w:lang w:val="en-US" w:eastAsia="zh-CN"/>
        </w:rPr>
      </w:pPr>
      <w:r>
        <w:rPr>
          <w:rFonts w:hint="eastAsia" w:ascii="仿宋_GB2312"/>
          <w:color w:val="auto"/>
          <w:highlight w:val="none"/>
          <w:lang w:val="en-US" w:eastAsia="zh-CN"/>
        </w:rPr>
        <w:t>（1）</w:t>
      </w:r>
      <w:r>
        <w:rPr>
          <w:rFonts w:hint="eastAsia" w:ascii="仿宋_GB2312"/>
          <w:b/>
          <w:bCs/>
          <w:color w:val="auto"/>
          <w:highlight w:val="none"/>
          <w:lang w:val="en-US" w:eastAsia="zh-CN"/>
        </w:rPr>
        <w:t>资金投入情况：</w:t>
      </w:r>
      <w:r>
        <w:rPr>
          <w:rFonts w:hint="default" w:ascii="仿宋_GB2312"/>
          <w:color w:val="auto"/>
          <w:highlight w:val="none"/>
          <w:lang w:val="en-US" w:eastAsia="zh-CN"/>
        </w:rPr>
        <w:t>该项目年初预算数97万元，全年预算数97万元，实际总投入97万元，该项目资金已全部落实到位，资金来源为财政拨款。</w:t>
      </w:r>
    </w:p>
    <w:p w14:paraId="2CDB0EA3">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lang w:eastAsia="zh-CN"/>
        </w:rPr>
        <w:t>（</w:t>
      </w:r>
      <w:r>
        <w:rPr>
          <w:rFonts w:hint="eastAsia"/>
          <w:lang w:val="en-US" w:eastAsia="zh-CN"/>
        </w:rPr>
        <w:t>2</w:t>
      </w:r>
      <w:r>
        <w:rPr>
          <w:rFonts w:hint="eastAsia"/>
          <w:lang w:eastAsia="zh-CN"/>
        </w:rPr>
        <w:t>）</w:t>
      </w:r>
      <w:r>
        <w:rPr>
          <w:rFonts w:hint="eastAsia"/>
          <w:b/>
          <w:bCs/>
        </w:rPr>
        <w:t>资金使用情况：</w:t>
      </w:r>
      <w:r>
        <w:rPr>
          <w:rFonts w:hint="eastAsia" w:ascii="仿宋_GB2312"/>
          <w:color w:val="auto"/>
          <w:highlight w:val="none"/>
          <w:lang w:val="en-US" w:eastAsia="zh-CN"/>
        </w:rPr>
        <w:t>该项目年初预算数97万元，全年预算数97万元，全年执行数97万元，预算执行率为100%</w:t>
      </w:r>
      <w:bookmarkStart w:id="2" w:name="_Toc68703829"/>
      <w:r>
        <w:rPr>
          <w:rFonts w:hint="eastAsia" w:ascii="仿宋_GB2312"/>
          <w:color w:val="auto"/>
          <w:highlight w:val="none"/>
          <w:lang w:val="en-US" w:eastAsia="zh-CN"/>
        </w:rPr>
        <w:t>.</w:t>
      </w:r>
    </w:p>
    <w:p w14:paraId="75098EC4">
      <w:pPr>
        <w:widowControl/>
        <w:spacing w:line="540" w:lineRule="exact"/>
        <w:ind w:firstLine="640" w:firstLineChars="200"/>
        <w:rPr>
          <w:rFonts w:hint="default" w:ascii="方正仿宋_GBK" w:eastAsia="方正仿宋_GBK"/>
          <w:color w:val="auto"/>
          <w:sz w:val="32"/>
          <w:szCs w:val="32"/>
          <w:lang w:val="en-US" w:eastAsia="zh-CN"/>
        </w:rPr>
      </w:pPr>
      <w:r>
        <w:rPr>
          <w:rFonts w:hint="eastAsia" w:ascii="方正仿宋_GBK" w:eastAsia="方正仿宋_GBK"/>
          <w:color w:val="auto"/>
          <w:sz w:val="32"/>
          <w:szCs w:val="32"/>
          <w:lang w:val="en-US" w:eastAsia="zh-CN"/>
        </w:rPr>
        <w:t>（二）项目绩效目标</w:t>
      </w:r>
      <w:bookmarkEnd w:id="2"/>
    </w:p>
    <w:p w14:paraId="18AC718E">
      <w:pPr>
        <w:pageBreakBefore w:val="0"/>
        <w:kinsoku/>
        <w:wordWrap/>
        <w:overflowPunct/>
        <w:topLinePunct w:val="0"/>
        <w:autoSpaceDE/>
        <w:autoSpaceDN/>
        <w:bidi w:val="0"/>
        <w:adjustRightInd/>
        <w:snapToGrid/>
        <w:spacing w:line="560" w:lineRule="exact"/>
        <w:ind w:firstLine="602" w:firstLineChars="200"/>
        <w:textAlignment w:val="auto"/>
        <w:rPr>
          <w:rFonts w:hint="eastAsia" w:ascii="仿宋_GB2312"/>
          <w:color w:val="auto"/>
          <w:highlight w:val="none"/>
          <w:lang w:val="en-US" w:eastAsia="zh-CN"/>
        </w:rPr>
      </w:pPr>
      <w:r>
        <w:rPr>
          <w:rFonts w:hint="eastAsia"/>
          <w:b/>
          <w:bCs/>
        </w:rPr>
        <w:t>总体目标：</w:t>
      </w:r>
      <w:r>
        <w:rPr>
          <w:rFonts w:hint="eastAsia" w:ascii="仿宋_GB2312"/>
          <w:color w:val="auto"/>
          <w:highlight w:val="none"/>
          <w:lang w:val="en-US" w:eastAsia="zh-CN"/>
        </w:rPr>
        <w:t>监督指导辖区各县市、各部门对国家生态环境政策、法规和标准的执行，提升各族群众生态环境保护意识和环境权益意识。 加强全州生态环境综合执法体系和能力建设，有效提升环境执法监管能力和水平，抓好重点领域生态环境执法工作，严厉打击生态环境违法行为，促进全州环境质量持续改善。加强环境应急预案管理和环境风险管理，做好全州突发生态环境事件现场查处工作。及时妥善处理各类环境信访举报案件，维护各族群众环境权益。</w:t>
      </w:r>
    </w:p>
    <w:p w14:paraId="5BF7FD73">
      <w:pPr>
        <w:pageBreakBefore w:val="0"/>
        <w:kinsoku/>
        <w:wordWrap/>
        <w:overflowPunct/>
        <w:topLinePunct w:val="0"/>
        <w:autoSpaceDE/>
        <w:autoSpaceDN/>
        <w:bidi w:val="0"/>
        <w:adjustRightInd/>
        <w:snapToGrid/>
        <w:spacing w:line="560" w:lineRule="exact"/>
        <w:ind w:firstLine="602" w:firstLineChars="200"/>
        <w:textAlignment w:val="auto"/>
        <w:rPr>
          <w:rFonts w:hint="default" w:ascii="仿宋_GB2312"/>
          <w:color w:val="auto"/>
          <w:highlight w:val="none"/>
          <w:lang w:val="en-US" w:eastAsia="zh-CN"/>
        </w:rPr>
      </w:pPr>
      <w:r>
        <w:rPr>
          <w:rFonts w:hint="eastAsia"/>
          <w:b/>
          <w:bCs/>
        </w:rPr>
        <w:t>阶段性目标</w:t>
      </w:r>
      <w:r>
        <w:rPr>
          <w:rFonts w:hint="eastAsia"/>
          <w:b/>
          <w:bCs/>
          <w:lang w:eastAsia="zh-CN"/>
        </w:rPr>
        <w:t>：</w:t>
      </w:r>
      <w:r>
        <w:rPr>
          <w:rFonts w:hint="eastAsia" w:ascii="仿宋_GB2312"/>
          <w:color w:val="auto"/>
          <w:highlight w:val="none"/>
          <w:lang w:val="en-US" w:eastAsia="zh-CN"/>
        </w:rPr>
        <w:t>每月按计划、检查企业比例完成“双随机、一公开”日常检查任务，按季度组织开展4轮次环境执法大练兵活动，按照各行业企业动工情况，组织开展5轮次的部门联合执法检查。12369信访举报中心全年受理环境信访案件，并做到及时处理解决、及时反馈、及时回访。按季度组织多轮次县市分局执法工作现场稽查，提高县市执法人员执法业务水平。</w:t>
      </w:r>
    </w:p>
    <w:p w14:paraId="25EE8EE1">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14:paraId="656ACBD1">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lang w:val="en-US" w:eastAsia="zh-CN"/>
        </w:rPr>
      </w:pPr>
      <w:bookmarkStart w:id="4" w:name="_Toc68703831"/>
      <w:r>
        <w:rPr>
          <w:rFonts w:hint="eastAsia" w:ascii="仿宋_GB2312" w:eastAsia="仿宋_GB2312"/>
          <w:b w:val="0"/>
          <w:bCs w:val="0"/>
        </w:rPr>
        <w:t>（一）绩效评价目的、对象和范围。</w:t>
      </w:r>
      <w:bookmarkEnd w:id="4"/>
    </w:p>
    <w:p w14:paraId="6F4C9AF6">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1.</w:t>
      </w:r>
      <w:r>
        <w:rPr>
          <w:rFonts w:hint="eastAsia"/>
        </w:rPr>
        <w:t>绩效评价目的：</w:t>
      </w:r>
    </w:p>
    <w:p w14:paraId="7B12C989">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通过绩效评价，客观地评判项目的管理绩效，了解和掌握2023年度生态环境综合执法经费项目经费的具体情况，评价该项目资金安排的科学性、合理性、规范性和资金的使用成效，及时总结项目管理经验，完善项目管理办法，提高项目管理水平和资金使用效益。促使我单位/局/中心根据绩效评价中发现的问题，认真加以整改，及时调整和完善单位的工作计划并加强项目绩效管理，同时为项目后续资金投入、分配和管理提供决策依据。</w:t>
      </w:r>
    </w:p>
    <w:p w14:paraId="39F47FA7">
      <w:pPr>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lang w:val="en-US" w:eastAsia="zh-CN"/>
        </w:rPr>
        <w:t>2.</w:t>
      </w:r>
      <w:r>
        <w:rPr>
          <w:rFonts w:hint="eastAsia"/>
        </w:rPr>
        <w:t>绩效评价对象：</w:t>
      </w:r>
    </w:p>
    <w:p w14:paraId="0C030DBF">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2023年度生态环境综合执法经费项目</w:t>
      </w:r>
    </w:p>
    <w:p w14:paraId="1A97CCBB">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3.</w:t>
      </w:r>
      <w:r>
        <w:rPr>
          <w:rFonts w:hint="eastAsia"/>
        </w:rPr>
        <w:t>绩效评价范围：</w:t>
      </w:r>
    </w:p>
    <w:p w14:paraId="315B9121">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本次评价从项目决策（包括绩效目标、决策过程）、项目管理（包括项目资金、项目实施）、项目产出（包括项目产出数量、产出质量、产出时效和产出成本）项目效益四个维度进行巴州生态环境保护综合行政执法评价，评价核心为专项资金的支出完成情况和效果。</w:t>
      </w:r>
    </w:p>
    <w:p w14:paraId="09174358">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5" w:name="_Toc68703832"/>
      <w:r>
        <w:rPr>
          <w:rFonts w:hint="eastAsia" w:ascii="仿宋_GB2312" w:eastAsia="仿宋_GB2312"/>
          <w:b w:val="0"/>
          <w:bCs w:val="0"/>
        </w:rPr>
        <w:t>（二）绩效评价原则、评价指标体系</w:t>
      </w:r>
      <w:r>
        <w:rPr>
          <w:rFonts w:hint="eastAsia" w:ascii="仿宋_GB2312" w:eastAsia="仿宋_GB2312"/>
          <w:b w:val="0"/>
          <w:bCs w:val="0"/>
          <w:lang w:eastAsia="zh-CN"/>
        </w:rPr>
        <w:t>（附表说明）</w:t>
      </w:r>
      <w:r>
        <w:rPr>
          <w:rFonts w:hint="eastAsia" w:ascii="仿宋_GB2312" w:eastAsia="仿宋_GB2312"/>
          <w:b w:val="0"/>
          <w:bCs w:val="0"/>
        </w:rPr>
        <w:t>、评价方法、评价标准等。</w:t>
      </w:r>
      <w:bookmarkEnd w:id="5"/>
    </w:p>
    <w:p w14:paraId="1ECD4124">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绩效评价原则</w:t>
      </w:r>
    </w:p>
    <w:p w14:paraId="28BF01C9">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FF0000"/>
          <w:sz w:val="32"/>
          <w:szCs w:val="32"/>
        </w:rPr>
      </w:pPr>
      <w:r>
        <w:rPr>
          <w:rFonts w:eastAsia="仿宋_GB2312"/>
          <w:color w:val="000000"/>
          <w:sz w:val="32"/>
          <w:szCs w:val="32"/>
        </w:rPr>
        <w:t>本次项目绩效评价遵循以下基本原则：</w:t>
      </w:r>
    </w:p>
    <w:p w14:paraId="7C84AFB8">
      <w:pPr>
        <w:pageBreakBefore w:val="0"/>
        <w:kinsoku/>
        <w:wordWrap/>
        <w:overflowPunct/>
        <w:topLinePunct w:val="0"/>
        <w:autoSpaceDE/>
        <w:autoSpaceDN/>
        <w:bidi w:val="0"/>
        <w:adjustRightInd/>
        <w:snapToGrid/>
        <w:spacing w:line="560" w:lineRule="exact"/>
        <w:ind w:firstLine="640" w:firstLineChars="200"/>
        <w:textAlignment w:val="auto"/>
        <w:rPr>
          <w:rFonts w:ascii="仿宋_GB2312"/>
          <w:bCs/>
          <w:color w:val="auto"/>
          <w:sz w:val="32"/>
          <w:szCs w:val="32"/>
        </w:rPr>
      </w:pPr>
      <w:r>
        <w:rPr>
          <w:rFonts w:hint="eastAsia" w:ascii="仿宋_GB2312"/>
          <w:bCs/>
          <w:color w:val="auto"/>
          <w:sz w:val="32"/>
          <w:szCs w:val="32"/>
        </w:rPr>
        <w:t>（一）科学公正。本次项目支出绩效评价运用科学合理的方法，按照规范的程序，对项目绩效进行客观、公正的反映。</w:t>
      </w:r>
    </w:p>
    <w:p w14:paraId="3039DEB8">
      <w:pPr>
        <w:pageBreakBefore w:val="0"/>
        <w:kinsoku/>
        <w:wordWrap/>
        <w:overflowPunct/>
        <w:topLinePunct w:val="0"/>
        <w:autoSpaceDE/>
        <w:autoSpaceDN/>
        <w:bidi w:val="0"/>
        <w:adjustRightInd/>
        <w:snapToGrid/>
        <w:spacing w:line="560" w:lineRule="exact"/>
        <w:ind w:firstLine="640" w:firstLineChars="200"/>
        <w:textAlignment w:val="auto"/>
        <w:rPr>
          <w:rFonts w:ascii="仿宋_GB2312"/>
          <w:bCs/>
          <w:color w:val="auto"/>
          <w:sz w:val="32"/>
          <w:szCs w:val="32"/>
        </w:rPr>
      </w:pPr>
      <w:r>
        <w:rPr>
          <w:rFonts w:hint="eastAsia" w:ascii="仿宋_GB2312"/>
          <w:bCs/>
          <w:color w:val="auto"/>
          <w:sz w:val="32"/>
          <w:szCs w:val="32"/>
        </w:rPr>
        <w:t>（二）统筹兼顾。本次项目支出绩效评价由本单位自主实施，即“谁支出、谁自评”。</w:t>
      </w:r>
    </w:p>
    <w:p w14:paraId="3354B07C">
      <w:pPr>
        <w:pageBreakBefore w:val="0"/>
        <w:kinsoku/>
        <w:wordWrap/>
        <w:overflowPunct/>
        <w:topLinePunct w:val="0"/>
        <w:autoSpaceDE/>
        <w:autoSpaceDN/>
        <w:bidi w:val="0"/>
        <w:adjustRightInd/>
        <w:snapToGrid/>
        <w:spacing w:line="560" w:lineRule="exact"/>
        <w:ind w:firstLine="640" w:firstLineChars="200"/>
        <w:textAlignment w:val="auto"/>
        <w:rPr>
          <w:rFonts w:ascii="仿宋_GB2312"/>
          <w:bCs/>
          <w:color w:val="auto"/>
          <w:sz w:val="32"/>
          <w:szCs w:val="32"/>
        </w:rPr>
      </w:pPr>
      <w:r>
        <w:rPr>
          <w:rFonts w:hint="eastAsia" w:ascii="仿宋_GB2312"/>
          <w:bCs/>
          <w:color w:val="auto"/>
          <w:sz w:val="32"/>
          <w:szCs w:val="32"/>
        </w:rPr>
        <w:t>（三）激励约束。本次项目支出绩效评价结果与预算安排、政策调整、改进管理实质性挂钩，体现奖优罚劣和激励相容导向，有效要安排、低效要压减、无效要问责。</w:t>
      </w:r>
    </w:p>
    <w:p w14:paraId="71B2AA5D">
      <w:pPr>
        <w:pageBreakBefore w:val="0"/>
        <w:kinsoku/>
        <w:wordWrap/>
        <w:overflowPunct/>
        <w:topLinePunct w:val="0"/>
        <w:autoSpaceDE/>
        <w:autoSpaceDN/>
        <w:bidi w:val="0"/>
        <w:adjustRightInd/>
        <w:snapToGrid/>
        <w:spacing w:line="560" w:lineRule="exact"/>
        <w:ind w:firstLine="640" w:firstLineChars="200"/>
        <w:textAlignment w:val="auto"/>
        <w:rPr>
          <w:color w:val="auto"/>
        </w:rPr>
      </w:pPr>
      <w:r>
        <w:rPr>
          <w:rFonts w:hint="eastAsia" w:ascii="仿宋_GB2312"/>
          <w:bCs/>
          <w:color w:val="auto"/>
          <w:sz w:val="32"/>
          <w:szCs w:val="32"/>
        </w:rPr>
        <w:t>（四）公开透明。本次项目支出绩效评价结果已依法依规公开在网站上，并自觉接受社会监督。</w:t>
      </w:r>
    </w:p>
    <w:p w14:paraId="6288738F">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2、评价指标体系（附表说明）</w:t>
      </w:r>
    </w:p>
    <w:p w14:paraId="753C8648">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绩效评价框架是开展绩效评价的核心。绩效评价框架包括评价准则、关键评价问题、评价指标、数据来源、数据收集方法等。指标体系建立过程如下：</w:t>
      </w:r>
    </w:p>
    <w:p w14:paraId="6E19FFB2">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（1）确定评价指标</w:t>
      </w:r>
    </w:p>
    <w:p w14:paraId="4721FD83">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采用层次分析法，建立评价指标体系。绩效评价将指标分为项目决策指标、项目过程指标、项目产出指标、项目效益指标四个维度，最终形成一个由多个相互联系的指标组成的多层次指标体系。</w:t>
      </w:r>
    </w:p>
    <w:p w14:paraId="23754632">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（2）确定权重</w:t>
      </w:r>
    </w:p>
    <w:p w14:paraId="280957FE">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确定各个指标相对于项目总体绩效的权重分值。在绩效评价指标体系中，项目决策权重为20分，项目过程权重为20分，项目产出权重为40分，项目效益权重为20分。</w:t>
      </w:r>
    </w:p>
    <w:p w14:paraId="2B5FF6AF">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（3）确定指标标准值</w:t>
      </w:r>
    </w:p>
    <w:p w14:paraId="79F1EEE5">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指标标准值是绩效评价指标的尺度，既要反映同类项目的先进水平，又要符合项目的实际绩效水平。具体采用计划标准等确定此次绩效评价指标标准值。</w:t>
      </w:r>
    </w:p>
    <w:p w14:paraId="1F3695A8">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52E9E8E7">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3、评价方法</w:t>
      </w:r>
    </w:p>
    <w:p w14:paraId="6EBD9A7F">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绩效评价从项目决策、项目过程、项目产出、项目效益四个维度进行评价。评价对象为项目目标实施情况</w:t>
      </w:r>
      <w:r>
        <w:rPr>
          <w:rFonts w:hint="default" w:ascii="仿宋_GB2312"/>
          <w:color w:val="auto"/>
          <w:highlight w:val="none"/>
          <w:lang w:val="en-US" w:eastAsia="zh-CN"/>
        </w:rPr>
        <w:t>,</w:t>
      </w:r>
      <w:r>
        <w:rPr>
          <w:rFonts w:hint="eastAsia" w:ascii="仿宋_GB2312"/>
          <w:color w:val="auto"/>
          <w:highlight w:val="none"/>
          <w:lang w:val="en-US" w:eastAsia="zh-CN"/>
        </w:rPr>
        <w:t>评价核心为资金的支出完成情况和项目的产出效益。</w:t>
      </w:r>
    </w:p>
    <w:p w14:paraId="0734DDE4">
      <w:pPr>
        <w:widowControl/>
        <w:spacing w:line="540" w:lineRule="exact"/>
        <w:ind w:firstLine="600" w:firstLineChars="200"/>
        <w:rPr>
          <w:rFonts w:hint="eastAsia" w:ascii="仿宋_GB2312"/>
          <w:color w:val="auto"/>
          <w:highlight w:val="none"/>
          <w:lang w:val="en-US" w:eastAsia="zh-CN"/>
        </w:rPr>
      </w:pPr>
      <w:r>
        <w:rPr>
          <w:rFonts w:hint="eastAsia" w:ascii="仿宋_GB2312"/>
          <w:color w:val="auto"/>
          <w:highlight w:val="none"/>
          <w:lang w:val="en-US" w:eastAsia="zh-CN"/>
        </w:rPr>
        <w:t>本次评价指标中，既有定性指标又有定量指标，各类指标因考核内容不同和客观标准不同存在较大差异，因此核定具体指标时采用了最低成本法和公众评判方法，原因如下：在项目定价方面，我局采用公开招标的形式确定技术服务单位符合绩效目标确定的前提下，成本最小者为优的方法；对于项目质量和成效方面，支队采用专家评审和企业问卷的方式进行评价，符合通过专家评估、公众问卷及抽样调查等方式进行评判的方法。</w:t>
      </w:r>
    </w:p>
    <w:p w14:paraId="6E18AB8B">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评价标准</w:t>
      </w:r>
    </w:p>
    <w:p w14:paraId="6B811AEC">
      <w:pPr>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bCs/>
          <w:color w:val="auto"/>
          <w:sz w:val="32"/>
          <w:szCs w:val="32"/>
        </w:rPr>
      </w:pPr>
      <w:bookmarkStart w:id="6" w:name="_Toc68703833"/>
      <w:r>
        <w:rPr>
          <w:rFonts w:hint="eastAsia"/>
          <w:bCs/>
          <w:color w:val="auto"/>
          <w:sz w:val="32"/>
          <w:szCs w:val="32"/>
        </w:rPr>
        <w:t>本次项目支出绩效自评采用计划标准，原因是：采用计划标准是对项目支出绩效自评一种有力监管工具，体现事前制定的项目目标、项目计划、预算、定额等指标的严肃性，使决策者能够把精力集中在对项目价值最关键的决策上，确保项目支出的实施和目标的实现。</w:t>
      </w:r>
    </w:p>
    <w:p w14:paraId="2F8853B0">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（三）绩效评价工作过程。</w:t>
      </w:r>
      <w:bookmarkEnd w:id="6"/>
    </w:p>
    <w:p w14:paraId="507530D0">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bookmarkStart w:id="7" w:name="_Toc68703834"/>
      <w:r>
        <w:rPr>
          <w:rFonts w:hint="eastAsia" w:ascii="仿宋_GB2312"/>
          <w:color w:val="auto"/>
          <w:highlight w:val="none"/>
          <w:lang w:val="en-US" w:eastAsia="zh-CN"/>
        </w:rPr>
        <w:t>1.前期准备。巴州生态环境保护综合行政执法支队首先成立评价工作组，开展前期调研；其次明确项目绩效目标，设计绩效评价指标体系并确定绩效评价方法；接着确定现场和非现场评价范围，设计资料清单；最后制定评价实施方案并进行论证。</w:t>
      </w:r>
    </w:p>
    <w:p w14:paraId="0E59EE4A">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2.组织实施。制定绩效评价工作方案，具体包括项目概况、评价思路、方法手段、组织实施、进度安排等。收集项目立项依据、相关会议纪要、实施方案、财政资金分配方案、支付管理情况等相关评价资料并进行梳理。</w:t>
      </w:r>
    </w:p>
    <w:p w14:paraId="1A097915">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3.分析评价。根据收集梳理的资料围绕项目立项、资金落实、业务管理、财务管理、项目产出、项目效益等内容，对照已确定的绩效评价指标进行详细全面的分析评价，逐项打分并形成绩效评价最终结果。</w:t>
      </w:r>
    </w:p>
    <w:p w14:paraId="2D1000FB">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7"/>
    </w:p>
    <w:p w14:paraId="7C083162">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eastAsia="zh-CN"/>
        </w:rPr>
      </w:pPr>
      <w:bookmarkStart w:id="8" w:name="_Toc68703835"/>
      <w:r>
        <w:rPr>
          <w:rFonts w:hint="eastAsia" w:ascii="仿宋_GB2312" w:eastAsia="仿宋_GB2312"/>
          <w:b w:val="0"/>
          <w:bCs w:val="0"/>
        </w:rPr>
        <w:t>（一）综合评价情况</w:t>
      </w:r>
      <w:bookmarkEnd w:id="8"/>
      <w:r>
        <w:rPr>
          <w:rFonts w:hint="eastAsia" w:ascii="仿宋_GB2312" w:eastAsia="仿宋_GB2312"/>
          <w:b w:val="0"/>
          <w:bCs w:val="0"/>
          <w:lang w:eastAsia="zh-CN"/>
        </w:rPr>
        <w:t>及评价结论</w:t>
      </w:r>
    </w:p>
    <w:p w14:paraId="1359C629">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1.综合评价情况：本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77E34D44">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本项目严格按照科学公正、统筹兼顾、激励约束、公开透明的绩效评价原则，采用最低成本法和公众评判方法，坚持计划标准对本项目的立项、绩效目标、资金投入、资金管理、组织实施、产出数量、产出质量、产出时效、产出成本、项目效益进行了综合评价。</w:t>
      </w:r>
    </w:p>
    <w:p w14:paraId="45A67C04">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9" w:name="_Toc68703836"/>
      <w:r>
        <w:rPr>
          <w:rFonts w:hint="eastAsia" w:ascii="仿宋_GB2312" w:eastAsia="仿宋_GB2312"/>
          <w:b w:val="0"/>
          <w:bCs w:val="0"/>
          <w:lang w:val="en-US" w:eastAsia="zh-CN"/>
        </w:rPr>
        <w:t>2.</w:t>
      </w:r>
      <w:r>
        <w:rPr>
          <w:rFonts w:hint="eastAsia" w:ascii="仿宋_GB2312" w:eastAsia="仿宋_GB2312"/>
          <w:b w:val="0"/>
          <w:bCs w:val="0"/>
        </w:rPr>
        <w:t>评价结论</w:t>
      </w:r>
      <w:bookmarkEnd w:id="9"/>
    </w:p>
    <w:p w14:paraId="0F705AAD">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运用绩效评价组制定的评价指标体系以及财政部《项目支出绩效评价管理办法》（财预〔2020〕10号）文件的评分标准，通过数据采集、问卷调查及访谈等方式，对本项目进行客观评价，最终评分结果：总得分为 93.89分，属于“优（良/中/差）”。其中，项目决策类指标权重为20分，得分为 20分，得分率为 100%。项目过程类指标权重为20分，得分为20分，得分率为 100%。项目产出类指标权重为40分，得分为33.89分，得分率为 84.72%。项目效益类指标权重为20分，得分为20分，得分率为100%。</w:t>
      </w:r>
    </w:p>
    <w:p w14:paraId="51D0A8A9">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rPr>
        <w:t>（</w:t>
      </w:r>
      <w:r>
        <w:rPr>
          <w:rFonts w:hint="eastAsia" w:ascii="仿宋_GB2312" w:eastAsia="仿宋_GB2312"/>
          <w:b w:val="0"/>
          <w:bCs w:val="0"/>
          <w:highlight w:val="none"/>
          <w:lang w:eastAsia="zh-CN"/>
        </w:rPr>
        <w:t>二</w:t>
      </w:r>
      <w:r>
        <w:rPr>
          <w:rFonts w:hint="eastAsia" w:ascii="仿宋_GB2312" w:eastAsia="仿宋_GB2312"/>
          <w:b w:val="0"/>
          <w:bCs w:val="0"/>
          <w:highlight w:val="none"/>
        </w:rPr>
        <w:t>）</w:t>
      </w:r>
      <w:r>
        <w:rPr>
          <w:rFonts w:hint="eastAsia" w:ascii="仿宋_GB2312" w:eastAsia="仿宋_GB2312"/>
          <w:b w:val="0"/>
          <w:bCs w:val="0"/>
          <w:highlight w:val="none"/>
          <w:lang w:eastAsia="zh-CN"/>
        </w:rPr>
        <w:t>相关评分表</w:t>
      </w:r>
    </w:p>
    <w:p w14:paraId="6D21D7BF">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具体打分情况详见：附件1综合评分表</w:t>
      </w:r>
      <w:r>
        <w:rPr>
          <w:rFonts w:hint="eastAsia" w:ascii="Times New Roman" w:hAnsi="Times New Roman" w:eastAsia="仿宋_GB2312"/>
          <w:b w:val="0"/>
          <w:bCs w:val="0"/>
          <w:highlight w:val="none"/>
          <w:lang w:eastAsia="zh-CN"/>
        </w:rPr>
        <w:t>。</w:t>
      </w:r>
    </w:p>
    <w:p w14:paraId="2949FC8F">
      <w:pPr>
        <w:pageBreakBefore w:val="0"/>
        <w:kinsoku/>
        <w:wordWrap/>
        <w:overflowPunct/>
        <w:topLinePunct w:val="0"/>
        <w:autoSpaceDE/>
        <w:autoSpaceDN/>
        <w:bidi w:val="0"/>
        <w:adjustRightInd/>
        <w:snapToGrid/>
        <w:spacing w:line="560" w:lineRule="exact"/>
        <w:ind w:firstLine="600" w:firstLineChars="200"/>
        <w:jc w:val="center"/>
        <w:textAlignment w:val="auto"/>
        <w:rPr>
          <w:color w:val="auto"/>
        </w:rPr>
      </w:pPr>
      <w:r>
        <w:rPr>
          <w:rFonts w:hint="eastAsia"/>
          <w:color w:val="auto"/>
          <w:lang w:val="en-US" w:eastAsia="zh-CN"/>
        </w:rPr>
        <w:t>2023年度生态环境综合执法经费</w:t>
      </w:r>
      <w:r>
        <w:rPr>
          <w:rFonts w:hint="eastAsia"/>
          <w:color w:val="auto"/>
        </w:rPr>
        <w:t>项目评价得分情况</w:t>
      </w:r>
    </w:p>
    <w:tbl>
      <w:tblPr>
        <w:tblStyle w:val="10"/>
        <w:tblW w:w="7583" w:type="dxa"/>
        <w:jc w:val="center"/>
        <w:tblLayout w:type="fixed"/>
        <w:tblCellMar>
          <w:top w:w="0" w:type="dxa"/>
          <w:left w:w="108" w:type="dxa"/>
          <w:bottom w:w="0" w:type="dxa"/>
          <w:right w:w="108" w:type="dxa"/>
        </w:tblCellMar>
      </w:tblPr>
      <w:tblGrid>
        <w:gridCol w:w="3137"/>
        <w:gridCol w:w="2168"/>
        <w:gridCol w:w="2278"/>
      </w:tblGrid>
      <w:tr w14:paraId="523E4E4D">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1D2AFA4F">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auto"/>
                <w:sz w:val="22"/>
              </w:rPr>
            </w:pPr>
            <w:r>
              <w:rPr>
                <w:rFonts w:hint="eastAsia"/>
                <w:b/>
                <w:bCs/>
                <w:color w:val="auto"/>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C9600EE">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auto"/>
                <w:sz w:val="22"/>
              </w:rPr>
            </w:pPr>
            <w:r>
              <w:rPr>
                <w:rFonts w:hint="eastAsia"/>
                <w:b/>
                <w:bCs/>
                <w:color w:val="auto"/>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78919133">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auto"/>
                <w:sz w:val="22"/>
              </w:rPr>
            </w:pPr>
            <w:r>
              <w:rPr>
                <w:rFonts w:hint="eastAsia"/>
                <w:b/>
                <w:bCs/>
                <w:color w:val="auto"/>
                <w:sz w:val="22"/>
              </w:rPr>
              <w:t>得分</w:t>
            </w:r>
          </w:p>
        </w:tc>
      </w:tr>
      <w:tr w14:paraId="56C1657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387455F">
            <w:pPr>
              <w:pageBreakBefore w:val="0"/>
              <w:kinsoku/>
              <w:wordWrap/>
              <w:overflowPunct/>
              <w:topLinePunct w:val="0"/>
              <w:autoSpaceDE/>
              <w:autoSpaceDN/>
              <w:bidi w:val="0"/>
              <w:adjustRightInd/>
              <w:snapToGrid/>
              <w:spacing w:line="560" w:lineRule="exact"/>
              <w:ind w:firstLine="440" w:firstLineChars="200"/>
              <w:jc w:val="center"/>
              <w:textAlignment w:val="auto"/>
              <w:rPr>
                <w:color w:val="auto"/>
                <w:sz w:val="22"/>
              </w:rPr>
            </w:pPr>
            <w:r>
              <w:rPr>
                <w:rFonts w:hint="eastAsia"/>
                <w:color w:val="auto"/>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53F1A9F8">
            <w:pPr>
              <w:spacing w:line="500" w:lineRule="exact"/>
              <w:jc w:val="center"/>
              <w:rPr>
                <w:rFonts w:hint="default" w:ascii="Times New Roman" w:hAnsi="Times New Roman" w:eastAsia="仿宋_GB2312" w:cs="Times New Roman"/>
                <w:color w:val="auto"/>
                <w:kern w:val="2"/>
                <w:sz w:val="30"/>
                <w:szCs w:val="24"/>
                <w:highlight w:val="none"/>
                <w:lang w:val="en-US" w:eastAsia="zh-CN" w:bidi="ar-SA"/>
              </w:rPr>
            </w:pPr>
            <w:r>
              <w:rPr>
                <w:rFonts w:hint="eastAsia"/>
                <w:color w:val="auto"/>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A76F1C7">
            <w:pPr>
              <w:spacing w:line="500" w:lineRule="exact"/>
              <w:jc w:val="center"/>
              <w:rPr>
                <w:rFonts w:hint="default" w:ascii="Times New Roman" w:hAnsi="Times New Roman" w:eastAsia="仿宋_GB2312" w:cs="Times New Roman"/>
                <w:color w:val="auto"/>
                <w:kern w:val="2"/>
                <w:sz w:val="30"/>
                <w:szCs w:val="24"/>
                <w:highlight w:val="none"/>
                <w:lang w:val="en-US" w:eastAsia="zh-CN" w:bidi="ar-SA"/>
              </w:rPr>
            </w:pPr>
            <w:r>
              <w:rPr>
                <w:rFonts w:hint="eastAsia"/>
                <w:color w:val="auto"/>
                <w:sz w:val="22"/>
                <w:highlight w:val="none"/>
                <w:lang w:val="en-US" w:eastAsia="zh-CN"/>
              </w:rPr>
              <w:t>20</w:t>
            </w:r>
          </w:p>
        </w:tc>
      </w:tr>
      <w:tr w14:paraId="539D5F5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EB32F50">
            <w:pPr>
              <w:pageBreakBefore w:val="0"/>
              <w:kinsoku/>
              <w:wordWrap/>
              <w:overflowPunct/>
              <w:topLinePunct w:val="0"/>
              <w:autoSpaceDE/>
              <w:autoSpaceDN/>
              <w:bidi w:val="0"/>
              <w:adjustRightInd/>
              <w:snapToGrid/>
              <w:spacing w:line="560" w:lineRule="exact"/>
              <w:ind w:firstLine="440" w:firstLineChars="200"/>
              <w:jc w:val="center"/>
              <w:textAlignment w:val="auto"/>
              <w:rPr>
                <w:color w:val="auto"/>
                <w:sz w:val="22"/>
              </w:rPr>
            </w:pPr>
            <w:r>
              <w:rPr>
                <w:rFonts w:hint="eastAsia"/>
                <w:color w:val="auto"/>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22DCDD3E">
            <w:pPr>
              <w:spacing w:line="500" w:lineRule="exact"/>
              <w:jc w:val="center"/>
              <w:rPr>
                <w:rFonts w:hint="default" w:ascii="Times New Roman" w:hAnsi="Times New Roman" w:eastAsia="仿宋_GB2312" w:cs="Times New Roman"/>
                <w:color w:val="auto"/>
                <w:kern w:val="2"/>
                <w:sz w:val="30"/>
                <w:szCs w:val="24"/>
                <w:highlight w:val="none"/>
                <w:lang w:val="en-US" w:eastAsia="zh-CN" w:bidi="ar-SA"/>
              </w:rPr>
            </w:pPr>
            <w:r>
              <w:rPr>
                <w:rFonts w:hint="eastAsia"/>
                <w:color w:val="auto"/>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B41237B">
            <w:pPr>
              <w:spacing w:line="500" w:lineRule="exact"/>
              <w:jc w:val="center"/>
              <w:rPr>
                <w:rFonts w:hint="default" w:ascii="Times New Roman" w:hAnsi="Times New Roman" w:eastAsia="仿宋_GB2312" w:cs="Times New Roman"/>
                <w:color w:val="auto"/>
                <w:kern w:val="2"/>
                <w:sz w:val="30"/>
                <w:szCs w:val="24"/>
                <w:highlight w:val="none"/>
                <w:lang w:val="en-US" w:eastAsia="zh-CN" w:bidi="ar-SA"/>
              </w:rPr>
            </w:pPr>
            <w:r>
              <w:rPr>
                <w:rFonts w:hint="eastAsia"/>
                <w:color w:val="auto"/>
                <w:sz w:val="22"/>
                <w:highlight w:val="none"/>
                <w:lang w:val="en-US" w:eastAsia="zh-CN"/>
              </w:rPr>
              <w:t>20</w:t>
            </w:r>
          </w:p>
        </w:tc>
      </w:tr>
      <w:tr w14:paraId="443BADE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5452AF6">
            <w:pPr>
              <w:pageBreakBefore w:val="0"/>
              <w:kinsoku/>
              <w:wordWrap/>
              <w:overflowPunct/>
              <w:topLinePunct w:val="0"/>
              <w:autoSpaceDE/>
              <w:autoSpaceDN/>
              <w:bidi w:val="0"/>
              <w:adjustRightInd/>
              <w:snapToGrid/>
              <w:spacing w:line="560" w:lineRule="exact"/>
              <w:ind w:firstLine="440" w:firstLineChars="200"/>
              <w:jc w:val="center"/>
              <w:textAlignment w:val="auto"/>
              <w:rPr>
                <w:color w:val="auto"/>
                <w:sz w:val="22"/>
              </w:rPr>
            </w:pPr>
            <w:r>
              <w:rPr>
                <w:rFonts w:hint="eastAsia"/>
                <w:color w:val="auto"/>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1CE3B0DD">
            <w:pPr>
              <w:spacing w:line="500" w:lineRule="exact"/>
              <w:jc w:val="center"/>
              <w:rPr>
                <w:rFonts w:hint="default"/>
                <w:color w:val="auto"/>
                <w:sz w:val="22"/>
                <w:highlight w:val="none"/>
                <w:lang w:val="en-US" w:eastAsia="zh-CN"/>
              </w:rPr>
            </w:pPr>
            <w:r>
              <w:rPr>
                <w:rFonts w:hint="eastAsia"/>
                <w:color w:val="auto"/>
                <w:sz w:val="22"/>
                <w:highlight w:val="none"/>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0D9E5FC2">
            <w:pPr>
              <w:spacing w:line="500" w:lineRule="exact"/>
              <w:jc w:val="center"/>
              <w:rPr>
                <w:rFonts w:hint="default"/>
                <w:color w:val="auto"/>
                <w:sz w:val="22"/>
                <w:highlight w:val="none"/>
                <w:lang w:val="en-US" w:eastAsia="zh-CN"/>
              </w:rPr>
            </w:pPr>
            <w:r>
              <w:rPr>
                <w:rFonts w:hint="eastAsia"/>
                <w:color w:val="auto"/>
                <w:sz w:val="22"/>
                <w:highlight w:val="none"/>
                <w:lang w:val="en-US" w:eastAsia="zh-CN"/>
              </w:rPr>
              <w:t>33.89</w:t>
            </w:r>
          </w:p>
        </w:tc>
      </w:tr>
      <w:tr w14:paraId="68DA6DD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75FBCBF">
            <w:pPr>
              <w:pageBreakBefore w:val="0"/>
              <w:kinsoku/>
              <w:wordWrap/>
              <w:overflowPunct/>
              <w:topLinePunct w:val="0"/>
              <w:autoSpaceDE/>
              <w:autoSpaceDN/>
              <w:bidi w:val="0"/>
              <w:adjustRightInd/>
              <w:snapToGrid/>
              <w:spacing w:line="560" w:lineRule="exact"/>
              <w:ind w:firstLine="440" w:firstLineChars="200"/>
              <w:jc w:val="center"/>
              <w:textAlignment w:val="auto"/>
              <w:rPr>
                <w:color w:val="auto"/>
                <w:sz w:val="22"/>
              </w:rPr>
            </w:pPr>
            <w:r>
              <w:rPr>
                <w:rFonts w:hint="eastAsia"/>
                <w:color w:val="auto"/>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01808035">
            <w:pPr>
              <w:spacing w:line="500" w:lineRule="exact"/>
              <w:jc w:val="center"/>
              <w:rPr>
                <w:rFonts w:hint="default"/>
                <w:color w:val="auto"/>
                <w:sz w:val="22"/>
                <w:highlight w:val="none"/>
                <w:lang w:val="en-US" w:eastAsia="zh-CN"/>
              </w:rPr>
            </w:pPr>
            <w:r>
              <w:rPr>
                <w:rFonts w:hint="eastAsia"/>
                <w:color w:val="auto"/>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E0937E9">
            <w:pPr>
              <w:spacing w:line="500" w:lineRule="exact"/>
              <w:jc w:val="center"/>
              <w:rPr>
                <w:rFonts w:hint="default"/>
                <w:color w:val="auto"/>
                <w:sz w:val="22"/>
                <w:highlight w:val="none"/>
                <w:lang w:val="en-US" w:eastAsia="zh-CN"/>
              </w:rPr>
            </w:pPr>
            <w:r>
              <w:rPr>
                <w:rFonts w:hint="eastAsia"/>
                <w:color w:val="auto"/>
                <w:sz w:val="22"/>
                <w:highlight w:val="none"/>
                <w:lang w:val="en-US" w:eastAsia="zh-CN"/>
              </w:rPr>
              <w:t>20</w:t>
            </w:r>
          </w:p>
        </w:tc>
      </w:tr>
      <w:tr w14:paraId="69F40CF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EFB2B80">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auto"/>
                <w:sz w:val="22"/>
              </w:rPr>
            </w:pPr>
            <w:r>
              <w:rPr>
                <w:rFonts w:hint="eastAsia" w:cs="宋体"/>
                <w:b/>
                <w:bCs/>
                <w:color w:val="auto"/>
                <w:sz w:val="22"/>
              </w:rPr>
              <w:t>合计</w:t>
            </w:r>
          </w:p>
        </w:tc>
        <w:tc>
          <w:tcPr>
            <w:tcW w:w="2168" w:type="dxa"/>
            <w:tcBorders>
              <w:top w:val="nil"/>
              <w:left w:val="nil"/>
              <w:bottom w:val="single" w:color="auto" w:sz="4" w:space="0"/>
              <w:right w:val="single" w:color="auto" w:sz="4" w:space="0"/>
            </w:tcBorders>
            <w:shd w:val="clear" w:color="auto" w:fill="auto"/>
            <w:vAlign w:val="center"/>
          </w:tcPr>
          <w:p w14:paraId="3CA61B38">
            <w:pPr>
              <w:spacing w:line="500" w:lineRule="exact"/>
              <w:jc w:val="center"/>
              <w:rPr>
                <w:rFonts w:hint="eastAsia"/>
                <w:color w:val="auto"/>
                <w:sz w:val="22"/>
                <w:highlight w:val="none"/>
                <w:lang w:val="en-US" w:eastAsia="zh-CN"/>
              </w:rPr>
            </w:pPr>
            <w:r>
              <w:rPr>
                <w:rFonts w:hint="eastAsia"/>
                <w:color w:val="auto"/>
                <w:sz w:val="22"/>
                <w:highlight w:val="none"/>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07CC7B9F">
            <w:pPr>
              <w:spacing w:line="500" w:lineRule="exact"/>
              <w:jc w:val="center"/>
              <w:rPr>
                <w:rFonts w:hint="default"/>
                <w:color w:val="auto"/>
                <w:sz w:val="22"/>
                <w:highlight w:val="none"/>
                <w:lang w:val="en-US" w:eastAsia="zh-CN"/>
              </w:rPr>
            </w:pPr>
            <w:r>
              <w:rPr>
                <w:rFonts w:hint="eastAsia"/>
                <w:color w:val="auto"/>
                <w:sz w:val="22"/>
                <w:highlight w:val="none"/>
                <w:lang w:val="en-US" w:eastAsia="zh-CN"/>
              </w:rPr>
              <w:t>93.89</w:t>
            </w:r>
          </w:p>
        </w:tc>
      </w:tr>
    </w:tbl>
    <w:p w14:paraId="45C589CC">
      <w:pPr>
        <w:pStyle w:val="2"/>
        <w:pageBreakBefore w:val="0"/>
        <w:kinsoku/>
        <w:wordWrap/>
        <w:overflowPunct/>
        <w:topLinePunct w:val="0"/>
        <w:autoSpaceDE/>
        <w:autoSpaceDN/>
        <w:bidi w:val="0"/>
        <w:adjustRightInd/>
        <w:snapToGrid/>
        <w:spacing w:before="0" w:after="0" w:line="560" w:lineRule="exact"/>
        <w:ind w:firstLine="640" w:firstLineChars="200"/>
        <w:jc w:val="center"/>
        <w:textAlignment w:val="auto"/>
        <w:rPr>
          <w:color w:val="auto"/>
        </w:rPr>
      </w:pPr>
    </w:p>
    <w:p w14:paraId="5D0FB70C">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14:paraId="7BFD4F88">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1" w:name="_Toc68703838"/>
      <w:r>
        <w:rPr>
          <w:rFonts w:hint="eastAsia" w:ascii="仿宋_GB2312" w:eastAsia="仿宋_GB2312"/>
          <w:b w:val="0"/>
          <w:bCs w:val="0"/>
        </w:rPr>
        <w:t>（一）项目决策情况。</w:t>
      </w:r>
      <w:bookmarkEnd w:id="11"/>
    </w:p>
    <w:p w14:paraId="35364C45">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立项依据充分性</w:t>
      </w:r>
    </w:p>
    <w:p w14:paraId="50920D96">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green"/>
          <w:lang w:val="en-US" w:eastAsia="zh-CN"/>
        </w:rPr>
      </w:pPr>
      <w:r>
        <w:rPr>
          <w:rFonts w:hint="default" w:ascii="仿宋_GB2312"/>
          <w:color w:val="auto"/>
          <w:highlight w:val="none"/>
          <w:lang w:val="en-US" w:eastAsia="zh-CN"/>
        </w:rPr>
        <w:t>2023</w:t>
      </w:r>
      <w:r>
        <w:rPr>
          <w:rFonts w:hint="eastAsia" w:ascii="仿宋_GB2312"/>
          <w:color w:val="auto"/>
          <w:highlight w:val="none"/>
          <w:lang w:val="en-US" w:eastAsia="zh-CN"/>
        </w:rPr>
        <w:t>年度生态环境执法经费项目立项依据《2023年巴州生态环境保护综合行政执法工作要点》、《2023年巴州生态环境信访工作要点》、《2023年巴州生态环境保护现场执法计划》、《2023年巴州生态环境执法稽查工作方案》、《2023年巴州生态环境保护综合行政执法法治宣传教育和培训方案》等，</w:t>
      </w:r>
      <w:r>
        <w:rPr>
          <w:rFonts w:hint="default" w:ascii="仿宋_GB2312"/>
          <w:color w:val="auto"/>
          <w:highlight w:val="none"/>
          <w:lang w:val="en-US" w:eastAsia="zh-CN"/>
        </w:rPr>
        <w:t>立项依据符合国家法律法规、国民经济发展规划和相关政策</w:t>
      </w:r>
      <w:r>
        <w:rPr>
          <w:rFonts w:hint="eastAsia" w:ascii="仿宋_GB2312"/>
          <w:color w:val="auto"/>
          <w:highlight w:val="none"/>
          <w:lang w:val="en-US" w:eastAsia="zh-CN"/>
        </w:rPr>
        <w:t>，</w:t>
      </w:r>
      <w:r>
        <w:rPr>
          <w:rFonts w:hint="default" w:ascii="仿宋_GB2312"/>
          <w:color w:val="auto"/>
          <w:highlight w:val="none"/>
          <w:lang w:val="en-US" w:eastAsia="zh-CN"/>
        </w:rPr>
        <w:t>与部门职责范围相符，属于部门履职所需</w:t>
      </w:r>
      <w:r>
        <w:rPr>
          <w:rFonts w:hint="eastAsia" w:ascii="仿宋_GB2312"/>
          <w:color w:val="auto"/>
          <w:highlight w:val="none"/>
          <w:lang w:val="en-US" w:eastAsia="zh-CN"/>
        </w:rPr>
        <w:t>；</w:t>
      </w:r>
      <w:r>
        <w:rPr>
          <w:rFonts w:hint="default" w:ascii="仿宋_GB2312"/>
          <w:color w:val="auto"/>
          <w:highlight w:val="none"/>
          <w:lang w:val="en-US" w:eastAsia="zh-CN"/>
        </w:rPr>
        <w:t>项目属于公共财政支持范围，符合中央、地方事权支出责任划分原则；</w:t>
      </w:r>
      <w:r>
        <w:rPr>
          <w:rFonts w:hint="eastAsia" w:ascii="仿宋_GB2312"/>
          <w:color w:val="auto"/>
          <w:highlight w:val="none"/>
          <w:lang w:val="en-US" w:eastAsia="zh-CN"/>
        </w:rPr>
        <w:t>与相关部门同类项目不重复。</w:t>
      </w:r>
    </w:p>
    <w:p w14:paraId="1FACDCEF">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color w:val="auto"/>
          <w:highlight w:val="none"/>
          <w:lang w:val="en-US" w:eastAsia="zh-CN"/>
        </w:rPr>
      </w:pPr>
      <w:r>
        <w:rPr>
          <w:rFonts w:hint="eastAsia" w:ascii="仿宋_GB2312"/>
          <w:color w:val="auto"/>
          <w:highlight w:val="none"/>
          <w:lang w:val="en-US" w:eastAsia="zh-CN"/>
        </w:rPr>
        <w:t>此项权重分4分，得分4分。</w:t>
      </w:r>
    </w:p>
    <w:p w14:paraId="2EEE9AF8">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立项程序规范性</w:t>
      </w:r>
    </w:p>
    <w:p w14:paraId="2AC95B3C">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green"/>
          <w:lang w:val="en-US" w:eastAsia="zh-CN"/>
        </w:rPr>
      </w:pPr>
      <w:r>
        <w:rPr>
          <w:rFonts w:hint="default" w:ascii="仿宋_GB2312"/>
          <w:color w:val="auto"/>
          <w:highlight w:val="none"/>
          <w:lang w:val="en-US" w:eastAsia="zh-CN"/>
        </w:rPr>
        <w:t>2023</w:t>
      </w:r>
      <w:r>
        <w:rPr>
          <w:rFonts w:hint="eastAsia" w:ascii="仿宋_GB2312"/>
          <w:color w:val="auto"/>
          <w:highlight w:val="none"/>
          <w:lang w:val="en-US" w:eastAsia="zh-CN"/>
        </w:rPr>
        <w:t>年度生态环境执法经费项目申请、设立过程符合相关要求，</w:t>
      </w:r>
      <w:r>
        <w:rPr>
          <w:rFonts w:hint="eastAsia" w:ascii="仿宋_GB2312"/>
          <w:color w:val="auto"/>
          <w:highlight w:val="none"/>
          <w:lang w:val="en-US" w:eastAsia="zh-Hans"/>
        </w:rPr>
        <w:t>严格按照审批流程准备符合要求的文件、材料；</w:t>
      </w:r>
      <w:r>
        <w:rPr>
          <w:rFonts w:hint="eastAsia" w:ascii="仿宋_GB2312"/>
          <w:color w:val="auto"/>
          <w:highlight w:val="none"/>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0CE02CB4">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color w:val="auto"/>
          <w:highlight w:val="none"/>
          <w:lang w:val="en-US" w:eastAsia="zh-CN"/>
        </w:rPr>
      </w:pPr>
      <w:r>
        <w:rPr>
          <w:rFonts w:hint="eastAsia" w:ascii="仿宋_GB2312"/>
          <w:color w:val="auto"/>
          <w:highlight w:val="none"/>
          <w:lang w:val="en-US" w:eastAsia="zh-CN"/>
        </w:rPr>
        <w:t>此项权重分4分，得分4分。</w:t>
      </w:r>
    </w:p>
    <w:p w14:paraId="49B8DA03">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绩效目标合理性</w:t>
      </w:r>
    </w:p>
    <w:p w14:paraId="44583081">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default" w:ascii="仿宋_GB2312"/>
          <w:color w:val="auto"/>
          <w:highlight w:val="none"/>
          <w:lang w:val="en-US" w:eastAsia="zh-CN"/>
        </w:rPr>
        <w:t>2023</w:t>
      </w:r>
      <w:r>
        <w:rPr>
          <w:rFonts w:hint="eastAsia" w:ascii="仿宋_GB2312"/>
          <w:color w:val="auto"/>
          <w:highlight w:val="none"/>
          <w:lang w:val="en-US" w:eastAsia="zh-CN"/>
        </w:rPr>
        <w:t>年度生态环境执法经费项目设立了项目绩效目标，与巴州生态环境执法、污染防治等工作具有相关性，项目的预期产出效益和效果也均能符合正常的业绩水平，并且与预算确定的项目投资额或资金量相匹配。</w:t>
      </w:r>
    </w:p>
    <w:p w14:paraId="5A47D282">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此项权重分4分，得分4分。</w:t>
      </w:r>
    </w:p>
    <w:p w14:paraId="69A331F9">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绩效指标明确性</w:t>
      </w:r>
    </w:p>
    <w:p w14:paraId="465A2E27">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bookmarkStart w:id="12" w:name="_Hlk68699917"/>
      <w:r>
        <w:rPr>
          <w:rFonts w:hint="default" w:ascii="仿宋_GB2312"/>
          <w:color w:val="auto"/>
          <w:highlight w:val="none"/>
          <w:lang w:val="en-US" w:eastAsia="zh-CN"/>
        </w:rPr>
        <w:t>2023</w:t>
      </w:r>
      <w:r>
        <w:rPr>
          <w:rFonts w:hint="eastAsia" w:ascii="仿宋_GB2312"/>
          <w:color w:val="auto"/>
          <w:highlight w:val="none"/>
          <w:lang w:val="en-US" w:eastAsia="zh-CN"/>
        </w:rPr>
        <w:t>年度生态环境执法经费项目将项目绩效目标细化分解为具体的绩效指标，一级指标共4条，二级指标共6条，三级指标共18条，其中量化指标条数共16条，所有绩效指标均通过清晰、可衡量的指标值予以体现，并且做到了与项目目标任务数相对应。</w:t>
      </w:r>
      <w:bookmarkEnd w:id="12"/>
    </w:p>
    <w:p w14:paraId="6675E0BC">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此项权重分4分，得分4分。</w:t>
      </w:r>
    </w:p>
    <w:p w14:paraId="43B35E1F">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预算编制科学性</w:t>
      </w:r>
    </w:p>
    <w:p w14:paraId="5C40D835">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default" w:ascii="仿宋_GB2312"/>
          <w:color w:val="auto"/>
          <w:highlight w:val="none"/>
          <w:lang w:val="en-US" w:eastAsia="zh-CN"/>
        </w:rPr>
        <w:t>2023</w:t>
      </w:r>
      <w:r>
        <w:rPr>
          <w:rFonts w:hint="eastAsia" w:ascii="仿宋_GB2312"/>
          <w:color w:val="auto"/>
          <w:highlight w:val="none"/>
          <w:lang w:val="en-US" w:eastAsia="zh-CN"/>
        </w:rPr>
        <w:t>年度生态环境执法经费项目预算编制经过科学论证，预算内容与项目内容有效匹配，预算额度测算依据充分并按照标准编制，预算确定的项目投资额能够与工作任务相匹配。</w:t>
      </w:r>
    </w:p>
    <w:p w14:paraId="7199A83B">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此项权重分2分，得分2分。</w:t>
      </w:r>
    </w:p>
    <w:p w14:paraId="06ACC105">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6</w:t>
      </w:r>
      <w:r>
        <w:rPr>
          <w:rFonts w:hint="eastAsia"/>
          <w:lang w:val="en-US" w:eastAsia="zh-CN"/>
        </w:rPr>
        <w:t>.</w:t>
      </w:r>
      <w:r>
        <w:rPr>
          <w:rFonts w:hint="eastAsia"/>
        </w:rPr>
        <w:t>资金分配合理性</w:t>
      </w:r>
    </w:p>
    <w:p w14:paraId="3EA7944B">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巴州生态环境保护综合行政执法项目预算资金分配依据充分；资金分配额度合理，与巴州本地实际相适应。</w:t>
      </w:r>
    </w:p>
    <w:p w14:paraId="4AABAE46">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此项权重分2分，得分2分。</w:t>
      </w:r>
    </w:p>
    <w:p w14:paraId="346BC009">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3" w:name="_Toc68703839"/>
      <w:r>
        <w:rPr>
          <w:rFonts w:hint="eastAsia" w:ascii="仿宋_GB2312" w:eastAsia="仿宋_GB2312"/>
          <w:b w:val="0"/>
          <w:bCs w:val="0"/>
        </w:rPr>
        <w:t>（二）项目过程情况。</w:t>
      </w:r>
      <w:bookmarkEnd w:id="13"/>
    </w:p>
    <w:p w14:paraId="29E26F19">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资金到位率：</w:t>
      </w:r>
    </w:p>
    <w:p w14:paraId="61A5E0F3">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预算资金97万元，实际到位资金97万元，资金到位率100%。</w:t>
      </w:r>
    </w:p>
    <w:p w14:paraId="6EA13568">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此项权重分4分，得分4分。</w:t>
      </w:r>
    </w:p>
    <w:p w14:paraId="760E9AAF">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预算执行率</w:t>
      </w:r>
    </w:p>
    <w:p w14:paraId="7F671F98">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年初预算数97万元，全年预算数97万元，全年执行数97万元，预算执行率为100%。</w:t>
      </w:r>
    </w:p>
    <w:p w14:paraId="3FCC9B67">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此项权重分4分，得分4分。</w:t>
      </w:r>
    </w:p>
    <w:p w14:paraId="0098C021">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资金使用合规性</w:t>
      </w:r>
    </w:p>
    <w:p w14:paraId="079596E6">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default" w:ascii="仿宋_GB2312"/>
          <w:color w:val="auto"/>
          <w:highlight w:val="none"/>
          <w:lang w:val="en-US" w:eastAsia="zh-CN"/>
        </w:rPr>
        <w:t>2023</w:t>
      </w:r>
      <w:r>
        <w:rPr>
          <w:rFonts w:hint="eastAsia" w:ascii="仿宋_GB2312"/>
          <w:color w:val="auto"/>
          <w:highlight w:val="none"/>
          <w:lang w:val="en-US" w:eastAsia="zh-CN"/>
        </w:rPr>
        <w:t>年度生态环境执法经费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23299305">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此项权重分4分，得分4分。</w:t>
      </w:r>
    </w:p>
    <w:p w14:paraId="4CCB462A">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管理制度健全性</w:t>
      </w:r>
    </w:p>
    <w:p w14:paraId="0D4AFD58">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default" w:ascii="仿宋_GB2312"/>
          <w:color w:val="auto"/>
          <w:highlight w:val="none"/>
          <w:lang w:val="en-US" w:eastAsia="zh-CN"/>
        </w:rPr>
        <w:t>2023</w:t>
      </w:r>
      <w:r>
        <w:rPr>
          <w:rFonts w:hint="eastAsia" w:ascii="仿宋_GB2312"/>
          <w:color w:val="auto"/>
          <w:highlight w:val="none"/>
          <w:lang w:val="en-US" w:eastAsia="zh-CN"/>
        </w:rPr>
        <w:t>年度生态环境执法经费项目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21B6FEB6">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此项权重分4分，得分4分。</w:t>
      </w:r>
    </w:p>
    <w:p w14:paraId="0BB78E5D">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制度执行有效性</w:t>
      </w:r>
    </w:p>
    <w:p w14:paraId="54A39606">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default" w:ascii="仿宋_GB2312"/>
          <w:color w:val="auto"/>
          <w:highlight w:val="none"/>
          <w:lang w:val="en-US" w:eastAsia="zh-CN"/>
        </w:rPr>
        <w:t>2023</w:t>
      </w:r>
      <w:r>
        <w:rPr>
          <w:rFonts w:hint="eastAsia" w:ascii="仿宋_GB2312"/>
          <w:color w:val="auto"/>
          <w:highlight w:val="none"/>
          <w:lang w:val="en-US" w:eastAsia="zh-CN"/>
        </w:rPr>
        <w:t>年度生态环境执法经费项目执行遵守相关法律法规和相关管理规定；项目存在次年度调整及支出调整实际情况且手续完备；项目合同书、招标文件等资料齐全并及时归档；项目实施的人员条件、场地设备、信息支撑等均落实到位。</w:t>
      </w:r>
    </w:p>
    <w:p w14:paraId="1674E7F3">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此项权重分4分，得分4分。</w:t>
      </w:r>
    </w:p>
    <w:p w14:paraId="7F8D11A8">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highlight w:val="none"/>
        </w:rPr>
      </w:pPr>
      <w:bookmarkStart w:id="14" w:name="_Toc68703840"/>
      <w:r>
        <w:rPr>
          <w:rFonts w:hint="eastAsia" w:ascii="仿宋_GB2312"/>
          <w:color w:val="auto"/>
          <w:highlight w:val="none"/>
          <w:lang w:val="en-US" w:eastAsia="zh-CN"/>
        </w:rPr>
        <w:t>（三）项目</w:t>
      </w:r>
      <w:r>
        <w:rPr>
          <w:rFonts w:hint="eastAsia" w:ascii="仿宋_GB2312" w:eastAsia="仿宋_GB2312"/>
          <w:b w:val="0"/>
          <w:bCs w:val="0"/>
          <w:highlight w:val="none"/>
        </w:rPr>
        <w:t>产出情况。</w:t>
      </w:r>
      <w:bookmarkEnd w:id="14"/>
    </w:p>
    <w:p w14:paraId="3DB41C1B">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green"/>
          <w:lang w:val="en-US" w:eastAsia="zh-CN"/>
        </w:rPr>
      </w:pPr>
      <w:r>
        <w:rPr>
          <w:rFonts w:hint="eastAsia" w:ascii="仿宋_GB2312"/>
          <w:color w:val="auto"/>
          <w:highlight w:val="none"/>
          <w:lang w:val="en-US" w:eastAsia="zh-CN"/>
        </w:rPr>
        <w:t>数量指标完成情况：</w:t>
      </w:r>
      <w:r>
        <w:rPr>
          <w:rFonts w:hint="default" w:ascii="仿宋_GB2312"/>
          <w:color w:val="auto"/>
          <w:highlight w:val="none"/>
          <w:lang w:val="en-US" w:eastAsia="zh-CN"/>
        </w:rPr>
        <w:t>指标1：工资发放人数，指标值：&gt;=15人，实际完成值15人，指标完成率100 %；指标2：工资发放次数，指标值：=12次，实际完成12次，指标完成率100 %；指标3：“双随机、一公开”检查次数，指标值：&gt;=4个，实际完成</w:t>
      </w:r>
      <w:r>
        <w:rPr>
          <w:rFonts w:hint="eastAsia" w:ascii="仿宋_GB2312"/>
          <w:color w:val="auto"/>
          <w:highlight w:val="none"/>
          <w:lang w:val="en-US" w:eastAsia="zh-CN"/>
        </w:rPr>
        <w:t>值12</w:t>
      </w:r>
      <w:r>
        <w:rPr>
          <w:rFonts w:hint="default" w:ascii="仿宋_GB2312"/>
          <w:color w:val="auto"/>
          <w:highlight w:val="none"/>
          <w:lang w:val="en-US" w:eastAsia="zh-CN"/>
        </w:rPr>
        <w:t>次，指标完成率</w:t>
      </w:r>
      <w:r>
        <w:rPr>
          <w:rFonts w:hint="eastAsia" w:ascii="仿宋_GB2312"/>
          <w:color w:val="auto"/>
          <w:highlight w:val="none"/>
          <w:lang w:val="en-US" w:eastAsia="zh-CN"/>
        </w:rPr>
        <w:t>300</w:t>
      </w:r>
      <w:r>
        <w:rPr>
          <w:rFonts w:hint="default" w:ascii="仿宋_GB2312"/>
          <w:color w:val="auto"/>
          <w:highlight w:val="none"/>
          <w:lang w:val="en-US" w:eastAsia="zh-CN"/>
        </w:rPr>
        <w:t>%</w:t>
      </w:r>
      <w:r>
        <w:rPr>
          <w:rFonts w:hint="eastAsia" w:ascii="仿宋_GB2312"/>
          <w:color w:val="auto"/>
          <w:highlight w:val="none"/>
          <w:lang w:val="en-US" w:eastAsia="zh-CN"/>
        </w:rPr>
        <w:t>，偏差原因：年初设计是按季度开展“双随机、一公开”检查工作，实际按2023年“双随机、一公开”方案，此项工作设置为每月开展。</w:t>
      </w:r>
      <w:r>
        <w:rPr>
          <w:rFonts w:hint="default" w:ascii="仿宋_GB2312"/>
          <w:color w:val="auto"/>
          <w:highlight w:val="none"/>
          <w:lang w:val="en-US" w:eastAsia="zh-CN"/>
        </w:rPr>
        <w:t>指标4：</w:t>
      </w:r>
      <w:r>
        <w:rPr>
          <w:rFonts w:hint="eastAsia" w:ascii="仿宋_GB2312"/>
          <w:color w:val="auto"/>
          <w:highlight w:val="none"/>
          <w:lang w:val="en-US" w:eastAsia="zh-CN"/>
        </w:rPr>
        <w:t>案件调查件数</w:t>
      </w:r>
      <w:r>
        <w:rPr>
          <w:rFonts w:hint="default" w:ascii="仿宋_GB2312"/>
          <w:color w:val="auto"/>
          <w:highlight w:val="none"/>
          <w:lang w:val="en-US" w:eastAsia="zh-CN"/>
        </w:rPr>
        <w:t>，指标值：&gt;=</w:t>
      </w:r>
      <w:r>
        <w:rPr>
          <w:rFonts w:hint="eastAsia" w:ascii="仿宋_GB2312"/>
          <w:color w:val="auto"/>
          <w:highlight w:val="none"/>
          <w:lang w:val="en-US" w:eastAsia="zh-CN"/>
        </w:rPr>
        <w:t>15件</w:t>
      </w:r>
      <w:r>
        <w:rPr>
          <w:rFonts w:hint="default" w:ascii="仿宋_GB2312"/>
          <w:color w:val="auto"/>
          <w:highlight w:val="none"/>
          <w:lang w:val="en-US" w:eastAsia="zh-CN"/>
        </w:rPr>
        <w:t>，实际完成</w:t>
      </w:r>
      <w:r>
        <w:rPr>
          <w:rFonts w:hint="eastAsia" w:ascii="仿宋_GB2312"/>
          <w:color w:val="auto"/>
          <w:highlight w:val="none"/>
          <w:lang w:val="en-US" w:eastAsia="zh-CN"/>
        </w:rPr>
        <w:t>62件</w:t>
      </w:r>
      <w:r>
        <w:rPr>
          <w:rFonts w:hint="default" w:ascii="仿宋_GB2312"/>
          <w:color w:val="auto"/>
          <w:highlight w:val="none"/>
          <w:lang w:val="en-US" w:eastAsia="zh-CN"/>
        </w:rPr>
        <w:t>，指标完成率</w:t>
      </w:r>
      <w:r>
        <w:rPr>
          <w:rFonts w:hint="eastAsia" w:ascii="仿宋_GB2312"/>
          <w:color w:val="auto"/>
          <w:highlight w:val="none"/>
          <w:lang w:val="en-US" w:eastAsia="zh-CN"/>
        </w:rPr>
        <w:t>413</w:t>
      </w:r>
      <w:r>
        <w:rPr>
          <w:rFonts w:hint="default" w:ascii="仿宋_GB2312"/>
          <w:color w:val="auto"/>
          <w:highlight w:val="none"/>
          <w:lang w:val="en-US" w:eastAsia="zh-CN"/>
        </w:rPr>
        <w:t xml:space="preserve"> %</w:t>
      </w:r>
      <w:r>
        <w:rPr>
          <w:rFonts w:hint="eastAsia" w:ascii="仿宋_GB2312"/>
          <w:color w:val="auto"/>
          <w:highlight w:val="none"/>
          <w:lang w:val="en-US" w:eastAsia="zh-CN"/>
        </w:rPr>
        <w:t>，偏差原因：2023年自治区生态环境执法大练兵要求，案件数量要在近5年平均值基础上有所增长。</w:t>
      </w:r>
      <w:r>
        <w:rPr>
          <w:rFonts w:hint="default" w:ascii="仿宋_GB2312"/>
          <w:color w:val="auto"/>
          <w:highlight w:val="none"/>
          <w:lang w:val="en-US" w:eastAsia="zh-CN"/>
        </w:rPr>
        <w:t>指标5：</w:t>
      </w:r>
      <w:r>
        <w:rPr>
          <w:rFonts w:hint="eastAsia" w:ascii="仿宋_GB2312"/>
          <w:color w:val="auto"/>
          <w:highlight w:val="none"/>
          <w:lang w:val="en-US" w:eastAsia="zh-CN"/>
        </w:rPr>
        <w:t>聘请第三方服务数</w:t>
      </w:r>
      <w:r>
        <w:rPr>
          <w:rFonts w:hint="default" w:ascii="仿宋_GB2312"/>
          <w:color w:val="auto"/>
          <w:highlight w:val="none"/>
          <w:lang w:val="en-US" w:eastAsia="zh-CN"/>
        </w:rPr>
        <w:t>，指标值：&gt;=2</w:t>
      </w:r>
      <w:r>
        <w:rPr>
          <w:rFonts w:hint="eastAsia" w:ascii="仿宋_GB2312"/>
          <w:color w:val="auto"/>
          <w:highlight w:val="none"/>
          <w:lang w:val="en-US" w:eastAsia="zh-CN"/>
        </w:rPr>
        <w:t>个</w:t>
      </w:r>
      <w:r>
        <w:rPr>
          <w:rFonts w:hint="default" w:ascii="仿宋_GB2312"/>
          <w:color w:val="auto"/>
          <w:highlight w:val="none"/>
          <w:lang w:val="en-US" w:eastAsia="zh-CN"/>
        </w:rPr>
        <w:t>，实际完成</w:t>
      </w:r>
      <w:r>
        <w:rPr>
          <w:rFonts w:hint="eastAsia" w:ascii="仿宋_GB2312"/>
          <w:color w:val="auto"/>
          <w:highlight w:val="none"/>
          <w:lang w:val="en-US" w:eastAsia="zh-CN"/>
        </w:rPr>
        <w:t>4个</w:t>
      </w:r>
      <w:r>
        <w:rPr>
          <w:rFonts w:hint="default" w:ascii="仿宋_GB2312"/>
          <w:color w:val="auto"/>
          <w:highlight w:val="none"/>
          <w:lang w:val="en-US" w:eastAsia="zh-CN"/>
        </w:rPr>
        <w:t>，指标完成率</w:t>
      </w:r>
      <w:r>
        <w:rPr>
          <w:rFonts w:hint="eastAsia" w:ascii="仿宋_GB2312"/>
          <w:color w:val="auto"/>
          <w:highlight w:val="none"/>
          <w:lang w:val="en-US" w:eastAsia="zh-CN"/>
        </w:rPr>
        <w:t>200</w:t>
      </w:r>
      <w:r>
        <w:rPr>
          <w:rFonts w:hint="default" w:ascii="仿宋_GB2312"/>
          <w:color w:val="auto"/>
          <w:highlight w:val="none"/>
          <w:lang w:val="en-US" w:eastAsia="zh-CN"/>
        </w:rPr>
        <w:t xml:space="preserve"> %</w:t>
      </w:r>
      <w:r>
        <w:rPr>
          <w:rFonts w:hint="eastAsia" w:ascii="仿宋_GB2312"/>
          <w:color w:val="auto"/>
          <w:highlight w:val="none"/>
          <w:lang w:val="en-US" w:eastAsia="zh-CN"/>
        </w:rPr>
        <w:t>，偏差原因：</w:t>
      </w:r>
      <w:r>
        <w:rPr>
          <w:rFonts w:hint="default" w:ascii="仿宋_GB2312"/>
          <w:color w:val="auto"/>
          <w:highlight w:val="none"/>
          <w:lang w:val="en-US" w:eastAsia="zh-CN"/>
        </w:rPr>
        <w:t>因工作需要，</w:t>
      </w:r>
      <w:r>
        <w:rPr>
          <w:rFonts w:hint="eastAsia" w:ascii="仿宋_GB2312"/>
          <w:color w:val="auto"/>
          <w:highlight w:val="none"/>
          <w:lang w:val="en-US" w:eastAsia="zh-CN"/>
        </w:rPr>
        <w:t>指标调整，故</w:t>
      </w:r>
      <w:r>
        <w:rPr>
          <w:rFonts w:hint="default" w:ascii="仿宋_GB2312"/>
          <w:color w:val="auto"/>
          <w:highlight w:val="none"/>
          <w:lang w:val="en-US" w:eastAsia="zh-CN"/>
        </w:rPr>
        <w:t>聘请了4家第三方服务机构服务</w:t>
      </w:r>
      <w:r>
        <w:rPr>
          <w:rFonts w:hint="eastAsia" w:ascii="仿宋_GB2312"/>
          <w:color w:val="auto"/>
          <w:highlight w:val="none"/>
          <w:lang w:val="en-US" w:eastAsia="zh-CN"/>
        </w:rPr>
        <w:t>。</w:t>
      </w:r>
    </w:p>
    <w:p w14:paraId="33962B31">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color w:val="auto"/>
          <w:highlight w:val="none"/>
          <w:lang w:val="en-US" w:eastAsia="zh-CN"/>
        </w:rPr>
      </w:pPr>
      <w:r>
        <w:rPr>
          <w:rFonts w:hint="eastAsia" w:ascii="仿宋_GB2312"/>
          <w:color w:val="auto"/>
          <w:highlight w:val="none"/>
          <w:lang w:val="en-US" w:eastAsia="zh-CN"/>
        </w:rPr>
        <w:t>此项权重分</w:t>
      </w:r>
      <w:r>
        <w:rPr>
          <w:rFonts w:hint="default" w:ascii="仿宋_GB2312"/>
          <w:color w:val="auto"/>
          <w:highlight w:val="none"/>
          <w:lang w:val="en-US" w:eastAsia="zh-CN"/>
        </w:rPr>
        <w:t>10</w:t>
      </w:r>
      <w:r>
        <w:rPr>
          <w:rFonts w:hint="eastAsia" w:ascii="仿宋_GB2312"/>
          <w:color w:val="auto"/>
          <w:highlight w:val="none"/>
          <w:lang w:val="en-US" w:eastAsia="zh-CN"/>
        </w:rPr>
        <w:t>分，得分</w:t>
      </w:r>
      <w:r>
        <w:rPr>
          <w:rFonts w:hint="default" w:ascii="仿宋_GB2312"/>
          <w:color w:val="auto"/>
          <w:highlight w:val="none"/>
          <w:lang w:val="en-US" w:eastAsia="zh-CN"/>
        </w:rPr>
        <w:t>10</w:t>
      </w:r>
      <w:r>
        <w:rPr>
          <w:rFonts w:hint="eastAsia" w:ascii="仿宋_GB2312"/>
          <w:color w:val="auto"/>
          <w:highlight w:val="none"/>
          <w:lang w:val="en-US" w:eastAsia="zh-CN"/>
        </w:rPr>
        <w:t>分。</w:t>
      </w:r>
    </w:p>
    <w:p w14:paraId="075C1E84">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质量指标完成情况：指标1：检查覆盖率，指标值：&gt;=90% ，实际完成值100%，指标完成率111.11%</w:t>
      </w:r>
      <w:r>
        <w:rPr>
          <w:rFonts w:hint="default" w:ascii="仿宋_GB2312"/>
          <w:color w:val="auto"/>
          <w:highlight w:val="none"/>
          <w:lang w:val="en-US" w:eastAsia="zh-CN"/>
        </w:rPr>
        <w:t>,</w:t>
      </w:r>
      <w:r>
        <w:rPr>
          <w:rFonts w:hint="eastAsia" w:ascii="仿宋_GB2312"/>
          <w:color w:val="auto"/>
          <w:highlight w:val="none"/>
          <w:lang w:val="en-US" w:eastAsia="zh-CN"/>
        </w:rPr>
        <w:t>偏差原因：根据实际情况对巴州八县一市一区开展了全覆盖检查。指标2：投诉案件办结率，指标值&gt;=90%，实际完成值100%，指标完成率111.11%，偏差原因：2023年全年28件投诉案件全部办结，办结率为100%。指标3：信访举报办结率，指标值：&gt;=90% ，实际完成值100%，指标完成率111.11%，偏差原因：2023年全年28件信访投诉案件全部办结，办结率为100%。</w:t>
      </w:r>
    </w:p>
    <w:p w14:paraId="43592335">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此项权重分10分，得分10分。</w:t>
      </w:r>
    </w:p>
    <w:p w14:paraId="366C1458">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color w:val="auto"/>
          <w:highlight w:val="none"/>
          <w:lang w:val="en-US" w:eastAsia="zh-CN"/>
        </w:rPr>
      </w:pPr>
      <w:r>
        <w:rPr>
          <w:rFonts w:hint="eastAsia" w:ascii="仿宋_GB2312"/>
          <w:color w:val="auto"/>
          <w:highlight w:val="none"/>
          <w:lang w:val="en-US" w:eastAsia="zh-CN"/>
        </w:rPr>
        <w:t>时效指标完成情况：描述要求同上时效指标完成情况：指标1：“双随机、一公开”</w:t>
      </w:r>
      <w:bookmarkStart w:id="21" w:name="_GoBack"/>
      <w:bookmarkEnd w:id="21"/>
      <w:r>
        <w:rPr>
          <w:rFonts w:hint="eastAsia" w:ascii="仿宋_GB2312"/>
          <w:color w:val="auto"/>
          <w:highlight w:val="none"/>
          <w:lang w:val="en-US" w:eastAsia="zh-CN"/>
        </w:rPr>
        <w:t>任务及时完成率，指标值：&gt;=90% ，实际完成值100%，指标完成率111.11%，偏差原因：根据实际完成情况12次双随机、一公开任务均按时完成；按时完成率为100%。指标2：资金发放及时率，指标值：=90% ，实际完成值100%，指标完成率111.11%，偏差原因：根据实际情况2023年资金均及时发放，发放及时率为100%。指标3：案件办理时限达标率，指标值：&gt;=90% ，实际完成值100%，指标完成率111.11%，偏差原因：根据实际情况2023年案件均已按时结案、办理时限达标率为100%。</w:t>
      </w:r>
    </w:p>
    <w:p w14:paraId="22F410A8">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此项权重分10分，得分10分。</w:t>
      </w:r>
    </w:p>
    <w:p w14:paraId="14F8A45C">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color w:val="auto"/>
          <w:highlight w:val="none"/>
          <w:lang w:val="en-US" w:eastAsia="zh-CN"/>
        </w:rPr>
      </w:pPr>
      <w:r>
        <w:rPr>
          <w:rFonts w:hint="eastAsia" w:ascii="仿宋_GB2312"/>
          <w:color w:val="auto"/>
          <w:highlight w:val="none"/>
          <w:lang w:val="en-US" w:eastAsia="zh-CN"/>
        </w:rPr>
        <w:t>成本指标完成情况：指标1：聘用人员工资成本，指标值：&lt;=40万元，实际完成值40万元，指标完成率100%。指标2：聘请第三方服务费，指标值：&lt;=20万元，实际完成值16.66万元，指标完成率83.3%，偏差原因：根据后续工作组需要及实际情况，调整了经费比例。指标2：执法检查成本，指标值&lt;=37万元，实际完成值40.34万元，指标完成率0%，偏差原因：检查次数、案件办理数增多，导致执法成本升高。</w:t>
      </w:r>
    </w:p>
    <w:p w14:paraId="61DD1C49">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此项权重分10分，得分6.11分。</w:t>
      </w:r>
    </w:p>
    <w:p w14:paraId="297F02AF">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highlight w:val="none"/>
        </w:rPr>
      </w:pPr>
      <w:bookmarkStart w:id="15" w:name="_Toc68703841"/>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四</w:t>
      </w:r>
      <w:r>
        <w:rPr>
          <w:rFonts w:hint="eastAsia" w:ascii="仿宋_GB2312" w:eastAsia="仿宋_GB2312"/>
          <w:b w:val="0"/>
          <w:bCs w:val="0"/>
          <w:color w:val="auto"/>
          <w:highlight w:val="none"/>
        </w:rPr>
        <w:t>）项目效益情况。</w:t>
      </w:r>
      <w:bookmarkEnd w:id="15"/>
    </w:p>
    <w:p w14:paraId="51FD1A98">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实施效益指标完成情况：指标1：检查单位守法意识，指标值：有所提高 ，实际完成值达成目标，指标完成率100%。指标2：执法人员能力和水平，指标值：有所提高，实际完成值达成目标，指标完成率100%。</w:t>
      </w:r>
    </w:p>
    <w:p w14:paraId="267B1523">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color w:val="auto"/>
          <w:highlight w:val="none"/>
          <w:lang w:val="en-US" w:eastAsia="zh-CN"/>
        </w:rPr>
      </w:pPr>
      <w:r>
        <w:rPr>
          <w:rFonts w:hint="eastAsia" w:ascii="仿宋_GB2312"/>
          <w:color w:val="auto"/>
          <w:highlight w:val="none"/>
          <w:lang w:val="en-US" w:eastAsia="zh-CN"/>
        </w:rPr>
        <w:t>此项权重分10分，得分10分。</w:t>
      </w:r>
    </w:p>
    <w:p w14:paraId="5CB8BAB6">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color w:val="auto"/>
          <w:highlight w:val="none"/>
          <w:lang w:val="en-US" w:eastAsia="zh-CN"/>
        </w:rPr>
      </w:pPr>
      <w:r>
        <w:rPr>
          <w:rFonts w:hint="eastAsia" w:ascii="仿宋_GB2312"/>
          <w:color w:val="auto"/>
          <w:highlight w:val="none"/>
          <w:lang w:val="en-US" w:eastAsia="zh-CN"/>
        </w:rPr>
        <w:t>满意度指标完成情况：指标1：信访投诉案件回访满意率，指标值：&gt;=90% ，实际完成值100%，指标完成率111.11%，偏差原因：2023年全年28件投诉案件全部办结，电话回访，满意度为100%。指标2：办案人员被投诉次数，指标值：&lt;=3次，实际完成值0次，指标完成率100%。</w:t>
      </w:r>
    </w:p>
    <w:p w14:paraId="03823622">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sz w:val="32"/>
          <w:szCs w:val="32"/>
          <w:lang w:eastAsia="zh-Hans"/>
        </w:rPr>
      </w:pPr>
      <w:bookmarkStart w:id="16" w:name="_Toc68703842"/>
      <w:r>
        <w:rPr>
          <w:rFonts w:hint="eastAsia" w:ascii="Times New Roman" w:hAnsi="Times New Roman" w:eastAsia="黑体" w:cs="Times New Roman"/>
          <w:sz w:val="32"/>
          <w:szCs w:val="32"/>
          <w:lang w:eastAsia="zh-Hans"/>
        </w:rPr>
        <w:t>五、预算执行进度与绩效指标总体完成率偏差</w:t>
      </w:r>
    </w:p>
    <w:p w14:paraId="4F120F74">
      <w:pPr>
        <w:pStyle w:val="18"/>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green"/>
          <w:lang w:val="en-US" w:eastAsia="zh-CN"/>
        </w:rPr>
      </w:pPr>
      <w:r>
        <w:rPr>
          <w:rFonts w:hint="eastAsia" w:ascii="仿宋_GB2312"/>
          <w:color w:val="auto"/>
          <w:highlight w:val="none"/>
          <w:lang w:val="en-US" w:eastAsia="zh-CN"/>
        </w:rPr>
        <w:t>2023年度生态环境综合执法经费</w:t>
      </w:r>
      <w:r>
        <w:rPr>
          <w:rFonts w:hint="default" w:ascii="仿宋_GB2312"/>
          <w:color w:val="auto"/>
          <w:highlight w:val="none"/>
          <w:lang w:val="en-US" w:eastAsia="zh-CN"/>
        </w:rPr>
        <w:t>项目年初预算</w:t>
      </w:r>
      <w:r>
        <w:rPr>
          <w:rFonts w:hint="eastAsia" w:ascii="仿宋_GB2312"/>
          <w:color w:val="auto"/>
          <w:highlight w:val="none"/>
          <w:lang w:val="en-US" w:eastAsia="zh-CN"/>
        </w:rPr>
        <w:t>97</w:t>
      </w:r>
      <w:r>
        <w:rPr>
          <w:rFonts w:hint="default" w:ascii="仿宋_GB2312"/>
          <w:color w:val="auto"/>
          <w:highlight w:val="none"/>
          <w:lang w:val="en-US" w:eastAsia="zh-CN"/>
        </w:rPr>
        <w:t>万元，全年预算</w:t>
      </w:r>
      <w:r>
        <w:rPr>
          <w:rFonts w:hint="eastAsia" w:ascii="仿宋_GB2312"/>
          <w:color w:val="auto"/>
          <w:highlight w:val="none"/>
          <w:lang w:val="en-US" w:eastAsia="zh-CN"/>
        </w:rPr>
        <w:t>97</w:t>
      </w:r>
      <w:r>
        <w:rPr>
          <w:rFonts w:hint="default" w:ascii="仿宋_GB2312"/>
          <w:color w:val="auto"/>
          <w:highlight w:val="none"/>
          <w:lang w:val="en-US" w:eastAsia="zh-CN"/>
        </w:rPr>
        <w:t>万元，实际支出</w:t>
      </w:r>
      <w:r>
        <w:rPr>
          <w:rFonts w:hint="eastAsia" w:ascii="仿宋_GB2312"/>
          <w:color w:val="auto"/>
          <w:highlight w:val="none"/>
          <w:lang w:val="en-US" w:eastAsia="zh-CN"/>
        </w:rPr>
        <w:t>97</w:t>
      </w:r>
      <w:r>
        <w:rPr>
          <w:rFonts w:hint="default" w:ascii="仿宋_GB2312"/>
          <w:color w:val="auto"/>
          <w:highlight w:val="none"/>
          <w:lang w:val="en-US" w:eastAsia="zh-CN"/>
        </w:rPr>
        <w:t>万元，预算执行率为</w:t>
      </w:r>
      <w:r>
        <w:rPr>
          <w:rFonts w:hint="eastAsia" w:ascii="仿宋_GB2312"/>
          <w:color w:val="auto"/>
          <w:highlight w:val="none"/>
          <w:lang w:val="en-US" w:eastAsia="zh-CN"/>
        </w:rPr>
        <w:t>100</w:t>
      </w:r>
      <w:r>
        <w:rPr>
          <w:rFonts w:hint="default" w:ascii="仿宋_GB2312"/>
          <w:color w:val="auto"/>
          <w:highlight w:val="none"/>
          <w:lang w:val="en-US" w:eastAsia="zh-CN"/>
        </w:rPr>
        <w:t>%</w:t>
      </w:r>
      <w:r>
        <w:rPr>
          <w:rFonts w:hint="eastAsia" w:ascii="仿宋_GB2312"/>
          <w:color w:val="auto"/>
          <w:highlight w:val="none"/>
          <w:lang w:val="en-US" w:eastAsia="zh-CN"/>
        </w:rPr>
        <w:t>，项目绩效指标总体完成率为131.91%，</w:t>
      </w:r>
      <w:r>
        <w:rPr>
          <w:rFonts w:hint="eastAsia" w:ascii="仿宋_GB2312"/>
          <w:color w:val="auto"/>
          <w:highlight w:val="none"/>
          <w:lang w:val="en-US" w:eastAsia="zh-Hans"/>
        </w:rPr>
        <w:t>总体</w:t>
      </w:r>
      <w:r>
        <w:rPr>
          <w:rFonts w:hint="eastAsia" w:ascii="仿宋_GB2312"/>
          <w:color w:val="auto"/>
          <w:highlight w:val="none"/>
          <w:lang w:val="en-US" w:eastAsia="zh-CN"/>
        </w:rPr>
        <w:t>偏差率为31.91%,</w:t>
      </w:r>
      <w:r>
        <w:rPr>
          <w:rFonts w:hint="eastAsia" w:cs="Times New Roman"/>
          <w:color w:val="auto"/>
          <w:kern w:val="2"/>
          <w:sz w:val="30"/>
          <w:szCs w:val="24"/>
          <w:lang w:val="en-US" w:eastAsia="zh-CN" w:bidi="ar-SA"/>
        </w:rPr>
        <w:t>由于前几年环境执法案件数量少及企业停工停产导致</w:t>
      </w:r>
      <w:r>
        <w:rPr>
          <w:rFonts w:hint="eastAsia"/>
          <w:color w:val="auto"/>
          <w:lang w:val="en-US" w:eastAsia="zh-CN"/>
        </w:rPr>
        <w:t>目标指标设置时过于保守，实际执行时完成较好，致使出现偏差</w:t>
      </w:r>
      <w:r>
        <w:rPr>
          <w:rFonts w:hint="eastAsia" w:ascii="Times New Roman" w:hAnsi="Times New Roman" w:eastAsia="仿宋_GB2312" w:cs="Times New Roman"/>
          <w:color w:val="auto"/>
          <w:kern w:val="2"/>
          <w:sz w:val="30"/>
          <w:szCs w:val="24"/>
          <w:lang w:val="en-US" w:eastAsia="zh-CN" w:bidi="ar-SA"/>
        </w:rPr>
        <w:t>。</w:t>
      </w:r>
      <w:r>
        <w:rPr>
          <w:rFonts w:hint="eastAsia" w:cs="Times New Roman"/>
          <w:color w:val="auto"/>
          <w:kern w:val="2"/>
          <w:sz w:val="30"/>
          <w:szCs w:val="24"/>
          <w:lang w:val="en-US" w:eastAsia="zh-CN" w:bidi="ar-SA"/>
        </w:rPr>
        <w:t>改进措施：设置目标值时多与业务科室人员沟通交流，减少</w:t>
      </w:r>
      <w:r>
        <w:rPr>
          <w:rFonts w:hint="eastAsia"/>
          <w:color w:val="auto"/>
          <w:lang w:val="en-US" w:eastAsia="zh-CN"/>
        </w:rPr>
        <w:t>目标指标设置时过于保守状态，充分考虑结合实际工作设置目标指标。</w:t>
      </w:r>
    </w:p>
    <w:p w14:paraId="240C36A0">
      <w:pPr>
        <w:pageBreakBefore w:val="0"/>
        <w:kinsoku/>
        <w:wordWrap/>
        <w:overflowPunct/>
        <w:topLinePunct w:val="0"/>
        <w:autoSpaceDE/>
        <w:autoSpaceDN/>
        <w:bidi w:val="0"/>
        <w:adjustRightInd/>
        <w:snapToGrid/>
        <w:spacing w:line="560" w:lineRule="exact"/>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6"/>
    </w:p>
    <w:p w14:paraId="37C8D625">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7" w:name="_Toc68703843"/>
      <w:r>
        <w:rPr>
          <w:rFonts w:hint="eastAsia" w:ascii="仿宋_GB2312" w:eastAsia="仿宋_GB2312"/>
          <w:b w:val="0"/>
          <w:bCs w:val="0"/>
        </w:rPr>
        <w:t>（一）主要经验及做法</w:t>
      </w:r>
      <w:bookmarkEnd w:id="17"/>
    </w:p>
    <w:p w14:paraId="1F9DA86B">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color w:val="auto"/>
          <w:highlight w:val="none"/>
          <w:lang w:val="en-US" w:eastAsia="zh-CN"/>
        </w:rPr>
      </w:pPr>
      <w:bookmarkStart w:id="18" w:name="_Toc68703844"/>
      <w:r>
        <w:rPr>
          <w:rFonts w:hint="eastAsia" w:ascii="仿宋_GB2312"/>
          <w:color w:val="auto"/>
          <w:highlight w:val="none"/>
          <w:lang w:val="en-US" w:eastAsia="zh-CN"/>
        </w:rPr>
        <w:t>对2023年度生态环境综合执法经费项目的成功，是巴州生态环境保护综合行政执法支队高度重视，精心组织、策划以及各科室相互支持、密切配合，保证了此次项目的顺利开展，巴州生态环境保护综合行政执法支队在实施过程中做到了，事前有计划、事中有监督、事后有问效，对项目完成质量严格把关，发挥完善的机制、严格管理、人性化的方式高质量的完成此次项目。</w:t>
      </w:r>
    </w:p>
    <w:p w14:paraId="581244D9">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（二）存在的问题及原因分析</w:t>
      </w:r>
      <w:bookmarkEnd w:id="18"/>
    </w:p>
    <w:p w14:paraId="0B3DE7A8">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default" w:ascii="仿宋_GB2312" w:hAnsi="Times New Roman" w:eastAsia="仿宋_GB2312" w:cs="Times New Roman"/>
          <w:b w:val="0"/>
          <w:bCs w:val="0"/>
          <w:color w:val="auto"/>
          <w:kern w:val="2"/>
          <w:sz w:val="30"/>
          <w:szCs w:val="24"/>
          <w:highlight w:val="none"/>
          <w:lang w:val="en-US" w:eastAsia="zh-CN" w:bidi="ar-SA"/>
        </w:rPr>
      </w:pPr>
      <w:r>
        <w:rPr>
          <w:rFonts w:hint="eastAsia" w:ascii="仿宋_GB2312" w:hAnsi="Times New Roman" w:eastAsia="仿宋_GB2312" w:cs="Times New Roman"/>
          <w:b w:val="0"/>
          <w:bCs w:val="0"/>
          <w:color w:val="auto"/>
          <w:kern w:val="2"/>
          <w:sz w:val="30"/>
          <w:szCs w:val="24"/>
          <w:highlight w:val="none"/>
          <w:lang w:val="en-US" w:eastAsia="zh-CN" w:bidi="ar-SA"/>
        </w:rPr>
        <w:t>按照绩效管理要求，项目的绩效工作有待加强，项目人员对该项目绩效评价业务不熟悉等，在绩效考评指标的设计上，存在目标指标设置时过于保守，与业务人员沟通不足。</w:t>
      </w:r>
    </w:p>
    <w:p w14:paraId="36D63CB4">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eastAsia="黑体"/>
          <w:color w:val="0000FF"/>
          <w:sz w:val="32"/>
          <w:szCs w:val="32"/>
        </w:rPr>
      </w:pPr>
      <w:bookmarkStart w:id="19" w:name="_Toc68703845"/>
      <w:r>
        <w:rPr>
          <w:rFonts w:hint="eastAsia" w:ascii="宋体" w:hAnsi="宋体" w:eastAsia="宋体"/>
          <w:sz w:val="32"/>
          <w:szCs w:val="32"/>
          <w:lang w:val="en-US" w:eastAsia="zh-CN"/>
        </w:rPr>
        <w:t>七</w:t>
      </w:r>
      <w:r>
        <w:rPr>
          <w:rFonts w:hint="eastAsia" w:ascii="宋体" w:hAnsi="宋体" w:eastAsia="宋体"/>
          <w:sz w:val="32"/>
          <w:szCs w:val="32"/>
        </w:rPr>
        <w:t>、有关建议</w:t>
      </w:r>
      <w:bookmarkEnd w:id="19"/>
    </w:p>
    <w:p w14:paraId="106C3FF2">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Times New Roman" w:eastAsia="仿宋_GB2312" w:cs="Times New Roman"/>
          <w:b w:val="0"/>
          <w:bCs w:val="0"/>
          <w:color w:val="auto"/>
          <w:kern w:val="2"/>
          <w:sz w:val="30"/>
          <w:szCs w:val="24"/>
          <w:highlight w:val="none"/>
          <w:lang w:val="en-US" w:eastAsia="zh-CN" w:bidi="ar-SA"/>
        </w:rPr>
      </w:pPr>
      <w:r>
        <w:rPr>
          <w:rFonts w:hint="eastAsia" w:ascii="仿宋_GB2312" w:hAnsi="Times New Roman" w:eastAsia="仿宋_GB2312" w:cs="Times New Roman"/>
          <w:b w:val="0"/>
          <w:bCs w:val="0"/>
          <w:color w:val="auto"/>
          <w:kern w:val="2"/>
          <w:sz w:val="30"/>
          <w:szCs w:val="24"/>
          <w:highlight w:val="none"/>
          <w:lang w:val="en-US" w:eastAsia="zh-CN" w:bidi="ar-SA"/>
        </w:rPr>
        <w:t>1.多进行有关绩效管理工作方面的培训。积极组织第三方开展绩效管理工作培训，进一步夯实业务基础，提高我单位绩效人员水平。</w:t>
      </w:r>
    </w:p>
    <w:p w14:paraId="15FB59A3">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Times New Roman" w:eastAsia="仿宋_GB2312" w:cs="Times New Roman"/>
          <w:b w:val="0"/>
          <w:bCs w:val="0"/>
          <w:color w:val="auto"/>
          <w:kern w:val="2"/>
          <w:sz w:val="30"/>
          <w:szCs w:val="24"/>
          <w:highlight w:val="none"/>
          <w:lang w:val="en-US" w:eastAsia="zh-CN" w:bidi="ar-SA"/>
        </w:rPr>
      </w:pPr>
      <w:r>
        <w:rPr>
          <w:rFonts w:hint="eastAsia" w:ascii="仿宋_GB2312" w:hAnsi="Times New Roman" w:eastAsia="仿宋_GB2312" w:cs="Times New Roman"/>
          <w:b w:val="0"/>
          <w:bCs w:val="0"/>
          <w:color w:val="auto"/>
          <w:kern w:val="2"/>
          <w:sz w:val="30"/>
          <w:szCs w:val="24"/>
          <w:highlight w:val="none"/>
          <w:lang w:val="en-US" w:eastAsia="zh-CN" w:bidi="ar-SA"/>
        </w:rPr>
        <w:t>2.专门设定对绩效工作人员定职、定岗、定责等相关制度措施，进一步提升我单位绩效管理工作业务水平，扎实做好绩效管理工作。</w:t>
      </w:r>
    </w:p>
    <w:p w14:paraId="0E838D73">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Times New Roman" w:eastAsia="仿宋_GB2312" w:cs="Times New Roman"/>
          <w:b w:val="0"/>
          <w:bCs w:val="0"/>
          <w:color w:val="auto"/>
          <w:kern w:val="2"/>
          <w:sz w:val="30"/>
          <w:szCs w:val="24"/>
          <w:highlight w:val="none"/>
          <w:lang w:val="en-US" w:eastAsia="zh-CN" w:bidi="ar-SA"/>
        </w:rPr>
      </w:pPr>
      <w:r>
        <w:rPr>
          <w:rFonts w:hint="eastAsia" w:ascii="仿宋_GB2312" w:hAnsi="Times New Roman" w:eastAsia="仿宋_GB2312" w:cs="Times New Roman"/>
          <w:b w:val="0"/>
          <w:bCs w:val="0"/>
          <w:color w:val="auto"/>
          <w:kern w:val="2"/>
          <w:sz w:val="30"/>
          <w:szCs w:val="24"/>
          <w:highlight w:val="none"/>
          <w:lang w:val="en-US" w:eastAsia="zh-CN" w:bidi="ar-SA"/>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6F45D71D">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Times New Roman" w:eastAsia="仿宋_GB2312" w:cs="Times New Roman"/>
          <w:b w:val="0"/>
          <w:bCs w:val="0"/>
          <w:color w:val="auto"/>
          <w:kern w:val="2"/>
          <w:sz w:val="30"/>
          <w:szCs w:val="24"/>
          <w:highlight w:val="none"/>
          <w:lang w:val="en-US" w:eastAsia="zh-CN" w:bidi="ar-SA"/>
        </w:rPr>
      </w:pPr>
      <w:r>
        <w:rPr>
          <w:rFonts w:hint="eastAsia" w:ascii="仿宋_GB2312" w:hAnsi="Times New Roman" w:eastAsia="仿宋_GB2312" w:cs="Times New Roman"/>
          <w:b w:val="0"/>
          <w:bCs w:val="0"/>
          <w:color w:val="auto"/>
          <w:kern w:val="2"/>
          <w:sz w:val="30"/>
          <w:szCs w:val="24"/>
          <w:highlight w:val="none"/>
          <w:lang w:val="en-US" w:eastAsia="zh-CN" w:bidi="ar-SA"/>
        </w:rPr>
        <w:t>4.进一步加强对绩效管理工作的组织领导，提高对预算绩效管理工作重要性的认识，总结经验查找问题，抓紧研究制定更全面更完善的绩效评价管理办法。</w:t>
      </w:r>
    </w:p>
    <w:p w14:paraId="32D6A5E6">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20" w:name="_Toc68703846"/>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20"/>
    </w:p>
    <w:p w14:paraId="6EDDD46C">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lang w:eastAsia="zh-CN"/>
        </w:rPr>
      </w:pPr>
      <w:r>
        <w:rPr>
          <w:rFonts w:hint="eastAsia"/>
          <w:lang w:eastAsia="zh-CN"/>
        </w:rPr>
        <w:t>无</w:t>
      </w:r>
    </w:p>
    <w:p w14:paraId="7851545C">
      <w:pPr>
        <w:pageBreakBefore w:val="0"/>
        <w:kinsoku/>
        <w:wordWrap/>
        <w:overflowPunct/>
        <w:topLinePunct w:val="0"/>
        <w:autoSpaceDE/>
        <w:autoSpaceDN/>
        <w:bidi w:val="0"/>
        <w:adjustRightInd/>
        <w:snapToGrid/>
        <w:spacing w:line="560" w:lineRule="exact"/>
        <w:ind w:firstLine="600" w:firstLineChars="200"/>
        <w:textAlignment w:val="auto"/>
      </w:pPr>
    </w:p>
    <w:sectPr>
      <w:pgSz w:w="11906" w:h="16838"/>
      <w:pgMar w:top="2098" w:right="1531" w:bottom="1984"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6AA0D73-64D3-4E8D-A31D-FAE01D74301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embedRegular r:id="rId2" w:fontKey="{FC0A0F94-EB32-4B79-AD75-FE246986C3B7}"/>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 w:name="方正仿宋_GBK">
    <w:panose1 w:val="02000000000000000000"/>
    <w:charset w:val="86"/>
    <w:family w:val="auto"/>
    <w:pitch w:val="default"/>
    <w:sig w:usb0="A00002BF" w:usb1="38CF7CFA" w:usb2="00082016" w:usb3="00000000" w:csb0="00040001" w:csb1="00000000"/>
    <w:embedRegular r:id="rId3" w:fontKey="{FD8ACC07-F6BE-4DB2-BB86-C3AA0A1A618A}"/>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kOTIwZjc5YmU2ZTY5MjQ2MTljMmZlZWEzNGY0OTA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31A7868"/>
    <w:rsid w:val="05227DA5"/>
    <w:rsid w:val="08D20D13"/>
    <w:rsid w:val="0C4D0F1B"/>
    <w:rsid w:val="0F186FCD"/>
    <w:rsid w:val="0F2A6BF7"/>
    <w:rsid w:val="19F83C77"/>
    <w:rsid w:val="1A420551"/>
    <w:rsid w:val="1D723F37"/>
    <w:rsid w:val="1D785367"/>
    <w:rsid w:val="32AE0DEC"/>
    <w:rsid w:val="35C9533E"/>
    <w:rsid w:val="36B72533"/>
    <w:rsid w:val="4057649F"/>
    <w:rsid w:val="43182414"/>
    <w:rsid w:val="436D7DDF"/>
    <w:rsid w:val="45703475"/>
    <w:rsid w:val="46507BB3"/>
    <w:rsid w:val="487A5B1A"/>
    <w:rsid w:val="4A7C25BE"/>
    <w:rsid w:val="4C22332E"/>
    <w:rsid w:val="4C470B2D"/>
    <w:rsid w:val="56796849"/>
    <w:rsid w:val="594577C3"/>
    <w:rsid w:val="5DA95371"/>
    <w:rsid w:val="64064C78"/>
    <w:rsid w:val="68F11999"/>
    <w:rsid w:val="6EBC4D59"/>
    <w:rsid w:val="71187A8C"/>
    <w:rsid w:val="763A02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3"/>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qFormat/>
    <w:uiPriority w:val="0"/>
    <w:pPr>
      <w:jc w:val="left"/>
    </w:pPr>
  </w:style>
  <w:style w:type="paragraph" w:styleId="6">
    <w:name w:val="footer"/>
    <w:basedOn w:val="1"/>
    <w:link w:val="17"/>
    <w:semiHidden/>
    <w:unhideWhenUsed/>
    <w:qFormat/>
    <w:uiPriority w:val="99"/>
    <w:pPr>
      <w:tabs>
        <w:tab w:val="center" w:pos="4153"/>
        <w:tab w:val="right" w:pos="8306"/>
      </w:tabs>
      <w:snapToGrid w:val="0"/>
      <w:jc w:val="left"/>
    </w:pPr>
    <w:rPr>
      <w:sz w:val="18"/>
      <w:szCs w:val="18"/>
    </w:rPr>
  </w:style>
  <w:style w:type="paragraph" w:styleId="7">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2">
    <w:name w:val="Hyperlink"/>
    <w:basedOn w:val="11"/>
    <w:unhideWhenUsed/>
    <w:qFormat/>
    <w:uiPriority w:val="99"/>
    <w:rPr>
      <w:color w:val="0563C1" w:themeColor="hyperlink"/>
      <w:u w:val="single"/>
      <w14:textFill>
        <w14:solidFill>
          <w14:schemeClr w14:val="hlink"/>
        </w14:solidFill>
      </w14:textFill>
    </w:rPr>
  </w:style>
  <w:style w:type="character" w:customStyle="1" w:styleId="13">
    <w:name w:val="标题 1 Char"/>
    <w:basedOn w:val="11"/>
    <w:link w:val="3"/>
    <w:qFormat/>
    <w:uiPriority w:val="9"/>
    <w:rPr>
      <w:rFonts w:ascii="Times New Roman" w:hAnsi="Times New Roman" w:eastAsia="仿宋_GB2312" w:cs="Times New Roman"/>
      <w:b/>
      <w:bCs/>
      <w:kern w:val="44"/>
      <w:sz w:val="44"/>
      <w:szCs w:val="44"/>
    </w:rPr>
  </w:style>
  <w:style w:type="character" w:customStyle="1" w:styleId="14">
    <w:name w:val="标题 2 Char"/>
    <w:basedOn w:val="11"/>
    <w:link w:val="4"/>
    <w:qFormat/>
    <w:uiPriority w:val="9"/>
    <w:rPr>
      <w:rFonts w:asciiTheme="majorHAnsi" w:hAnsiTheme="majorHAnsi" w:eastAsiaTheme="majorEastAsia" w:cstheme="majorBidi"/>
      <w:b/>
      <w:bCs/>
      <w:sz w:val="32"/>
      <w:szCs w:val="32"/>
    </w:rPr>
  </w:style>
  <w:style w:type="paragraph" w:customStyle="1" w:styleId="15">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6">
    <w:name w:val="页眉 Char"/>
    <w:basedOn w:val="11"/>
    <w:link w:val="7"/>
    <w:semiHidden/>
    <w:qFormat/>
    <w:uiPriority w:val="99"/>
    <w:rPr>
      <w:rFonts w:ascii="Times New Roman" w:hAnsi="Times New Roman" w:eastAsia="仿宋_GB2312" w:cs="Times New Roman"/>
      <w:sz w:val="18"/>
      <w:szCs w:val="18"/>
    </w:rPr>
  </w:style>
  <w:style w:type="character" w:customStyle="1" w:styleId="17">
    <w:name w:val="页脚 Char"/>
    <w:basedOn w:val="11"/>
    <w:link w:val="6"/>
    <w:semiHidden/>
    <w:qFormat/>
    <w:uiPriority w:val="99"/>
    <w:rPr>
      <w:rFonts w:ascii="Times New Roman" w:hAnsi="Times New Roman" w:eastAsia="仿宋_GB2312" w:cs="Times New Roman"/>
      <w:sz w:val="18"/>
      <w:szCs w:val="18"/>
    </w:rPr>
  </w:style>
  <w:style w:type="paragraph" w:customStyle="1" w:styleId="18">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7226</Words>
  <Characters>7684</Characters>
  <Lines>37</Lines>
  <Paragraphs>10</Paragraphs>
  <TotalTime>4</TotalTime>
  <ScaleCrop>false</ScaleCrop>
  <LinksUpToDate>false</LinksUpToDate>
  <CharactersWithSpaces>7705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Qxb</cp:lastModifiedBy>
  <dcterms:modified xsi:type="dcterms:W3CDTF">2024-11-18T13:46:10Z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4406700EAE434808A8ED3B6DBB85E43C</vt:lpwstr>
  </property>
</Properties>
</file>