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SimSun" w:hAnsi="SimSun" w:eastAsia="SimSun" w:cs="Arial"/>
          <w:b/>
          <w:bCs/>
          <w:sz w:val="52"/>
          <w:szCs w:val="52"/>
        </w:rPr>
      </w:pPr>
      <w:r>
        <w:rPr>
          <w:rFonts w:hint="eastAsia" w:ascii="SimSun" w:hAnsi="SimSun" w:eastAsia="SimSun"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36"/>
          <w:szCs w:val="36"/>
          <w:lang w:eastAsia="zh-CN"/>
        </w:rPr>
      </w:pPr>
      <w:r>
        <w:rPr>
          <w:rFonts w:hint="eastAsia" w:ascii="SimSun" w:hAnsi="SimSun" w:eastAsia="SimSun" w:cs="仿宋_GB2312"/>
          <w:b/>
          <w:bCs/>
          <w:color w:val="000000"/>
          <w:kern w:val="0"/>
          <w:sz w:val="32"/>
          <w:szCs w:val="32"/>
        </w:rPr>
        <w:t>项目名称：</w:t>
      </w:r>
      <w:r>
        <w:rPr>
          <w:rFonts w:hint="eastAsia" w:ascii="红豆小标宋简体" w:hAnsi="红豆小标宋简体" w:eastAsia="红豆小标宋简体" w:cs="红豆小标宋简体"/>
          <w:color w:val="000000"/>
          <w:kern w:val="0"/>
          <w:sz w:val="36"/>
          <w:szCs w:val="36"/>
        </w:rPr>
        <w:t>2023年中央财政林业草原生态保护恢复资金（国有林保护修复--国有国家级公益林管护补助)</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28"/>
          <w:szCs w:val="28"/>
          <w:lang w:eastAsia="zh-CN"/>
        </w:rPr>
      </w:pPr>
      <w:r>
        <w:rPr>
          <w:rFonts w:hint="eastAsia" w:ascii="SimSun" w:hAnsi="SimSun" w:eastAsia="SimSun" w:cs="仿宋_GB2312"/>
          <w:b/>
          <w:bCs/>
          <w:color w:val="000000"/>
          <w:kern w:val="0"/>
          <w:sz w:val="32"/>
          <w:szCs w:val="32"/>
        </w:rPr>
        <w:t>实施单位（公章）：</w:t>
      </w:r>
      <w:r>
        <w:rPr>
          <w:rFonts w:hint="eastAsia" w:ascii="红豆小标宋简体" w:hAnsi="红豆小标宋简体" w:eastAsia="红豆小标宋简体" w:cs="红豆小标宋简体"/>
          <w:color w:val="000000"/>
          <w:kern w:val="0"/>
          <w:sz w:val="28"/>
          <w:szCs w:val="28"/>
          <w:lang w:eastAsia="zh-CN"/>
        </w:rPr>
        <w:t>新建塔里木胡杨国家级自然保护区管理局</w:t>
      </w:r>
    </w:p>
    <w:p>
      <w:pPr>
        <w:pageBreakBefore w:val="0"/>
        <w:kinsoku/>
        <w:wordWrap/>
        <w:overflowPunct/>
        <w:topLinePunct w:val="0"/>
        <w:autoSpaceDE/>
        <w:autoSpaceDN/>
        <w:bidi w:val="0"/>
        <w:adjustRightInd/>
        <w:snapToGrid/>
        <w:spacing w:line="560" w:lineRule="exact"/>
        <w:ind w:firstLine="643" w:firstLineChars="200"/>
        <w:textAlignment w:val="auto"/>
        <w:rPr>
          <w:rFonts w:ascii="SimSun" w:hAnsi="SimSun" w:eastAsia="SimSun" w:cs="SimSun"/>
          <w:kern w:val="0"/>
          <w:sz w:val="32"/>
          <w:szCs w:val="32"/>
        </w:rPr>
      </w:pPr>
      <w:r>
        <w:rPr>
          <w:rFonts w:hint="eastAsia" w:ascii="SimSun" w:hAnsi="SimSun" w:eastAsia="SimSun" w:cs="仿宋_GB2312"/>
          <w:b/>
          <w:bCs/>
          <w:color w:val="000000"/>
          <w:kern w:val="0"/>
          <w:sz w:val="32"/>
          <w:szCs w:val="32"/>
        </w:rPr>
        <w:t>主管部门（公章）：</w:t>
      </w:r>
      <w:r>
        <w:rPr>
          <w:rFonts w:hint="eastAsia" w:ascii="红豆小标宋简体" w:hAnsi="红豆小标宋简体" w:eastAsia="红豆小标宋简体" w:cs="红豆小标宋简体"/>
          <w:color w:val="000000"/>
          <w:kern w:val="0"/>
          <w:sz w:val="28"/>
          <w:szCs w:val="28"/>
          <w:lang w:val="en-US" w:eastAsia="zh-CN"/>
        </w:rPr>
        <w:t>巴州林业和草原局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28"/>
          <w:szCs w:val="28"/>
          <w:lang w:val="en-US" w:eastAsia="zh-CN"/>
        </w:rPr>
      </w:pPr>
      <w:r>
        <w:rPr>
          <w:rFonts w:hint="eastAsia" w:ascii="SimSun" w:hAnsi="SimSun" w:eastAsia="SimSun" w:cs="仿宋_GB2312"/>
          <w:b/>
          <w:bCs/>
          <w:color w:val="000000"/>
          <w:kern w:val="0"/>
          <w:sz w:val="32"/>
          <w:szCs w:val="32"/>
        </w:rPr>
        <w:t>项目负责人（签章）：</w:t>
      </w:r>
      <w:r>
        <w:rPr>
          <w:rFonts w:hint="eastAsia" w:ascii="红豆小标宋简体" w:hAnsi="红豆小标宋简体" w:eastAsia="红豆小标宋简体" w:cs="红豆小标宋简体"/>
          <w:color w:val="000000"/>
          <w:kern w:val="0"/>
          <w:sz w:val="28"/>
          <w:szCs w:val="28"/>
          <w:lang w:val="en-US" w:eastAsia="zh-CN"/>
        </w:rPr>
        <w:t>刘德林</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28"/>
          <w:szCs w:val="28"/>
          <w:lang w:val="en-US" w:eastAsia="zh-CN"/>
        </w:rPr>
      </w:pPr>
      <w:r>
        <w:rPr>
          <w:rFonts w:hint="eastAsia" w:ascii="SimSun" w:hAnsi="SimSun" w:eastAsia="SimSun" w:cs="仿宋_GB2312"/>
          <w:b/>
          <w:bCs/>
          <w:color w:val="000000"/>
          <w:kern w:val="0"/>
          <w:sz w:val="32"/>
          <w:szCs w:val="32"/>
        </w:rPr>
        <w:t>填报时间：</w:t>
      </w:r>
      <w:r>
        <w:rPr>
          <w:rFonts w:hint="eastAsia" w:ascii="红豆小标宋简体" w:hAnsi="红豆小标宋简体" w:eastAsia="红豆小标宋简体" w:cs="红豆小标宋简体"/>
          <w:color w:val="000000"/>
          <w:kern w:val="0"/>
          <w:sz w:val="28"/>
          <w:szCs w:val="28"/>
          <w:lang w:val="en-US" w:eastAsia="zh-CN"/>
        </w:rPr>
        <w:t>2024年4月29日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SimSun" w:hAnsi="SimSun" w:eastAsia="SimSun" w:cs="Arial"/>
          <w:b/>
          <w:bCs/>
          <w:sz w:val="36"/>
          <w:szCs w:val="36"/>
        </w:rPr>
      </w:pPr>
      <w:r>
        <w:rPr>
          <w:rFonts w:ascii="SimSun" w:hAnsi="SimSun" w:eastAsia="SimSun"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SimSun" w:cs="Arial"/>
          <w:b/>
          <w:bCs/>
          <w:sz w:val="36"/>
          <w:szCs w:val="36"/>
        </w:rPr>
      </w:pPr>
      <w:r>
        <w:rPr>
          <w:rFonts w:hint="eastAsia" w:ascii="SimSun" w:hAnsi="SimSun" w:eastAsia="SimSun" w:cs="Arial"/>
          <w:b/>
          <w:bCs/>
          <w:sz w:val="36"/>
          <w:szCs w:val="36"/>
        </w:rPr>
        <w:t>项目支出</w:t>
      </w:r>
      <w:r>
        <w:rPr>
          <w:rFonts w:ascii="SimSun" w:hAnsi="SimSun" w:eastAsia="SimSun" w:cs="Arial"/>
          <w:b/>
          <w:bCs/>
          <w:sz w:val="36"/>
          <w:szCs w:val="36"/>
        </w:rPr>
        <w:t>绩效</w:t>
      </w:r>
      <w:r>
        <w:rPr>
          <w:rFonts w:hint="eastAsia" w:ascii="SimSun" w:hAnsi="SimSun" w:eastAsia="SimSun" w:cs="Arial"/>
          <w:b/>
          <w:bCs/>
          <w:sz w:val="36"/>
          <w:szCs w:val="36"/>
        </w:rPr>
        <w:t>评价报告</w:t>
      </w:r>
    </w:p>
    <w:p>
      <w:pPr>
        <w:pStyle w:val="2"/>
        <w:jc w:val="both"/>
      </w:pPr>
    </w:p>
    <w:p>
      <w:pPr>
        <w:pStyle w:val="3"/>
        <w:pageBreakBefore w:val="0"/>
        <w:kinsoku/>
        <w:wordWrap/>
        <w:overflowPunct/>
        <w:topLinePunct w:val="0"/>
        <w:autoSpaceDE/>
        <w:autoSpaceDN/>
        <w:bidi w:val="0"/>
        <w:adjustRightInd/>
        <w:snapToGrid/>
        <w:spacing w:before="0" w:after="0" w:line="500" w:lineRule="exact"/>
        <w:ind w:firstLine="643" w:firstLineChars="200"/>
        <w:textAlignment w:val="auto"/>
        <w:rPr>
          <w:rFonts w:ascii="SimSun" w:hAnsi="SimSun" w:eastAsia="SimSun"/>
          <w:sz w:val="32"/>
          <w:szCs w:val="32"/>
        </w:rPr>
      </w:pPr>
      <w:bookmarkStart w:id="0" w:name="_Toc68703827"/>
      <w:r>
        <w:rPr>
          <w:rFonts w:hint="eastAsia" w:ascii="SimSun" w:hAnsi="SimSun" w:eastAsia="SimSun"/>
          <w:sz w:val="32"/>
          <w:szCs w:val="32"/>
        </w:rPr>
        <w:t>一、基本情况</w:t>
      </w:r>
      <w:bookmarkEnd w:id="0"/>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（1）项目背景</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lang w:val="en-US" w:eastAsia="zh-CN"/>
        </w:rPr>
        <w:t>新疆塔里木胡杨国家级自然保护区是塔里木盆地内陆干旱区以胡杨林荒漠生态系统为保护对象的森林类型的自然保护区，保护区总面积为593万亩，区划国家级公益林293.46万亩。国家级公益林中，林地所有权全部为国有，生态区位全部为国家级自然保护区。林种全部为特种用途林，林地结构全部为重点公益林，事权等级全部为国家级公益林，保护等级全部为一级保护。</w:t>
      </w:r>
      <w:r>
        <w:rPr>
          <w:rFonts w:hint="eastAsia" w:ascii="仿宋_GB2312" w:hAnsi="仿宋_GB2312" w:cs="仿宋_GB2312"/>
          <w:sz w:val="32"/>
          <w:szCs w:val="32"/>
          <w:lang w:val="en-US" w:eastAsia="zh-CN"/>
        </w:rPr>
        <w:t>截止2023年，</w:t>
      </w:r>
      <w:r>
        <w:rPr>
          <w:rFonts w:hint="eastAsia" w:ascii="仿宋_GB2312" w:hAnsi="仿宋_GB2312" w:eastAsia="仿宋_GB2312" w:cs="仿宋_GB2312"/>
          <w:sz w:val="32"/>
          <w:szCs w:val="32"/>
          <w:lang w:val="en-US" w:eastAsia="zh-CN"/>
        </w:rPr>
        <w:t>国家级公益林管护员100余人5个月的劳务费发放；组建</w:t>
      </w:r>
      <w:r>
        <w:rPr>
          <w:rFonts w:hint="eastAsia" w:ascii="仿宋_GB2312" w:hAnsi="仿宋_GB2312" w:cs="仿宋_GB2312"/>
          <w:sz w:val="32"/>
          <w:szCs w:val="32"/>
          <w:lang w:val="en-US" w:eastAsia="zh-CN"/>
        </w:rPr>
        <w:t>1支</w:t>
      </w:r>
      <w:r>
        <w:rPr>
          <w:rFonts w:hint="eastAsia" w:ascii="仿宋_GB2312" w:hAnsi="仿宋_GB2312" w:eastAsia="仿宋_GB2312" w:cs="仿宋_GB2312"/>
          <w:sz w:val="32"/>
          <w:szCs w:val="32"/>
          <w:lang w:val="en-US" w:eastAsia="zh-CN"/>
        </w:rPr>
        <w:t>7人森林防火应急小分队，购买森林防火应急小分队后勤保障防火物资数量1批；按要求组织好森林防火应急小分队为期30天培训</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保护区20万亩春尺蠖飞机防治工作，在相关平台上购置10500kg合格防治药剂；做好2023</w:t>
      </w:r>
      <w:r>
        <w:rPr>
          <w:rFonts w:hint="eastAsia" w:ascii="仿宋_GB2312" w:hAnsi="仿宋_GB2312" w:cs="仿宋_GB2312"/>
          <w:sz w:val="32"/>
          <w:szCs w:val="32"/>
          <w:lang w:val="en-US" w:eastAsia="zh-CN"/>
        </w:rPr>
        <w:t>年</w:t>
      </w:r>
      <w:r>
        <w:rPr>
          <w:rFonts w:hint="eastAsia" w:ascii="仿宋_GB2312" w:hAnsi="仿宋_GB2312" w:eastAsia="仿宋_GB2312" w:cs="仿宋_GB2312"/>
          <w:sz w:val="32"/>
          <w:szCs w:val="32"/>
          <w:lang w:val="en-US" w:eastAsia="zh-CN"/>
        </w:rPr>
        <w:t>25万亩引洪灌溉</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根据《新疆维吾尔自治区国家级公益林管护办法》对保护区293.46万亩国家级公益林实施有效管护。</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项目</w:t>
      </w:r>
      <w:r>
        <w:rPr>
          <w:rFonts w:hint="eastAsia" w:ascii="仿宋_GB2312" w:hAnsi="仿宋_GB2312" w:eastAsia="仿宋_GB2312" w:cs="仿宋_GB2312"/>
          <w:sz w:val="32"/>
          <w:szCs w:val="32"/>
          <w:highlight w:val="none"/>
        </w:rPr>
        <w:t>主要内容</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highlight w:val="none"/>
          <w:lang w:val="en-US" w:eastAsia="zh-CN"/>
        </w:rPr>
        <w:t>主要内容</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国家级公益林管护员100余人5个月的劳务费发放；组建</w:t>
      </w:r>
      <w:r>
        <w:rPr>
          <w:rFonts w:hint="eastAsia" w:ascii="仿宋_GB2312" w:hAnsi="仿宋_GB2312" w:cs="仿宋_GB2312"/>
          <w:color w:val="auto"/>
          <w:sz w:val="32"/>
          <w:szCs w:val="32"/>
          <w:lang w:val="en-US" w:eastAsia="zh-CN"/>
        </w:rPr>
        <w:t>1支</w:t>
      </w:r>
      <w:r>
        <w:rPr>
          <w:rFonts w:hint="eastAsia" w:ascii="仿宋_GB2312" w:hAnsi="仿宋_GB2312" w:eastAsia="仿宋_GB2312" w:cs="仿宋_GB2312"/>
          <w:color w:val="auto"/>
          <w:sz w:val="32"/>
          <w:szCs w:val="32"/>
          <w:lang w:val="en-US" w:eastAsia="zh-CN"/>
        </w:rPr>
        <w:t>7人森林防火应急小分队，购买森林防火应急小分队后勤保障防火物资数量1批；按要求组织好森林防火应急小分队为期30天培训</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保护区20万亩春尺蠖飞机防治工作，在相关平台上购置10500kg合格防治药剂；做好2023</w:t>
      </w:r>
      <w:r>
        <w:rPr>
          <w:rFonts w:hint="eastAsia" w:ascii="仿宋_GB2312" w:hAnsi="仿宋_GB2312" w:cs="仿宋_GB2312"/>
          <w:color w:val="auto"/>
          <w:sz w:val="32"/>
          <w:szCs w:val="32"/>
          <w:lang w:val="en-US" w:eastAsia="zh-CN"/>
        </w:rPr>
        <w:t>年</w:t>
      </w:r>
      <w:r>
        <w:rPr>
          <w:rFonts w:hint="eastAsia" w:ascii="仿宋_GB2312" w:hAnsi="仿宋_GB2312" w:eastAsia="仿宋_GB2312" w:cs="仿宋_GB2312"/>
          <w:color w:val="auto"/>
          <w:sz w:val="32"/>
          <w:szCs w:val="32"/>
          <w:lang w:val="en-US" w:eastAsia="zh-CN"/>
        </w:rPr>
        <w:t>25万亩引洪灌溉</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根据《新疆维吾尔自治区国家级公益林管护办法》对保护区293.46万亩国家级公益林实施有效管护。</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实施情况：</w:t>
      </w:r>
      <w:r>
        <w:rPr>
          <w:rFonts w:hint="eastAsia" w:ascii="仿宋_GB2312" w:hAnsi="仿宋_GB2312" w:eastAsia="仿宋_GB2312" w:cs="仿宋_GB2312"/>
          <w:color w:val="auto"/>
          <w:sz w:val="32"/>
          <w:szCs w:val="32"/>
          <w:highlight w:val="none"/>
          <w:lang w:val="en-US" w:eastAsia="zh-CN"/>
        </w:rPr>
        <w:t>为了切实加强国家级公益林的保护和管理，在巴州林业和草</w:t>
      </w:r>
      <w:r>
        <w:rPr>
          <w:rFonts w:hint="eastAsia" w:ascii="仿宋_GB2312" w:hAnsi="仿宋_GB2312" w:eastAsia="仿宋_GB2312" w:cs="仿宋_GB2312"/>
          <w:color w:val="auto"/>
          <w:sz w:val="32"/>
          <w:szCs w:val="32"/>
          <w:lang w:val="en-US" w:eastAsia="zh-CN"/>
        </w:rPr>
        <w:t>原局的领导下，成立由胡杨保护区管理局局长任组长的新疆胡杨自然保护区国家级公益林建设领导小组，成员由国家级公益林建设管理办公室、资金管理、基层管护站等部门负责人组成。根据新疆维吾尔自治区财政厅、林业和草原局关于印发《新疆维吾尔自治区林业改革发展资金管理实施细则》（新财建〔2019〕90号）的通知，严格执行森林生态效益补偿资金专户存储，专款专用，严禁挤占挪用，国家级公益林建设资金使用要严格审批程序。项目目前已经完成实际设立的目标，项目在实施过程中严格按照目标设立的各阶段任务进行开展工作，在前期立项过程中严格把质量关，建立安全防护机制，保证项目实施各阶段安全顺利进行，项目支出了</w:t>
      </w:r>
      <w:r>
        <w:rPr>
          <w:rFonts w:hint="eastAsia" w:ascii="仿宋_GB2312" w:hAnsi="仿宋_GB2312" w:cs="仿宋_GB2312"/>
          <w:color w:val="auto"/>
          <w:sz w:val="32"/>
          <w:szCs w:val="32"/>
          <w:lang w:val="en-US" w:eastAsia="zh-CN"/>
        </w:rPr>
        <w:t>1-5月</w:t>
      </w:r>
      <w:r>
        <w:rPr>
          <w:rFonts w:hint="eastAsia" w:ascii="仿宋_GB2312" w:hAnsi="仿宋_GB2312" w:eastAsia="仿宋_GB2312" w:cs="仿宋_GB2312"/>
          <w:color w:val="auto"/>
          <w:sz w:val="32"/>
          <w:szCs w:val="32"/>
          <w:lang w:val="en-US" w:eastAsia="zh-CN"/>
        </w:rPr>
        <w:t>管护人员工资、社保、</w:t>
      </w:r>
      <w:r>
        <w:rPr>
          <w:rFonts w:hint="eastAsia" w:ascii="仿宋_GB2312" w:hAnsi="仿宋_GB2312" w:cs="仿宋_GB2312"/>
          <w:color w:val="auto"/>
          <w:sz w:val="32"/>
          <w:szCs w:val="32"/>
          <w:lang w:val="en-US" w:eastAsia="zh-CN"/>
        </w:rPr>
        <w:t>做好保护区</w:t>
      </w:r>
      <w:r>
        <w:rPr>
          <w:rFonts w:hint="eastAsia" w:ascii="仿宋_GB2312" w:hAnsi="仿宋_GB2312" w:eastAsia="仿宋_GB2312" w:cs="仿宋_GB2312"/>
          <w:color w:val="auto"/>
          <w:sz w:val="32"/>
          <w:szCs w:val="32"/>
          <w:lang w:val="en-US" w:eastAsia="zh-CN"/>
        </w:rPr>
        <w:t>宣传培训、管护站</w:t>
      </w:r>
      <w:r>
        <w:rPr>
          <w:rFonts w:hint="eastAsia" w:ascii="仿宋_GB2312" w:hAnsi="仿宋_GB2312" w:cs="仿宋_GB2312"/>
          <w:color w:val="auto"/>
          <w:sz w:val="32"/>
          <w:szCs w:val="32"/>
          <w:lang w:val="en-US" w:eastAsia="zh-CN"/>
        </w:rPr>
        <w:t>修缮、25万亩引洪灌溉、20万天然林</w:t>
      </w:r>
      <w:r>
        <w:rPr>
          <w:rFonts w:hint="eastAsia" w:ascii="仿宋_GB2312" w:hAnsi="仿宋_GB2312" w:eastAsia="仿宋_GB2312" w:cs="仿宋_GB2312"/>
          <w:color w:val="auto"/>
          <w:sz w:val="32"/>
          <w:szCs w:val="32"/>
          <w:lang w:val="en-US" w:eastAsia="zh-CN"/>
        </w:rPr>
        <w:t>春尺蠖</w:t>
      </w:r>
      <w:r>
        <w:rPr>
          <w:rFonts w:hint="eastAsia" w:ascii="仿宋_GB2312" w:hAnsi="仿宋_GB2312" w:cs="仿宋_GB2312"/>
          <w:color w:val="auto"/>
          <w:sz w:val="32"/>
          <w:szCs w:val="32"/>
          <w:lang w:val="en-US" w:eastAsia="zh-CN"/>
        </w:rPr>
        <w:t>飞机防治、</w:t>
      </w:r>
      <w:r>
        <w:rPr>
          <w:rFonts w:hint="eastAsia" w:ascii="仿宋_GB2312" w:hAnsi="仿宋_GB2312" w:eastAsia="仿宋_GB2312" w:cs="仿宋_GB2312"/>
          <w:color w:val="auto"/>
          <w:sz w:val="32"/>
          <w:szCs w:val="32"/>
          <w:lang w:val="en-US" w:eastAsia="zh-CN"/>
        </w:rPr>
        <w:t>森林防火应急小分队后勤保障防火物资</w:t>
      </w:r>
      <w:r>
        <w:rPr>
          <w:rFonts w:hint="eastAsia" w:ascii="仿宋_GB2312" w:hAnsi="仿宋_GB2312" w:cs="仿宋_GB2312"/>
          <w:color w:val="auto"/>
          <w:sz w:val="32"/>
          <w:szCs w:val="32"/>
          <w:lang w:val="en-US" w:eastAsia="zh-CN"/>
        </w:rPr>
        <w:t>及培训、国有公益林综合治理。</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资金投入和使用情况</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资金投入情况：</w:t>
      </w:r>
      <w:r>
        <w:rPr>
          <w:rFonts w:hint="eastAsia" w:ascii="仿宋_GB2312" w:hAnsi="仿宋_GB2312" w:eastAsia="仿宋_GB2312" w:cs="仿宋_GB2312"/>
          <w:sz w:val="32"/>
          <w:szCs w:val="32"/>
          <w:highlight w:val="none"/>
          <w:lang w:val="en-US" w:eastAsia="zh-CN"/>
        </w:rPr>
        <w:t>该项目年初预算数1250.61万元，全年预算数1250.61万元，实际总投入1250.61万元，该项目资金已全部落实到位，资金来源为</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上级专项-2023年中央财政林业草原生态保护恢复资金（国有林保护修复--国有国家级公益林管护补助)。</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该项目年初预算数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万元，全年预算数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万元,全年执行数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万元，预算执行率为100%，主要用于：管护人员劳务补偿</w:t>
      </w:r>
      <w:r>
        <w:rPr>
          <w:rFonts w:hint="eastAsia" w:ascii="仿宋_GB2312" w:hAnsi="仿宋_GB2312" w:cs="仿宋_GB2312"/>
          <w:color w:val="auto"/>
          <w:sz w:val="32"/>
          <w:szCs w:val="32"/>
          <w:lang w:val="en-US" w:eastAsia="zh-CN"/>
        </w:rPr>
        <w:t>323.48万、国家级公益林管护日常支出60万、引洪灌溉560万、森林应急小分队物资及培训费20万、蠢尺蠖飞机作业及防治药剂117.13万、国有公益林综合治理170万。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（二）项目绩效目标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1、总体目标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运用好项目资金，加强对新疆塔里木胡杨国家级自然保护区国家公益林293.46万亩的管护，确保公益林安全和保护稳定，使生态环境得到改善。</w:t>
      </w:r>
    </w:p>
    <w:p>
      <w:pPr>
        <w:pageBreakBefore w:val="0"/>
        <w:numPr>
          <w:ilvl w:val="0"/>
          <w:numId w:val="1"/>
        </w:numPr>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阶段性目标</w:t>
      </w:r>
    </w:p>
    <w:p>
      <w:pPr>
        <w:pageBreakBefore w:val="0"/>
        <w:numPr>
          <w:ilvl w:val="0"/>
          <w:numId w:val="0"/>
        </w:numPr>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1-5月按时</w:t>
      </w:r>
      <w:r>
        <w:rPr>
          <w:rFonts w:hint="eastAsia" w:ascii="仿宋_GB2312" w:hAnsi="仿宋_GB2312" w:eastAsia="仿宋_GB2312" w:cs="仿宋_GB2312"/>
          <w:color w:val="auto"/>
          <w:sz w:val="32"/>
          <w:szCs w:val="32"/>
          <w:lang w:val="en-US" w:eastAsia="zh-CN"/>
        </w:rPr>
        <w:t>发放管护人员工资，缴纳社会保险、</w:t>
      </w:r>
      <w:r>
        <w:rPr>
          <w:rFonts w:hint="eastAsia" w:ascii="仿宋_GB2312" w:hAnsi="仿宋_GB2312" w:cs="仿宋_GB2312"/>
          <w:color w:val="auto"/>
          <w:sz w:val="32"/>
          <w:szCs w:val="32"/>
          <w:lang w:val="en-US" w:eastAsia="zh-CN"/>
        </w:rPr>
        <w:t>管护站</w:t>
      </w:r>
      <w:r>
        <w:rPr>
          <w:rFonts w:hint="eastAsia" w:ascii="仿宋_GB2312" w:hAnsi="仿宋_GB2312" w:eastAsia="仿宋_GB2312" w:cs="仿宋_GB2312"/>
          <w:color w:val="auto"/>
          <w:sz w:val="32"/>
          <w:szCs w:val="32"/>
          <w:lang w:val="en-US" w:eastAsia="zh-CN"/>
        </w:rPr>
        <w:t>宣传、管护车辆日常维护、修缮费</w:t>
      </w:r>
      <w:r>
        <w:rPr>
          <w:rFonts w:hint="eastAsia" w:ascii="仿宋_GB2312" w:hAnsi="仿宋_GB2312" w:cs="仿宋_GB2312"/>
          <w:color w:val="auto"/>
          <w:sz w:val="32"/>
          <w:szCs w:val="32"/>
          <w:lang w:val="en-US" w:eastAsia="zh-CN"/>
        </w:rPr>
        <w:t>；4月开展森林应急小分队物资购买及培训工作；对保护区20万亩天然林进行蠢尺蠖飞机作业；5月初-8月初对保护区25万亩引洪灌溉</w:t>
      </w:r>
      <w:r>
        <w:rPr>
          <w:rFonts w:hint="eastAsia" w:ascii="仿宋_GB2312" w:hAnsi="仿宋_GB2312" w:eastAsia="仿宋_GB2312" w:cs="仿宋_GB2312"/>
          <w:color w:val="auto"/>
          <w:sz w:val="32"/>
          <w:szCs w:val="32"/>
          <w:lang w:val="en-US" w:eastAsia="zh-CN"/>
        </w:rPr>
        <w:t>防洪</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临时性季节用工</w:t>
      </w:r>
      <w:r>
        <w:rPr>
          <w:rFonts w:hint="eastAsia" w:ascii="仿宋_GB2312" w:hAnsi="仿宋_GB2312" w:cs="仿宋_GB2312"/>
          <w:color w:val="auto"/>
          <w:sz w:val="32"/>
          <w:szCs w:val="32"/>
          <w:lang w:val="en-US" w:eastAsia="zh-CN"/>
        </w:rPr>
        <w:t>；6月初-9月对保护区国有公益林综合治理</w:t>
      </w:r>
      <w:r>
        <w:rPr>
          <w:rFonts w:hint="eastAsia" w:ascii="仿宋_GB2312" w:hAnsi="仿宋_GB2312" w:eastAsia="仿宋_GB2312" w:cs="仿宋_GB2312"/>
          <w:color w:val="auto"/>
          <w:sz w:val="32"/>
          <w:szCs w:val="32"/>
          <w:lang w:val="en-US" w:eastAsia="zh-CN"/>
        </w:rPr>
        <w:t>。</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二、绩效评价工作开展情况</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（一）绩效评价目的、对象和范围</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1、绩效评价的目的</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财政支出绩效评价运用科学、规范的绩效评价方法，制定统一的评价标准，使</w:t>
      </w:r>
      <w:r>
        <w:rPr>
          <w:rFonts w:hint="eastAsia" w:ascii="仿宋_GB2312" w:hAnsi="仿宋_GB2312" w:eastAsia="仿宋_GB2312" w:cs="仿宋_GB2312"/>
          <w:color w:val="auto"/>
          <w:sz w:val="32"/>
          <w:szCs w:val="32"/>
          <w:lang w:val="en-US" w:eastAsia="zh-CN"/>
        </w:rPr>
        <w:t>塔里木胡杨国家级自然保护区建设项目</w:t>
      </w:r>
      <w:r>
        <w:rPr>
          <w:rFonts w:hint="eastAsia" w:ascii="仿宋_GB2312" w:hAnsi="仿宋_GB2312" w:eastAsia="仿宋_GB2312" w:cs="仿宋_GB2312"/>
          <w:color w:val="auto"/>
          <w:sz w:val="32"/>
          <w:szCs w:val="32"/>
        </w:rPr>
        <w:t>资金得到事前、事中和事后多方面的控制。财政支出绩效评价贯穿于</w:t>
      </w:r>
      <w:r>
        <w:rPr>
          <w:rFonts w:hint="eastAsia" w:ascii="仿宋_GB2312" w:hAnsi="仿宋_GB2312" w:eastAsia="仿宋_GB2312" w:cs="仿宋_GB2312"/>
          <w:color w:val="auto"/>
          <w:sz w:val="32"/>
          <w:szCs w:val="32"/>
          <w:lang w:val="en-US" w:eastAsia="zh-CN"/>
        </w:rPr>
        <w:t>塔里木胡杨国家级自然保护区</w:t>
      </w:r>
      <w:r>
        <w:rPr>
          <w:rFonts w:hint="eastAsia" w:ascii="仿宋_GB2312" w:hAnsi="仿宋_GB2312" w:eastAsia="仿宋_GB2312" w:cs="仿宋_GB2312"/>
          <w:color w:val="auto"/>
          <w:sz w:val="32"/>
          <w:szCs w:val="32"/>
        </w:rPr>
        <w:t>建设项目</w:t>
      </w:r>
      <w:r>
        <w:rPr>
          <w:rFonts w:hint="eastAsia" w:ascii="仿宋_GB2312" w:hAnsi="仿宋_GB2312" w:eastAsia="仿宋_GB2312" w:cs="仿宋_GB2312"/>
          <w:color w:val="auto"/>
          <w:sz w:val="32"/>
          <w:szCs w:val="32"/>
          <w:lang w:val="en-US" w:eastAsia="zh-CN"/>
        </w:rPr>
        <w:t>资金</w:t>
      </w:r>
      <w:r>
        <w:rPr>
          <w:rFonts w:hint="eastAsia" w:ascii="仿宋_GB2312" w:hAnsi="仿宋_GB2312" w:eastAsia="仿宋_GB2312" w:cs="仿宋_GB2312"/>
          <w:color w:val="auto"/>
          <w:sz w:val="32"/>
          <w:szCs w:val="32"/>
        </w:rPr>
        <w:t>安排和实施的全过程，是对财政支出效益、管理水平、投入风险等方面的综合评价；是发挥</w:t>
      </w:r>
      <w:r>
        <w:rPr>
          <w:rFonts w:hint="eastAsia" w:ascii="仿宋_GB2312" w:hAnsi="仿宋_GB2312" w:eastAsia="仿宋_GB2312" w:cs="仿宋_GB2312"/>
          <w:color w:val="auto"/>
          <w:sz w:val="32"/>
          <w:szCs w:val="32"/>
          <w:lang w:val="en-US" w:eastAsia="zh-CN"/>
        </w:rPr>
        <w:t>资金</w:t>
      </w:r>
      <w:r>
        <w:rPr>
          <w:rFonts w:hint="eastAsia" w:ascii="仿宋_GB2312" w:hAnsi="仿宋_GB2312" w:eastAsia="仿宋_GB2312" w:cs="仿宋_GB2312"/>
          <w:color w:val="auto"/>
          <w:sz w:val="32"/>
          <w:szCs w:val="32"/>
        </w:rPr>
        <w:t>调控功能、提高资金安排科学性、促进</w:t>
      </w:r>
      <w:r>
        <w:rPr>
          <w:rFonts w:hint="eastAsia" w:ascii="仿宋_GB2312" w:hAnsi="仿宋_GB2312" w:eastAsia="仿宋_GB2312" w:cs="仿宋_GB2312"/>
          <w:color w:val="auto"/>
          <w:sz w:val="32"/>
          <w:szCs w:val="32"/>
          <w:lang w:val="en-US" w:eastAsia="zh-CN"/>
        </w:rPr>
        <w:t>项目资金</w:t>
      </w:r>
      <w:r>
        <w:rPr>
          <w:rFonts w:hint="eastAsia" w:ascii="仿宋_GB2312" w:hAnsi="仿宋_GB2312" w:eastAsia="仿宋_GB2312" w:cs="仿宋_GB2312"/>
          <w:color w:val="auto"/>
          <w:sz w:val="32"/>
          <w:szCs w:val="32"/>
        </w:rPr>
        <w:t>社会经济目标实现的重要保证。</w:t>
      </w:r>
    </w:p>
    <w:p>
      <w:pPr>
        <w:keepNext w:val="0"/>
        <w:keepLines w:val="0"/>
        <w:pageBreakBefore w:val="0"/>
        <w:widowControl/>
        <w:numPr>
          <w:ilvl w:val="0"/>
          <w:numId w:val="0"/>
        </w:numPr>
        <w:kinsoku/>
        <w:wordWrap/>
        <w:overflowPunct w:val="0"/>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sz w:val="32"/>
          <w:szCs w:val="32"/>
          <w:lang w:val="en-US" w:eastAsia="zh-CN"/>
        </w:rPr>
        <w:t>项目在实施前向项目负责人提供财政支出绩效方面的资金管理信息，促进项目支出严格按照资金管理规定进行。</w:t>
      </w:r>
    </w:p>
    <w:p>
      <w:pPr>
        <w:keepNext w:val="0"/>
        <w:keepLines w:val="0"/>
        <w:pageBreakBefore w:val="0"/>
        <w:widowControl/>
        <w:numPr>
          <w:ilvl w:val="0"/>
          <w:numId w:val="0"/>
        </w:numPr>
        <w:kinsoku/>
        <w:wordWrap/>
        <w:overflowPunct w:val="0"/>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sz w:val="32"/>
          <w:szCs w:val="32"/>
          <w:lang w:val="en-US" w:eastAsia="zh-CN"/>
        </w:rPr>
        <w:t>项目绩效管理财政支出运行提供及时、有效的信息。</w:t>
      </w:r>
    </w:p>
    <w:p>
      <w:pPr>
        <w:pStyle w:val="18"/>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2.绩效评价对象：</w:t>
      </w:r>
    </w:p>
    <w:p>
      <w:pPr>
        <w:pageBreakBefore w:val="0"/>
        <w:kinsoku/>
        <w:wordWrap/>
        <w:topLinePunct w:val="0"/>
        <w:autoSpaceDE/>
        <w:autoSpaceDN/>
        <w:bidi w:val="0"/>
        <w:adjustRightInd/>
        <w:snapToGrid/>
        <w:spacing w:beforeLines="0" w:afterLines="0" w:line="500" w:lineRule="exact"/>
        <w:ind w:firstLine="640" w:firstLineChars="200"/>
        <w:jc w:val="left"/>
        <w:textAlignment w:val="auto"/>
        <w:rPr>
          <w:rFonts w:hint="eastAsia" w:ascii="仿宋_GB2312" w:hAnsi="仿宋_GB2312" w:cs="仿宋_GB2312"/>
          <w:sz w:val="32"/>
          <w:szCs w:val="32"/>
          <w:lang w:val="en-US" w:eastAsia="zh-CN"/>
        </w:rPr>
      </w:pPr>
      <w:bookmarkStart w:id="1" w:name="_Toc68703832"/>
      <w:r>
        <w:rPr>
          <w:rFonts w:hint="eastAsia" w:ascii="仿宋_GB2312" w:hAnsi="仿宋_GB2312" w:eastAsia="仿宋_GB2312" w:cs="仿宋_GB2312"/>
          <w:kern w:val="0"/>
          <w:sz w:val="32"/>
          <w:szCs w:val="32"/>
          <w:lang w:val="en-US" w:eastAsia="zh-CN" w:bidi="ar-SA"/>
        </w:rPr>
        <w:t xml:space="preserve">上级专项-2023年中央财政林业草原生态保护恢复资金（国有林保护修复--国有国家级公益林管护补助)项目所包含的全部项目内容。  </w:t>
      </w:r>
      <w:r>
        <w:rPr>
          <w:rFonts w:hint="eastAsia" w:ascii="仿宋_GB2312" w:hAnsi="仿宋_GB2312" w:cs="仿宋_GB2312"/>
          <w:sz w:val="32"/>
          <w:szCs w:val="32"/>
          <w:lang w:val="en-US" w:eastAsia="zh-CN"/>
        </w:rPr>
        <w:t xml:space="preserve">   </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绩效评价范围：</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color w:val="auto"/>
          <w:lang w:val="en-US" w:eastAsia="zh-CN"/>
        </w:rPr>
      </w:pPr>
      <w:r>
        <w:rPr>
          <w:rFonts w:hint="eastAsia" w:ascii="仿宋_GB2312" w:hAnsi="仿宋_GB2312" w:eastAsia="仿宋_GB2312" w:cs="仿宋_GB2312"/>
          <w:color w:val="auto"/>
          <w:sz w:val="32"/>
          <w:szCs w:val="32"/>
          <w:lang w:val="en-US" w:eastAsia="zh-CN"/>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cs="仿宋_GB2312"/>
          <w:color w:val="auto"/>
          <w:sz w:val="32"/>
          <w:szCs w:val="32"/>
          <w:lang w:val="en-US" w:eastAsia="zh-CN"/>
        </w:rPr>
        <w:t>2023年中央财政林业草原生态保护恢复资金（国有林保护修复--国有国家级公益林管护补助)</w:t>
      </w:r>
      <w:r>
        <w:rPr>
          <w:rFonts w:hint="eastAsia" w:ascii="仿宋_GB2312" w:hAnsi="仿宋_GB2312" w:eastAsia="仿宋_GB2312" w:cs="仿宋_GB2312"/>
          <w:color w:val="auto"/>
          <w:sz w:val="32"/>
          <w:szCs w:val="32"/>
          <w:lang w:val="en-US" w:eastAsia="zh-CN"/>
        </w:rPr>
        <w:t>项目所包含</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管护人员劳务补偿</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日常管护</w:t>
      </w:r>
      <w:r>
        <w:rPr>
          <w:rFonts w:hint="eastAsia" w:ascii="仿宋_GB2312" w:hAnsi="仿宋_GB2312" w:cs="仿宋_GB2312"/>
          <w:color w:val="auto"/>
          <w:sz w:val="32"/>
          <w:szCs w:val="32"/>
          <w:lang w:val="en-US" w:eastAsia="zh-CN"/>
        </w:rPr>
        <w:t>、森林应急小分队、</w:t>
      </w:r>
      <w:r>
        <w:rPr>
          <w:rFonts w:hint="eastAsia" w:ascii="仿宋_GB2312" w:hAnsi="仿宋_GB2312" w:eastAsia="仿宋_GB2312" w:cs="仿宋_GB2312"/>
          <w:b w:val="0"/>
          <w:bCs w:val="0"/>
          <w:color w:val="auto"/>
          <w:kern w:val="2"/>
          <w:sz w:val="32"/>
          <w:szCs w:val="32"/>
          <w:lang w:val="en-US" w:eastAsia="zh-CN" w:bidi="ar-SA"/>
        </w:rPr>
        <w:t>蠢尺蠖飞机防治</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引洪灌溉</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国有公益林综合治理</w:t>
      </w:r>
      <w:r>
        <w:rPr>
          <w:rFonts w:hint="eastAsia" w:ascii="仿宋_GB2312" w:hAnsi="仿宋_GB2312" w:eastAsia="仿宋_GB2312" w:cs="仿宋_GB2312"/>
          <w:color w:val="auto"/>
          <w:sz w:val="32"/>
          <w:szCs w:val="32"/>
          <w:lang w:val="en-US" w:eastAsia="zh-CN"/>
        </w:rPr>
        <w:t>进行评价，评价核心为专项资金的支出完成情况和效果。</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（二）绩效评价原则、评价指标体系、评价方法、评价标准等。</w:t>
      </w:r>
      <w:bookmarkEnd w:id="1"/>
      <w:bookmarkStart w:id="16" w:name="_GoBack"/>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科学公正。本次项目支出绩效评价运用科学合理的方法，巴州林业和草原局成立技术指导组，按照规范的程序，对项目立项入库，资金下达后对项目进行公开招标，做好项目监理等工作，对项目绩效进行客观、公正的反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统筹兼顾。全面考虑项目实施的各个方面，在项目实施过程中，召开会议集体决策，兼顾社会效益等诸多因素综合考虑，做好项目施工的每一步工作。本次项目支出绩效评价由新疆塔里木胡杨国家级自然保护区管理局自主实施，即“谁支出、谁自评”。</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w:t>
      </w:r>
      <w:r>
        <w:rPr>
          <w:rFonts w:hint="eastAsia" w:ascii="仿宋_GB2312" w:hAnsi="仿宋_GB2312" w:cs="仿宋_GB2312"/>
          <w:b w:val="0"/>
          <w:bCs w:val="0"/>
          <w:kern w:val="2"/>
          <w:sz w:val="32"/>
          <w:szCs w:val="32"/>
          <w:lang w:val="en-US" w:eastAsia="zh-CN" w:bidi="ar-SA"/>
        </w:rPr>
        <w:t>3</w:t>
      </w:r>
      <w:r>
        <w:rPr>
          <w:rFonts w:hint="eastAsia" w:ascii="仿宋_GB2312" w:hAnsi="仿宋_GB2312" w:eastAsia="仿宋_GB2312" w:cs="仿宋_GB2312"/>
          <w:b w:val="0"/>
          <w:bCs w:val="0"/>
          <w:kern w:val="2"/>
          <w:sz w:val="32"/>
          <w:szCs w:val="32"/>
          <w:lang w:val="en-US" w:eastAsia="zh-CN" w:bidi="ar-SA"/>
        </w:rPr>
        <w:t>）激励约束。通过评价起到激励和约束作用，进一步提升项目实施的效益提升。本次项目支出绩效评价结果与项目分配实质性挂钩，对分配项目落实不好的科室、个人进行提示、通报，体现奖优罚劣和激励相容导向，有效要安排、低效要压减、无效要问责。</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（4）公开透明。绩效评价结果应依法依规</w:t>
      </w:r>
      <w:r>
        <w:rPr>
          <w:rFonts w:hint="eastAsia" w:ascii="仿宋_GB2312" w:hAnsi="仿宋_GB2312" w:cs="仿宋_GB2312"/>
          <w:b w:val="0"/>
          <w:bCs w:val="0"/>
          <w:kern w:val="2"/>
          <w:sz w:val="32"/>
          <w:szCs w:val="32"/>
          <w:lang w:val="en-US" w:eastAsia="zh-CN" w:bidi="ar-SA"/>
        </w:rPr>
        <w:t>在巴州人民政府网站进行</w:t>
      </w:r>
      <w:r>
        <w:rPr>
          <w:rFonts w:hint="eastAsia" w:ascii="仿宋_GB2312" w:hAnsi="仿宋_GB2312" w:eastAsia="仿宋_GB2312" w:cs="仿宋_GB2312"/>
          <w:b w:val="0"/>
          <w:bCs w:val="0"/>
          <w:kern w:val="2"/>
          <w:sz w:val="32"/>
          <w:szCs w:val="32"/>
          <w:lang w:val="en-US" w:eastAsia="zh-CN" w:bidi="ar-SA"/>
        </w:rPr>
        <w:t>公开，并自觉接受社会监督。</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000000"/>
          <w:spacing w:val="17"/>
          <w:sz w:val="32"/>
          <w:szCs w:val="32"/>
        </w:rPr>
        <w:t>确定各个指标相对于项目总体绩效的权重分值。在绩效评价指标体系中，</w:t>
      </w:r>
      <w:r>
        <w:rPr>
          <w:rFonts w:hint="eastAsia" w:ascii="仿宋_GB2312" w:hAnsi="仿宋_GB2312" w:eastAsia="仿宋_GB2312" w:cs="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00" w:lineRule="exact"/>
        <w:ind w:firstLine="708" w:firstLineChars="200"/>
        <w:jc w:val="both"/>
        <w:textAlignment w:val="auto"/>
        <w:rPr>
          <w:rFonts w:hint="eastAsia" w:ascii="仿宋_GB2312" w:hAnsi="仿宋_GB2312" w:eastAsia="仿宋_GB2312" w:cs="仿宋_GB2312"/>
          <w:b w:val="0"/>
          <w:bCs w:val="0"/>
          <w:color w:val="000000"/>
          <w:spacing w:val="17"/>
          <w:kern w:val="2"/>
          <w:sz w:val="32"/>
          <w:szCs w:val="32"/>
        </w:rPr>
      </w:pPr>
      <w:r>
        <w:rPr>
          <w:rFonts w:hint="eastAsia" w:ascii="仿宋_GB2312" w:hAnsi="仿宋_GB2312" w:eastAsia="仿宋_GB2312" w:cs="仿宋_GB2312"/>
          <w:b w:val="0"/>
          <w:bCs w:val="0"/>
          <w:color w:val="000000"/>
          <w:spacing w:val="17"/>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bookmarkStart w:id="2" w:name="_Toc68703833"/>
      <w:r>
        <w:rPr>
          <w:rFonts w:hint="eastAsia" w:ascii="仿宋_GB2312" w:hAnsi="仿宋_GB2312" w:eastAsia="仿宋_GB2312" w:cs="仿宋_GB2312"/>
          <w:sz w:val="32"/>
          <w:szCs w:val="32"/>
        </w:rPr>
        <w:t>3、评价方法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绩效评价从项目决策、项目过程、项目产出、项目效益四个维度进行评价。评价对象为项目目标实施情况，  评价核心为资金的支出完成情况和项目的产出效益。</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本次评价指标中，既有定性指标又有定量指标，各类指标因考核内容不同和客观标准不同存在较大差异，因此核定具体指标时采用了不同方法，具体评价方法如下：</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（1）比较法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通过对绩效目标与实施效果、历史与当期情况，综合分析绩效目标实现程度。对项目最终验收情况与年度绩效目标对比、预算资金执行情况等相关因素进行比较。</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（2）因素分析法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4.评价标准</w:t>
      </w:r>
    </w:p>
    <w:bookmarkEnd w:id="2"/>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bookmarkStart w:id="3" w:name="_Toc68703834"/>
      <w:r>
        <w:rPr>
          <w:rFonts w:hint="eastAsia" w:ascii="仿宋_GB2312" w:hAnsi="仿宋_GB2312" w:eastAsia="仿宋_GB2312" w:cs="仿宋_GB2312"/>
          <w:sz w:val="32"/>
          <w:szCs w:val="32"/>
          <w:lang w:val="en-US" w:eastAsia="zh-CN"/>
        </w:rPr>
        <w:t>绩效评价标准通常包括计划标准、行业标准、历史标准等，用于对绩效指标完成情况进行比较、分析、评价。本次评价主要采用了计划标准。根据《关于提前下达2023年中央林业草原生态保护恢复资金预算的通知》（巴财建[2022]132号）下达的资金任务结合我局实际情况，设置年初绩效目标申报表时预选制定计划、设置年初预算及参照历史数据，并根据该项目的年度计划确定三级指标进行评价。</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（三）</w:t>
      </w:r>
      <w:r>
        <w:rPr>
          <w:rFonts w:hint="eastAsia" w:ascii="仿宋_GB2312" w:hAnsi="仿宋_GB2312" w:eastAsia="仿宋_GB2312" w:cs="仿宋_GB2312"/>
          <w:b w:val="0"/>
          <w:bCs w:val="0"/>
          <w:sz w:val="32"/>
          <w:szCs w:val="32"/>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1.前期准备。首先成立评价工作组，</w:t>
      </w:r>
      <w:r>
        <w:rPr>
          <w:rFonts w:hint="eastAsia" w:ascii="仿宋_GB2312" w:hAnsi="仿宋_GB2312" w:cs="仿宋_GB2312"/>
          <w:bCs/>
          <w:color w:val="auto"/>
          <w:sz w:val="32"/>
          <w:szCs w:val="32"/>
          <w:lang w:eastAsia="zh-CN"/>
        </w:rPr>
        <w:t>结合保护区实际情况，</w:t>
      </w:r>
      <w:r>
        <w:rPr>
          <w:rFonts w:hint="eastAsia" w:ascii="仿宋_GB2312" w:hAnsi="仿宋_GB2312" w:eastAsia="仿宋_GB2312" w:cs="仿宋_GB2312"/>
          <w:bCs/>
          <w:color w:val="auto"/>
          <w:sz w:val="32"/>
          <w:szCs w:val="32"/>
        </w:rPr>
        <w:t>开展前期调研；其次明确项目绩效目标，</w:t>
      </w:r>
      <w:r>
        <w:rPr>
          <w:rFonts w:hint="eastAsia" w:ascii="仿宋_GB2312" w:hAnsi="仿宋_GB2312" w:cs="仿宋_GB2312"/>
          <w:bCs/>
          <w:color w:val="auto"/>
          <w:sz w:val="32"/>
          <w:szCs w:val="32"/>
          <w:lang w:eastAsia="zh-CN"/>
        </w:rPr>
        <w:t>按照实施方案及</w:t>
      </w:r>
      <w:r>
        <w:rPr>
          <w:rFonts w:hint="eastAsia" w:ascii="仿宋_GB2312" w:hAnsi="仿宋_GB2312" w:eastAsia="仿宋_GB2312" w:cs="仿宋_GB2312"/>
          <w:bCs/>
          <w:color w:val="auto"/>
          <w:sz w:val="32"/>
          <w:szCs w:val="32"/>
        </w:rPr>
        <w:t>设计绩效评价指标体系并确定绩效评价方法；</w:t>
      </w:r>
      <w:r>
        <w:rPr>
          <w:rFonts w:hint="eastAsia" w:ascii="仿宋_GB2312" w:hAnsi="仿宋_GB2312" w:cs="仿宋_GB2312"/>
          <w:bCs/>
          <w:color w:val="auto"/>
          <w:sz w:val="32"/>
          <w:szCs w:val="32"/>
          <w:lang w:eastAsia="zh-CN"/>
        </w:rPr>
        <w:t>按照实地评价及档案评价两部分</w:t>
      </w:r>
      <w:r>
        <w:rPr>
          <w:rFonts w:hint="eastAsia" w:ascii="仿宋_GB2312" w:hAnsi="仿宋_GB2312" w:eastAsia="仿宋_GB2312" w:cs="仿宋_GB2312"/>
          <w:bCs/>
          <w:color w:val="auto"/>
          <w:sz w:val="32"/>
          <w:szCs w:val="32"/>
        </w:rPr>
        <w:t>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2.组织实施。</w:t>
      </w:r>
      <w:r>
        <w:rPr>
          <w:rFonts w:hint="eastAsia" w:ascii="仿宋_GB2312" w:hAnsi="仿宋_GB2312" w:cs="仿宋_GB2312"/>
          <w:bCs/>
          <w:color w:val="auto"/>
          <w:sz w:val="32"/>
          <w:szCs w:val="32"/>
          <w:lang w:eastAsia="zh-CN"/>
        </w:rPr>
        <w:t>保护区管理局结合前几年项目实施情况</w:t>
      </w:r>
      <w:r>
        <w:rPr>
          <w:rFonts w:hint="eastAsia" w:ascii="仿宋_GB2312" w:hAnsi="仿宋_GB2312" w:eastAsia="仿宋_GB2312" w:cs="仿宋_GB2312"/>
          <w:bCs/>
          <w:color w:val="auto"/>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3.分析评价。根据</w:t>
      </w:r>
      <w:r>
        <w:rPr>
          <w:rFonts w:hint="eastAsia" w:ascii="仿宋_GB2312" w:hAnsi="仿宋_GB2312" w:cs="仿宋_GB2312"/>
          <w:bCs/>
          <w:color w:val="auto"/>
          <w:sz w:val="32"/>
          <w:szCs w:val="32"/>
          <w:lang w:eastAsia="zh-CN"/>
        </w:rPr>
        <w:t>项目</w:t>
      </w:r>
      <w:r>
        <w:rPr>
          <w:rFonts w:hint="eastAsia" w:ascii="仿宋_GB2312" w:hAnsi="仿宋_GB2312" w:eastAsia="仿宋_GB2312" w:cs="仿宋_GB2312"/>
          <w:bCs/>
          <w:color w:val="auto"/>
          <w:sz w:val="32"/>
          <w:szCs w:val="32"/>
        </w:rPr>
        <w:t>收集梳理的资料</w:t>
      </w:r>
      <w:r>
        <w:rPr>
          <w:rFonts w:hint="eastAsia" w:ascii="仿宋_GB2312" w:hAnsi="仿宋_GB2312" w:cs="仿宋_GB2312"/>
          <w:bCs/>
          <w:color w:val="auto"/>
          <w:sz w:val="32"/>
          <w:szCs w:val="32"/>
          <w:lang w:eastAsia="zh-CN"/>
        </w:rPr>
        <w:t>，包括</w:t>
      </w:r>
      <w:r>
        <w:rPr>
          <w:rFonts w:hint="eastAsia" w:ascii="仿宋_GB2312" w:hAnsi="仿宋_GB2312" w:eastAsia="仿宋_GB2312" w:cs="仿宋_GB2312"/>
          <w:bCs/>
          <w:color w:val="auto"/>
          <w:sz w:val="32"/>
          <w:szCs w:val="32"/>
        </w:rPr>
        <w:t>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三、综合评价情况及评价结论</w:t>
      </w:r>
      <w:bookmarkEnd w:id="3"/>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lang w:eastAsia="zh-CN"/>
        </w:rPr>
      </w:pPr>
      <w:bookmarkStart w:id="4" w:name="_Toc68703835"/>
      <w:bookmarkStart w:id="5" w:name="_Toc68703836"/>
      <w:r>
        <w:rPr>
          <w:rFonts w:hint="eastAsia" w:ascii="仿宋_GB2312" w:hAnsi="仿宋_GB2312" w:eastAsia="仿宋_GB2312" w:cs="仿宋_GB2312"/>
          <w:b w:val="0"/>
          <w:bCs w:val="0"/>
          <w:sz w:val="32"/>
          <w:szCs w:val="32"/>
        </w:rPr>
        <w:t>（一）评价情况</w:t>
      </w:r>
      <w:bookmarkEnd w:id="4"/>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严格按照科学公正、统筹兼顾、激励约束、公开透明的绩效评价原则，采用比较法、因素分析法两种，坚持计划标准对本项目的立项、绩效目标、资金投入、资金管理、组织实施、产出数量、产出质量、产出时效、产出成本、项目效益进行了综合评价。</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（二）评价结论</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分，属于“优”。其中，项目决策类指标权重为20分，得分为20分，得分率为 100%。项目过程类指标权重为20分，得分为</w:t>
      </w:r>
      <w:r>
        <w:rPr>
          <w:rFonts w:hint="eastAsia" w:ascii="仿宋_GB2312" w:hAnsi="仿宋_GB2312" w:eastAsia="仿宋_GB2312" w:cs="仿宋_GB2312"/>
          <w:b w:val="0"/>
          <w:bCs w:val="0"/>
          <w:color w:val="auto"/>
          <w:sz w:val="32"/>
          <w:szCs w:val="32"/>
          <w:highlight w:val="none"/>
          <w:lang w:val="en-US" w:eastAsia="zh-CN"/>
        </w:rPr>
        <w:t>20</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%。项目产出类指标权重为</w:t>
      </w:r>
      <w:r>
        <w:rPr>
          <w:rFonts w:hint="eastAsia" w:ascii="仿宋_GB2312" w:hAnsi="仿宋_GB2312" w:cs="仿宋_GB2312"/>
          <w:b w:val="0"/>
          <w:bCs w:val="0"/>
          <w:color w:val="auto"/>
          <w:sz w:val="32"/>
          <w:szCs w:val="32"/>
          <w:highlight w:val="none"/>
          <w:lang w:val="en-US" w:eastAsia="zh-CN"/>
        </w:rPr>
        <w:t>40</w:t>
      </w:r>
      <w:r>
        <w:rPr>
          <w:rFonts w:hint="eastAsia" w:ascii="仿宋_GB2312" w:hAnsi="仿宋_GB2312" w:eastAsia="仿宋_GB2312" w:cs="仿宋_GB2312"/>
          <w:b w:val="0"/>
          <w:bCs w:val="0"/>
          <w:color w:val="auto"/>
          <w:sz w:val="32"/>
          <w:szCs w:val="32"/>
          <w:highlight w:val="none"/>
        </w:rPr>
        <w:t>分，得分为</w:t>
      </w:r>
      <w:r>
        <w:rPr>
          <w:rFonts w:hint="eastAsia" w:ascii="仿宋_GB2312" w:hAnsi="仿宋_GB2312" w:cs="仿宋_GB2312"/>
          <w:b w:val="0"/>
          <w:bCs w:val="0"/>
          <w:color w:val="auto"/>
          <w:sz w:val="32"/>
          <w:szCs w:val="32"/>
          <w:highlight w:val="none"/>
          <w:lang w:val="en-US" w:eastAsia="zh-CN"/>
        </w:rPr>
        <w:t>40</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%。项目效益类指标权重为20分，得分为20分，得分率为100%。具体打分情况详见：附件1综合评分表。</w:t>
      </w:r>
    </w:p>
    <w:bookmarkEnd w:id="5"/>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二</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00" w:lineRule="exact"/>
        <w:ind w:firstLine="1600" w:firstLineChars="5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cs="仿宋_GB2312"/>
          <w:b w:val="0"/>
          <w:bCs w:val="0"/>
          <w:sz w:val="32"/>
          <w:szCs w:val="32"/>
          <w:highlight w:val="none"/>
          <w:lang w:eastAsia="zh-CN"/>
        </w:rPr>
        <w:t>附件</w:t>
      </w:r>
      <w:r>
        <w:rPr>
          <w:rFonts w:hint="eastAsia" w:ascii="仿宋_GB2312" w:hAnsi="仿宋_GB2312" w:eastAsia="仿宋_GB2312" w:cs="仿宋_GB2312"/>
          <w:b w:val="0"/>
          <w:bCs w:val="0"/>
          <w:sz w:val="32"/>
          <w:szCs w:val="32"/>
          <w:highlight w:val="none"/>
        </w:rPr>
        <w:t>1综合评分表</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default" w:ascii="仿宋_GB2312" w:hAnsi="仿宋_GB2312" w:eastAsia="仿宋_GB2312" w:cs="仿宋_GB2312"/>
                <w:b/>
                <w:bCs/>
                <w:color w:val="000000"/>
                <w:sz w:val="32"/>
                <w:szCs w:val="32"/>
                <w:lang w:val="en-US" w:eastAsia="zh-CN"/>
              </w:rPr>
            </w:pPr>
            <w:r>
              <w:rPr>
                <w:rFonts w:hint="eastAsia" w:ascii="仿宋_GB2312" w:hAnsi="仿宋_GB2312" w:cs="仿宋_GB2312"/>
                <w:b/>
                <w:bCs/>
                <w:color w:val="000000"/>
                <w:sz w:val="32"/>
                <w:szCs w:val="32"/>
                <w:lang w:val="en-US" w:eastAsia="zh-CN"/>
              </w:rPr>
              <w:t>100</w:t>
            </w:r>
          </w:p>
        </w:tc>
      </w:tr>
    </w:tbl>
    <w:p>
      <w:pPr>
        <w:pStyle w:val="2"/>
        <w:pageBreakBefore w:val="0"/>
        <w:kinsoku/>
        <w:wordWrap/>
        <w:overflowPunct/>
        <w:topLinePunct w:val="0"/>
        <w:autoSpaceDE/>
        <w:autoSpaceDN/>
        <w:bidi w:val="0"/>
        <w:adjustRightInd/>
        <w:snapToGrid/>
        <w:spacing w:before="0" w:after="0" w:line="500" w:lineRule="exact"/>
        <w:ind w:firstLine="643" w:firstLineChars="200"/>
        <w:textAlignment w:val="auto"/>
        <w:rPr>
          <w:rFonts w:hint="eastAsia" w:ascii="仿宋_GB2312" w:hAnsi="仿宋_GB2312" w:eastAsia="仿宋_GB2312" w:cs="仿宋_GB2312"/>
          <w:sz w:val="32"/>
          <w:szCs w:val="32"/>
        </w:rPr>
      </w:pPr>
    </w:p>
    <w:p>
      <w:pPr>
        <w:pStyle w:val="3"/>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sz w:val="32"/>
          <w:szCs w:val="32"/>
          <w:lang w:eastAsia="zh-CN"/>
        </w:rPr>
      </w:pPr>
      <w:bookmarkStart w:id="6" w:name="_Toc68703837"/>
      <w:r>
        <w:rPr>
          <w:rFonts w:hint="eastAsia" w:ascii="仿宋_GB2312" w:hAnsi="仿宋_GB2312" w:eastAsia="仿宋_GB2312" w:cs="仿宋_GB2312"/>
          <w:b w:val="0"/>
          <w:bCs w:val="0"/>
          <w:kern w:val="2"/>
          <w:sz w:val="32"/>
          <w:szCs w:val="32"/>
          <w:lang w:val="en-US" w:eastAsia="zh-CN" w:bidi="ar-SA"/>
        </w:rPr>
        <w:t>四、绩效评价指标分析</w:t>
      </w:r>
      <w:bookmarkEnd w:id="6"/>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（一）项目决策情况</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1.项目立项</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项目立项符合国家相关法律法规，《2023年中央财政林业草原生态保护恢复资金（国有林保护修复--国有国家级公益林管护补助)》实施方案及巴州林业和草原局《关于提前下达2023 年中央财政林业草原生态保护恢复资金建设任务的通知》（巴林草发[2023]4号），结合保护区内实际情况，在保护区内开展项目实施。此项目属于新疆塔里木国家级自然保护区管理局职责范围，属于公共财政支持范围，与相关部门同类项目或部门内部相关项目无重复。</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此项权重分3分，得分3分。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(2)立项程序规范性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申请、设立过程符合自治区林草财政专项资金项目入库要求，严格按照自治区林草财政专项资金审批流程准备符合要求的文件、材料；根据决算依据编制工作计划和经费预算，经过与上级部门领导沟通、筛选确定项目方案并制定预算计划，确定项目审批文件等相关材料，符合相关部门要求。项目事前经与相关专家论证、绩效评估、集体决策、保障了程序的规范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此项权重分2分，得分2分。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3.绩效目标合理性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Hans" w:bidi="ar-SA"/>
        </w:rPr>
        <w:t>年初结合</w:t>
      </w:r>
      <w:r>
        <w:rPr>
          <w:rFonts w:hint="eastAsia" w:ascii="仿宋_GB2312" w:hAnsi="仿宋_GB2312" w:eastAsia="仿宋_GB2312" w:cs="仿宋_GB2312"/>
          <w:b w:val="0"/>
          <w:bCs w:val="0"/>
          <w:kern w:val="2"/>
          <w:sz w:val="32"/>
          <w:szCs w:val="32"/>
          <w:lang w:val="en-US" w:eastAsia="zh-CN" w:bidi="ar-SA"/>
        </w:rPr>
        <w:t>上级下达任务目标，结合保护区实际情况，按照实际情况设定项目绩效目标，绩效目标依据充分，符合保护区客观实际，能客观公正做到项目目标与项目实施情况相符合，做到项目实施区域最大化，与保护区内实际及现实需求紧密结合，结合2023年底调查情况，项目实际效益与效果符合目标值，无截留、无挪用。</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此项权重分5 分，得分5分。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绩效指标明确性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bookmarkStart w:id="7" w:name="_Hlk68699917"/>
      <w:r>
        <w:rPr>
          <w:rFonts w:hint="eastAsia" w:ascii="仿宋_GB2312" w:hAnsi="仿宋_GB2312" w:eastAsia="仿宋_GB2312" w:cs="仿宋_GB2312"/>
          <w:color w:val="auto"/>
          <w:sz w:val="32"/>
          <w:szCs w:val="32"/>
        </w:rPr>
        <w:t>项目设置了明确的预期产出效益和效果，将绩效目标细化分解为具体的绩效指标，绩效目标与项目目标任务数相对应，绩效目标设定的绩效指标清晰、细化、可衡量。</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eastAsia="仿宋_GB2312" w:cs="仿宋_GB2312"/>
          <w:color w:val="auto"/>
          <w:sz w:val="32"/>
          <w:szCs w:val="32"/>
        </w:rPr>
        <w:t>项目将项目绩效目标细化分解为具体的绩效指标，一级指标共</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条，二级指标共</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条，三级指标共</w:t>
      </w:r>
      <w:r>
        <w:rPr>
          <w:rFonts w:hint="eastAsia" w:ascii="仿宋_GB2312" w:hAnsi="仿宋_GB2312" w:eastAsia="仿宋_GB2312" w:cs="仿宋_GB2312"/>
          <w:color w:val="auto"/>
          <w:sz w:val="32"/>
          <w:szCs w:val="32"/>
          <w:lang w:val="en-US" w:eastAsia="zh-CN"/>
        </w:rPr>
        <w:t>36</w:t>
      </w:r>
      <w:r>
        <w:rPr>
          <w:rFonts w:hint="eastAsia" w:ascii="仿宋_GB2312" w:hAnsi="仿宋_GB2312" w:eastAsia="仿宋_GB2312" w:cs="仿宋_GB2312"/>
          <w:color w:val="auto"/>
          <w:sz w:val="32"/>
          <w:szCs w:val="32"/>
        </w:rPr>
        <w:t>条，其中量化指标条数共</w:t>
      </w:r>
      <w:r>
        <w:rPr>
          <w:rFonts w:hint="eastAsia" w:ascii="仿宋_GB2312" w:hAnsi="仿宋_GB2312" w:cs="仿宋_GB2312"/>
          <w:color w:val="auto"/>
          <w:sz w:val="32"/>
          <w:szCs w:val="32"/>
          <w:lang w:val="en-US" w:eastAsia="zh-CN"/>
        </w:rPr>
        <w:t>32</w:t>
      </w:r>
      <w:r>
        <w:rPr>
          <w:rFonts w:hint="eastAsia" w:ascii="仿宋_GB2312" w:hAnsi="仿宋_GB2312" w:eastAsia="仿宋_GB2312" w:cs="仿宋_GB2312"/>
          <w:color w:val="auto"/>
          <w:sz w:val="32"/>
          <w:szCs w:val="32"/>
        </w:rPr>
        <w:t>条，所有绩效指标均通过清晰、可衡量的指标值予以体现，并且做到了与项目目标任务数或计划数相对应。</w:t>
      </w:r>
      <w:bookmarkEnd w:id="7"/>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预算编制科学性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val="en-US" w:eastAsia="zh-CN"/>
        </w:rPr>
        <w:t>项目</w:t>
      </w:r>
      <w:r>
        <w:rPr>
          <w:rFonts w:hint="eastAsia" w:ascii="仿宋_GB2312" w:hAnsi="仿宋_GB2312" w:cs="仿宋_GB2312"/>
          <w:color w:val="auto"/>
          <w:sz w:val="32"/>
          <w:szCs w:val="32"/>
          <w:lang w:eastAsia="zh-CN"/>
        </w:rPr>
        <w:t>预算编制是新疆塔里木胡杨国家级自然保护区管理局严格按照《</w:t>
      </w:r>
      <w:r>
        <w:rPr>
          <w:rFonts w:hint="eastAsia" w:ascii="仿宋_GB2312" w:hAnsi="仿宋_GB2312" w:eastAsia="仿宋_GB2312" w:cs="仿宋_GB2312"/>
          <w:b w:val="0"/>
          <w:bCs w:val="0"/>
          <w:color w:val="auto"/>
          <w:kern w:val="2"/>
          <w:sz w:val="32"/>
          <w:szCs w:val="32"/>
          <w:lang w:val="en-US" w:eastAsia="zh-CN" w:bidi="ar-SA"/>
        </w:rPr>
        <w:t>巴州林业和草原局《关于提前下达2023 年中央财政林业草原生态保护恢复资金建设任务的通知》（巴林草发[2023]4 号）</w:t>
      </w:r>
      <w:r>
        <w:rPr>
          <w:rFonts w:hint="eastAsia" w:ascii="仿宋_GB2312" w:hAnsi="仿宋_GB2312" w:cs="仿宋_GB2312"/>
          <w:color w:val="auto"/>
          <w:sz w:val="32"/>
          <w:szCs w:val="32"/>
          <w:lang w:eastAsia="zh-CN"/>
        </w:rPr>
        <w:t>》相关要求，经过与局领导多次沟通、筛选、科学论证后最终确定；预算额度严格按照《</w:t>
      </w: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实施方案相关要求依据测算，按照标准编制；预算所确定的相关项目资金量与工作任务相匹配，达到科学性。经过相关专家科学论证，预算额度按照上级专项资金标准编制，测算依据充分，预算内容与项目内容相匹配，预算确定的项目量与实际项目量相匹配。</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资金分配合理性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CN"/>
        </w:rPr>
        <w:t>预算资金分配依据《</w:t>
      </w:r>
      <w:r>
        <w:rPr>
          <w:rFonts w:hint="eastAsia" w:ascii="仿宋_GB2312" w:hAnsi="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》相关要求进行分配；新疆塔里木胡杨国家级自然保护区依据项目方案，与领导进行多次沟通、科学制定经费使用计划，资金分配额度合理，与项目单位工作实际相适应，分配合理。</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此项权重分2分，得分2分。</w:t>
      </w:r>
      <w:bookmarkStart w:id="8" w:name="_Toc68703839"/>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（二）项目过程情况。</w:t>
      </w:r>
      <w:bookmarkEnd w:id="8"/>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资金到位率：</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eastAsia="zh-CN"/>
        </w:rPr>
        <w:t>上级专项</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预算资金</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万元，实际到位资金</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万元，资金到位率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预算执行率</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年初预算数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万元，全年预算数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万元，预算执行率为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资金使用合规性</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项目严格按照预期绩效目标执行预算资金。</w:t>
      </w:r>
      <w:r>
        <w:rPr>
          <w:rFonts w:hint="eastAsia" w:ascii="仿宋_GB2312" w:hAnsi="仿宋_GB2312" w:cs="仿宋_GB2312"/>
          <w:color w:val="auto"/>
          <w:sz w:val="32"/>
          <w:szCs w:val="32"/>
          <w:lang w:eastAsia="zh-CN"/>
        </w:rPr>
        <w:t>管理局制定《新疆塔里木胡杨国家级自然保护区管理局资金管理制度》、《新疆塔里木胡杨国家级自然保护区管理局预算绩效管理制度》、《新疆塔里木胡杨国家级自然保护区管理局内部控制制度》、《新疆塔里木胡杨国家级自然保护区管理局政府采购管理办法》等相关制度，对项目经费使用进行规范管理，财务制度健全，严格执行。严格遵守相关制度，项目责任人、财务人员严格把关。资金使用均符合项目立项批复。</w:t>
      </w:r>
      <w:r>
        <w:rPr>
          <w:rFonts w:hint="eastAsia" w:ascii="仿宋_GB2312" w:hAnsi="仿宋_GB2312" w:eastAsia="仿宋_GB2312" w:cs="仿宋_GB2312"/>
          <w:color w:val="auto"/>
          <w:sz w:val="32"/>
          <w:szCs w:val="32"/>
        </w:rPr>
        <w:t>资金不存在截留、挤占、挪用、虚列支出等情况</w:t>
      </w:r>
      <w:r>
        <w:rPr>
          <w:rFonts w:hint="eastAsia" w:ascii="仿宋_GB2312" w:hAnsi="仿宋_GB2312" w:eastAsia="仿宋_GB2312" w:cs="仿宋_GB2312"/>
          <w:color w:val="auto"/>
          <w:sz w:val="32"/>
          <w:szCs w:val="32"/>
          <w:lang w:eastAsia="zh-CN"/>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管理制度健全性</w:t>
      </w:r>
    </w:p>
    <w:p>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新疆塔里木胡杨国家级自然保护区管理局制定了《新疆塔里木胡杨国家级自然保护区管理局资金管理制度》，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制度执行有效性</w:t>
      </w:r>
      <w:r>
        <w:rPr>
          <w:rFonts w:hint="eastAsia" w:ascii="仿宋_GB2312" w:hAnsi="仿宋_GB2312" w:cs="仿宋_GB2312"/>
          <w:color w:val="auto"/>
          <w:sz w:val="32"/>
          <w:szCs w:val="32"/>
          <w:lang w:eastAsia="zh-CN"/>
        </w:rPr>
        <w:t>（制度）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eastAsia="zh-CN"/>
        </w:rPr>
        <w:t>巴州林业和草原局严格履行项目监管职责，对资金使用的合法合规性进行监督，年末组织业务主管科室对资金使用效果进行评价。项目落实到科室，责任到人，严格按照项目实施方案进行，</w:t>
      </w:r>
      <w:r>
        <w:rPr>
          <w:rFonts w:hint="eastAsia" w:ascii="仿宋_GB2312" w:hAnsi="仿宋_GB2312" w:cs="仿宋_GB2312"/>
          <w:color w:val="auto"/>
          <w:sz w:val="32"/>
          <w:szCs w:val="32"/>
          <w:lang w:val="en-US" w:eastAsia="zh-CN"/>
        </w:rPr>
        <w:t>项目执行情况等资料齐全，项目相关手续完备，及时进行归档。项目严格按照相关法律法规、相关管理规定和实施方案实施，无调整或支出调整，项目合同书、验收报告、项目总结等资料齐全并及时归档。</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此项权重分4分，得分4分。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9" w:name="_Toc68703840"/>
      <w:r>
        <w:rPr>
          <w:rFonts w:hint="eastAsia" w:ascii="仿宋_GB2312" w:hAnsi="仿宋_GB2312" w:eastAsia="仿宋_GB2312" w:cs="仿宋_GB2312"/>
          <w:color w:val="auto"/>
          <w:sz w:val="32"/>
          <w:szCs w:val="32"/>
          <w:lang w:val="en-US" w:eastAsia="zh-CN"/>
        </w:rPr>
        <w:t>（三）项目产出情况。</w:t>
      </w:r>
      <w:bookmarkEnd w:id="9"/>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fldChar w:fldCharType="begin"/>
      </w:r>
      <w:r>
        <w:rPr>
          <w:rFonts w:hint="eastAsia" w:ascii="仿宋_GB2312" w:hAnsi="仿宋_GB2312" w:cs="仿宋_GB2312"/>
          <w:color w:val="auto"/>
          <w:sz w:val="32"/>
          <w:szCs w:val="32"/>
          <w:lang w:val="en-US" w:eastAsia="zh-CN"/>
        </w:rPr>
        <w:instrText xml:space="preserve"> = 1 \* GB3 </w:instrText>
      </w:r>
      <w:r>
        <w:rPr>
          <w:rFonts w:hint="eastAsia" w:ascii="仿宋_GB2312" w:hAnsi="仿宋_GB2312" w:cs="仿宋_GB2312"/>
          <w:color w:val="auto"/>
          <w:sz w:val="32"/>
          <w:szCs w:val="32"/>
          <w:lang w:val="en-US" w:eastAsia="zh-CN"/>
        </w:rPr>
        <w:fldChar w:fldCharType="separate"/>
      </w:r>
      <w:r>
        <w:rPr>
          <w:rFonts w:hint="eastAsia" w:ascii="仿宋_GB2312" w:hAnsi="仿宋_GB2312" w:cs="仿宋_GB2312"/>
          <w:color w:val="auto"/>
          <w:sz w:val="32"/>
          <w:szCs w:val="32"/>
          <w:lang w:val="en-US" w:eastAsia="zh-CN"/>
        </w:rPr>
        <w:t>①</w:t>
      </w:r>
      <w:r>
        <w:rPr>
          <w:rFonts w:hint="eastAsia" w:ascii="仿宋_GB2312" w:hAnsi="仿宋_GB2312" w:cs="仿宋_GB2312"/>
          <w:color w:val="auto"/>
          <w:sz w:val="32"/>
          <w:szCs w:val="32"/>
          <w:lang w:val="en-US" w:eastAsia="zh-CN"/>
        </w:rPr>
        <w:fldChar w:fldCharType="end"/>
      </w:r>
      <w:r>
        <w:rPr>
          <w:rFonts w:hint="eastAsia" w:ascii="仿宋_GB2312" w:hAnsi="仿宋_GB2312" w:cs="仿宋_GB2312"/>
          <w:color w:val="auto"/>
          <w:sz w:val="32"/>
          <w:szCs w:val="32"/>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指标1：国家级人数公益林管护员，指标值：&gt;=100人，实际完成值104人，指标完成率：104%，因管护人员流动性较大，每月有增减，年底平均增加4人。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lang w:val="en-US" w:eastAsia="zh-CN"/>
        </w:rPr>
        <w:t>指标2：国家级公益林管护员劳务费发放次数,</w:t>
      </w:r>
      <w:r>
        <w:rPr>
          <w:rFonts w:hint="eastAsia" w:ascii="仿宋_GB2312" w:hAnsi="仿宋_GB2312" w:cs="仿宋_GB2312"/>
          <w:color w:val="auto"/>
          <w:sz w:val="32"/>
          <w:szCs w:val="32"/>
          <w:lang w:val="en-US" w:eastAsia="zh-CN"/>
        </w:rPr>
        <w:tab/>
      </w:r>
      <w:r>
        <w:rPr>
          <w:rFonts w:hint="eastAsia" w:ascii="仿宋_GB2312" w:hAnsi="仿宋_GB2312" w:cs="仿宋_GB2312"/>
          <w:color w:val="auto"/>
          <w:sz w:val="32"/>
          <w:szCs w:val="32"/>
          <w:lang w:val="en-US" w:eastAsia="zh-CN"/>
        </w:rPr>
        <w:t>指标值：</w:t>
      </w:r>
      <w:r>
        <w:rPr>
          <w:rFonts w:hint="eastAsia" w:ascii="仿宋_GB2312" w:hAnsi="仿宋_GB2312" w:eastAsia="仿宋_GB2312" w:cs="仿宋_GB2312"/>
          <w:b w:val="0"/>
          <w:bCs w:val="0"/>
          <w:color w:val="auto"/>
          <w:kern w:val="2"/>
          <w:sz w:val="32"/>
          <w:szCs w:val="32"/>
          <w:lang w:val="en-US" w:eastAsia="zh-CN" w:bidi="ar-SA"/>
        </w:rPr>
        <w:t>&gt;=5次,实际完成值5次，指标完成率：100%，无偏差。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指标3：森林防火应急小分队数量，指标值：&gt;=1次，实际完成值1次，指标完成率：100%，无偏差。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指标4：森林防火应急小分队后勤保障防火物资数量，指标值：&gt;=1批，实际完成值1批，指标完成率：100%，无偏差。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指标5:森林防火应急小分队培训次数,指标值：&gt;=1次，实际完成值1次，指标完成率：100%，无偏差。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指标6:森林防火应急小分队培训人数，指标值：&gt;=7人，实际完成值7人，指标完成率：100%，无偏差。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指标7:森林防火应急小分队培训天数，指标值：&gt;=30天，实际完成值30天，无偏差。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指标8:春尺蠖飞机防治面积，指标值：&gt;=20亩，实际完成值20万亩，指标完成率：100%，无偏差。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指标9:购置防治药剂，指标值：&gt;=10500千克，实际完成值10500千克，指标完成率：100%，无偏差。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指标10:第一期引洪灌溉面积，指标值：&gt;=25万亩，实际完成值25万亩，指标完成率：100%，无偏差。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指标11:国家公益林管护面积，指标值：=293.46万亩，实际完成值293.46万亩，指标完成率：100%，无偏差。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 2 \* GB3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t>②</w:t>
      </w:r>
      <w:r>
        <w:rPr>
          <w:rFonts w:hint="eastAsia" w:ascii="仿宋_GB2312" w:hAnsi="仿宋_GB2312" w:eastAsia="仿宋_GB2312" w:cs="仿宋_GB2312"/>
          <w:color w:val="auto"/>
          <w:sz w:val="32"/>
          <w:szCs w:val="32"/>
          <w:lang w:val="en-US" w:eastAsia="zh-CN"/>
        </w:rPr>
        <w:fldChar w:fldCharType="end"/>
      </w:r>
      <w:r>
        <w:rPr>
          <w:rFonts w:hint="eastAsia" w:ascii="仿宋_GB2312" w:hAnsi="仿宋_GB2312" w:eastAsia="仿宋_GB2312" w:cs="仿宋_GB2312"/>
          <w:color w:val="auto"/>
          <w:sz w:val="32"/>
          <w:szCs w:val="32"/>
          <w:lang w:val="en-US" w:eastAsia="zh-CN"/>
        </w:rPr>
        <w:t>质量指标：</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b w:val="0"/>
          <w:bCs w:val="0"/>
          <w:color w:val="auto"/>
          <w:kern w:val="2"/>
          <w:sz w:val="32"/>
          <w:szCs w:val="32"/>
          <w:lang w:val="en-US" w:eastAsia="zh-CN" w:bidi="ar-SA"/>
        </w:rPr>
        <w:t>国家级公益林有效管护率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lang w:val="en-US" w:eastAsia="zh-CN"/>
        </w:rPr>
        <w:t>指标值：90%，实际完成值：</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%，指标完成率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%。该项目完成情况较好经过项目验收，有效达100%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color w:val="auto"/>
          <w:sz w:val="32"/>
          <w:szCs w:val="32"/>
        </w:rPr>
        <w:t>指标</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b w:val="0"/>
          <w:bCs w:val="0"/>
          <w:color w:val="auto"/>
          <w:kern w:val="2"/>
          <w:sz w:val="32"/>
          <w:szCs w:val="32"/>
          <w:lang w:val="en-US" w:eastAsia="zh-CN" w:bidi="ar-SA"/>
        </w:rPr>
        <w:t>第一期引洪灌溉实施方案合格率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lang w:val="en-US" w:eastAsia="zh-CN"/>
        </w:rPr>
        <w:t>指标值：90%，实际</w:t>
      </w:r>
      <w:r>
        <w:rPr>
          <w:rFonts w:hint="eastAsia" w:ascii="仿宋_GB2312" w:hAnsi="仿宋_GB2312" w:eastAsia="仿宋_GB2312" w:cs="仿宋_GB2312"/>
          <w:b w:val="0"/>
          <w:bCs w:val="0"/>
          <w:color w:val="auto"/>
          <w:kern w:val="2"/>
          <w:sz w:val="32"/>
          <w:szCs w:val="32"/>
          <w:lang w:val="en-US" w:eastAsia="zh-CN" w:bidi="ar-SA"/>
        </w:rPr>
        <w:t>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%。该项目完成情况较好经过项目验收，项目合格率达100%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指标3：国家级公益林管护人员工资发放保障率，指标值：90%，实际完成值：100%，指标完成率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%。根据实际情况，工作每月按时发放到位</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指标4：森林应急小分队后勤保障防火物资合格率，指标值：90%，实际完成值：100%，指标完成率1</w:t>
      </w:r>
      <w:r>
        <w:rPr>
          <w:rFonts w:hint="eastAsia" w:ascii="仿宋_GB2312" w:hAnsi="仿宋_GB2312" w:cs="仿宋_GB2312"/>
          <w:b w:val="0"/>
          <w:bCs w:val="0"/>
          <w:color w:val="auto"/>
          <w:kern w:val="2"/>
          <w:sz w:val="32"/>
          <w:szCs w:val="32"/>
          <w:lang w:val="en-US" w:eastAsia="zh-CN" w:bidi="ar-SA"/>
        </w:rPr>
        <w:t>11</w:t>
      </w:r>
      <w:r>
        <w:rPr>
          <w:rFonts w:hint="eastAsia" w:ascii="仿宋_GB2312" w:hAnsi="仿宋_GB2312" w:eastAsia="仿宋_GB2312" w:cs="仿宋_GB2312"/>
          <w:b w:val="0"/>
          <w:bCs w:val="0"/>
          <w:color w:val="auto"/>
          <w:kern w:val="2"/>
          <w:sz w:val="32"/>
          <w:szCs w:val="32"/>
          <w:lang w:val="en-US" w:eastAsia="zh-CN" w:bidi="ar-SA"/>
        </w:rPr>
        <w:t>%。该项目物资采购经验收，质量合格率达100%</w:t>
      </w:r>
    </w:p>
    <w:p>
      <w:pPr>
        <w:pageBreakBefore w:val="0"/>
        <w:kinsoku/>
        <w:wordWrap/>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指标5：防治药剂政府采购率，指标值：90%，实际完成值：100%，指标完成率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%。按照要求在政采云上购买药剂，采购率达100%.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指标6：森林应急小分队培训出勤率，指标值：90%，实际完成值：100%，指标</w:t>
      </w:r>
      <w:r>
        <w:rPr>
          <w:rFonts w:hint="eastAsia" w:ascii="仿宋_GB2312" w:hAnsi="仿宋_GB2312" w:eastAsia="仿宋_GB2312" w:cs="仿宋_GB2312"/>
          <w:color w:val="auto"/>
          <w:sz w:val="32"/>
          <w:szCs w:val="32"/>
          <w:lang w:val="en-US" w:eastAsia="zh-CN"/>
        </w:rPr>
        <w:t>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%。无偏差。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指标7：森林应急小分队后勤防火物资验收合格率，指标值：90%，实际完成值：100%，指标完成率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%。该项目物资采购经验收，质量合格率达100%</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此项权重分10分，得分10分。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③时效</w:t>
      </w:r>
      <w:r>
        <w:rPr>
          <w:rFonts w:hint="eastAsia" w:ascii="仿宋_GB2312" w:hAnsi="仿宋_GB2312" w:eastAsia="仿宋_GB2312" w:cs="仿宋_GB2312"/>
          <w:color w:val="auto"/>
          <w:sz w:val="32"/>
          <w:szCs w:val="32"/>
          <w:lang w:val="en-US" w:eastAsia="zh-CN"/>
        </w:rPr>
        <w:t>指标：</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color w:val="auto"/>
          <w:lang w:val="en-US" w:eastAsia="zh-CN"/>
        </w:rPr>
      </w:pPr>
      <w:r>
        <w:rPr>
          <w:rFonts w:hint="eastAsia" w:ascii="仿宋_GB2312" w:hAnsi="仿宋_GB2312" w:eastAsia="仿宋_GB2312" w:cs="仿宋_GB2312"/>
          <w:b w:val="0"/>
          <w:bCs w:val="0"/>
          <w:color w:val="auto"/>
          <w:kern w:val="2"/>
          <w:sz w:val="32"/>
          <w:szCs w:val="32"/>
          <w:lang w:val="en-US" w:eastAsia="zh-CN" w:bidi="ar-SA"/>
        </w:rPr>
        <w:t>指标值1：第一期引洪灌溉完成时限,指标值：2023年11月</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30日，实际完成值：2023年11月30日，指标完成率100%。</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指标值2：国家级公益林管护员工资发放及时率,指标</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值&gt;=90%,实际完成值：100%，指标完成率111%。</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kern w:val="2"/>
          <w:sz w:val="32"/>
          <w:szCs w:val="32"/>
          <w:lang w:val="en-US" w:eastAsia="zh-CN" w:bidi="ar-SA"/>
        </w:rPr>
        <w:t>应急小分队培训按期完成率,指标值：&gt;=90%，实</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际完成值：100%，指标完成率111%。</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kern w:val="2"/>
          <w:sz w:val="32"/>
          <w:szCs w:val="32"/>
          <w:lang w:val="en-US" w:eastAsia="zh-CN" w:bidi="ar-SA"/>
        </w:rPr>
        <w:t>森林生态效益当期任务完成率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指标值：&gt;=90%，</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实际完成值：100%，指标完成率111%。</w:t>
      </w:r>
    </w:p>
    <w:p>
      <w:pPr>
        <w:pageBreakBefore w:val="0"/>
        <w:numPr>
          <w:ilvl w:val="0"/>
          <w:numId w:val="0"/>
        </w:numPr>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此项权重分</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分，得</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分</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④</w:t>
      </w:r>
      <w:r>
        <w:rPr>
          <w:rFonts w:hint="eastAsia" w:ascii="仿宋_GB2312" w:hAnsi="仿宋_GB2312" w:eastAsia="仿宋_GB2312" w:cs="仿宋_GB2312"/>
          <w:color w:val="auto"/>
          <w:sz w:val="32"/>
          <w:szCs w:val="32"/>
          <w:highlight w:val="none"/>
          <w:lang w:val="en-US" w:eastAsia="zh-CN"/>
        </w:rPr>
        <w:t>经济成本指标</w:t>
      </w:r>
      <w:r>
        <w:rPr>
          <w:rFonts w:hint="eastAsia" w:ascii="仿宋_GB2312" w:hAnsi="仿宋_GB2312" w:eastAsia="仿宋_GB2312" w:cs="仿宋_GB2312"/>
          <w:color w:val="auto"/>
          <w:sz w:val="32"/>
          <w:szCs w:val="32"/>
          <w:highlight w:val="none"/>
          <w:lang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指标值1：</w:t>
      </w:r>
      <w:r>
        <w:rPr>
          <w:rFonts w:hint="eastAsia" w:ascii="仿宋_GB2312" w:hAnsi="仿宋_GB2312" w:eastAsia="仿宋_GB2312" w:cs="仿宋_GB2312"/>
          <w:color w:val="auto"/>
          <w:sz w:val="32"/>
          <w:szCs w:val="32"/>
          <w:highlight w:val="none"/>
          <w:lang w:eastAsia="zh-CN"/>
        </w:rPr>
        <w:t>国家级公益林管护员发放资金，</w:t>
      </w:r>
      <w:r>
        <w:rPr>
          <w:rFonts w:hint="eastAsia" w:ascii="仿宋_GB2312" w:hAnsi="仿宋_GB2312" w:cs="仿宋_GB2312"/>
          <w:color w:val="auto"/>
          <w:sz w:val="32"/>
          <w:szCs w:val="32"/>
          <w:highlight w:val="none"/>
          <w:lang w:eastAsia="zh-CN"/>
        </w:rPr>
        <w:t>指标值：&lt;=</w:t>
      </w:r>
      <w:r>
        <w:rPr>
          <w:rFonts w:hint="eastAsia" w:ascii="仿宋_GB2312" w:hAnsi="仿宋_GB2312" w:eastAsia="仿宋_GB2312" w:cs="仿宋_GB2312"/>
          <w:color w:val="auto"/>
          <w:sz w:val="32"/>
          <w:szCs w:val="32"/>
          <w:highlight w:val="none"/>
          <w:lang w:val="en-US" w:eastAsia="zh-CN"/>
        </w:rPr>
        <w:t>323.48</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：323.48</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2：</w:t>
      </w:r>
      <w:r>
        <w:rPr>
          <w:rFonts w:hint="eastAsia" w:ascii="仿宋_GB2312" w:hAnsi="仿宋_GB2312" w:eastAsia="仿宋_GB2312" w:cs="仿宋_GB2312"/>
          <w:color w:val="auto"/>
          <w:sz w:val="32"/>
          <w:szCs w:val="32"/>
          <w:highlight w:val="none"/>
          <w:lang w:eastAsia="zh-CN"/>
        </w:rPr>
        <w:t>国家公益林管护日常管护支出，</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60万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第一期引洪灌溉支出，</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560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成值：</w:t>
      </w:r>
      <w:r>
        <w:rPr>
          <w:rFonts w:hint="eastAsia" w:ascii="仿宋_GB2312" w:hAnsi="仿宋_GB2312" w:cs="仿宋_GB2312"/>
          <w:b w:val="0"/>
          <w:bCs w:val="0"/>
          <w:color w:val="auto"/>
          <w:kern w:val="2"/>
          <w:sz w:val="32"/>
          <w:szCs w:val="32"/>
          <w:lang w:val="en-US" w:eastAsia="zh-CN" w:bidi="ar-SA"/>
        </w:rPr>
        <w:t>560万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应急分队后勤保障防火物资保障费用，</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16</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16万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应急小分队培训费，</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val="0"/>
          <w:bCs w:val="0"/>
          <w:color w:val="auto"/>
          <w:kern w:val="2"/>
          <w:sz w:val="32"/>
          <w:szCs w:val="32"/>
          <w:lang w:val="en-US" w:eastAsia="zh-CN" w:bidi="ar-SA"/>
        </w:rPr>
        <w:t>4万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指标6：</w:t>
      </w:r>
      <w:r>
        <w:rPr>
          <w:rFonts w:hint="eastAsia" w:ascii="仿宋_GB2312" w:hAnsi="仿宋_GB2312" w:eastAsia="仿宋_GB2312" w:cs="仿宋_GB2312"/>
          <w:color w:val="auto"/>
          <w:sz w:val="32"/>
          <w:szCs w:val="32"/>
          <w:highlight w:val="none"/>
          <w:lang w:val="en-US" w:eastAsia="zh-CN"/>
        </w:rPr>
        <w:t>蠢尺蠖飞机防</w:t>
      </w:r>
      <w:r>
        <w:rPr>
          <w:rFonts w:hint="eastAsia" w:ascii="仿宋_GB2312" w:hAnsi="仿宋_GB2312" w:eastAsia="仿宋_GB2312" w:cs="仿宋_GB2312"/>
          <w:color w:val="auto"/>
          <w:sz w:val="32"/>
          <w:szCs w:val="32"/>
          <w:highlight w:val="none"/>
          <w:lang w:eastAsia="zh-CN"/>
        </w:rPr>
        <w:t>治药剂，</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53.13</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完成值</w:t>
      </w:r>
      <w:r>
        <w:rPr>
          <w:rFonts w:hint="eastAsia" w:ascii="仿宋_GB2312" w:hAnsi="仿宋_GB2312" w:cs="仿宋_GB2312"/>
          <w:b w:val="0"/>
          <w:bCs w:val="0"/>
          <w:color w:val="auto"/>
          <w:kern w:val="2"/>
          <w:sz w:val="32"/>
          <w:szCs w:val="32"/>
          <w:lang w:val="en-US" w:eastAsia="zh-CN" w:bidi="ar-SA"/>
        </w:rPr>
        <w:t>53.13万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指标7：</w:t>
      </w:r>
      <w:r>
        <w:rPr>
          <w:rFonts w:hint="eastAsia" w:ascii="仿宋_GB2312" w:hAnsi="仿宋_GB2312" w:eastAsia="仿宋_GB2312" w:cs="仿宋_GB2312"/>
          <w:color w:val="auto"/>
          <w:sz w:val="32"/>
          <w:szCs w:val="32"/>
          <w:highlight w:val="none"/>
          <w:lang w:eastAsia="zh-CN"/>
        </w:rPr>
        <w:t>春尺蠖飞机作业费，</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64</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val="0"/>
          <w:bCs w:val="0"/>
          <w:color w:val="auto"/>
          <w:kern w:val="2"/>
          <w:sz w:val="32"/>
          <w:szCs w:val="32"/>
          <w:lang w:val="en-US" w:eastAsia="zh-CN" w:bidi="ar-SA"/>
        </w:rPr>
        <w:t>64万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指标8：</w:t>
      </w:r>
      <w:r>
        <w:rPr>
          <w:rFonts w:hint="eastAsia" w:ascii="仿宋_GB2312" w:hAnsi="仿宋_GB2312" w:eastAsia="仿宋_GB2312" w:cs="仿宋_GB2312"/>
          <w:color w:val="auto"/>
          <w:sz w:val="32"/>
          <w:szCs w:val="32"/>
          <w:highlight w:val="none"/>
          <w:lang w:eastAsia="zh-CN"/>
        </w:rPr>
        <w:t>国有公益林综合治理，</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170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成值</w:t>
      </w:r>
      <w:r>
        <w:rPr>
          <w:rFonts w:hint="eastAsia" w:ascii="仿宋_GB2312" w:hAnsi="仿宋_GB2312" w:cs="仿宋_GB2312"/>
          <w:b w:val="0"/>
          <w:bCs w:val="0"/>
          <w:color w:val="auto"/>
          <w:kern w:val="2"/>
          <w:sz w:val="32"/>
          <w:szCs w:val="32"/>
          <w:lang w:val="en-US" w:eastAsia="zh-CN" w:bidi="ar-SA"/>
        </w:rPr>
        <w:t>170万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分，得</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分</w:t>
      </w:r>
    </w:p>
    <w:p>
      <w:pPr>
        <w:pStyle w:val="4"/>
        <w:pageBreakBefore w:val="0"/>
        <w:numPr>
          <w:ilvl w:val="0"/>
          <w:numId w:val="2"/>
        </w:numPr>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10" w:name="_Toc68703841"/>
      <w:r>
        <w:rPr>
          <w:rFonts w:hint="eastAsia" w:ascii="仿宋_GB2312" w:hAnsi="仿宋_GB2312" w:eastAsia="仿宋_GB2312" w:cs="仿宋_GB2312"/>
          <w:b w:val="0"/>
          <w:bCs w:val="0"/>
          <w:color w:val="auto"/>
          <w:sz w:val="32"/>
          <w:szCs w:val="32"/>
          <w:highlight w:val="none"/>
        </w:rPr>
        <w:t>项目效益情况。</w:t>
      </w:r>
      <w:bookmarkEnd w:id="10"/>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经济效益指标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无</w:t>
      </w:r>
    </w:p>
    <w:p>
      <w:pPr>
        <w:pageBreakBefore w:val="0"/>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指标1：指标值：</w:t>
      </w:r>
      <w:r>
        <w:rPr>
          <w:rFonts w:hint="eastAsia" w:ascii="仿宋_GB2312" w:hAnsi="仿宋_GB2312" w:eastAsia="仿宋_GB2312" w:cs="仿宋_GB2312"/>
          <w:sz w:val="32"/>
          <w:szCs w:val="32"/>
          <w:lang w:val="en-US" w:eastAsia="zh-CN"/>
        </w:rPr>
        <w:t>有效保护森林资源，使国家级公益林区生态环境改善情况，进一步提升天然胡杨林的防风固沙，水土保持功能，通过开展森林防火，森林资源得到有效的保护。指标完成率100%。</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pPr>
        <w:pStyle w:val="2"/>
        <w:pageBreakBefore w:val="0"/>
        <w:numPr>
          <w:ilvl w:val="0"/>
          <w:numId w:val="0"/>
        </w:numPr>
        <w:kinsoku/>
        <w:wordWrap/>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3、满意度指标完成情况分析：指标1：指标值：参加培训人员满意度满意度≥90%，实际完成值90%，指标完成率100%；国家级公益林管护员满意度≥90%，实际完成值90%，指标完成</w:t>
      </w:r>
    </w:p>
    <w:p>
      <w:pPr>
        <w:pStyle w:val="2"/>
        <w:pageBreakBefore w:val="0"/>
        <w:numPr>
          <w:ilvl w:val="0"/>
          <w:numId w:val="0"/>
        </w:numPr>
        <w:kinsoku/>
        <w:wordWrap/>
        <w:topLinePunct w:val="0"/>
        <w:autoSpaceDE/>
        <w:autoSpaceDN/>
        <w:bidi w:val="0"/>
        <w:adjustRightInd/>
        <w:snapToGrid/>
        <w:spacing w:line="500" w:lineRule="exact"/>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率100%。</w:t>
      </w:r>
    </w:p>
    <w:p>
      <w:pPr>
        <w:pStyle w:val="2"/>
        <w:pageBreakBefore w:val="0"/>
        <w:numPr>
          <w:ilvl w:val="0"/>
          <w:numId w:val="0"/>
        </w:numPr>
        <w:kinsoku/>
        <w:wordWrap/>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Hans" w:bidi="ar-SA"/>
        </w:rPr>
      </w:pPr>
      <w:bookmarkStart w:id="11" w:name="_Toc68703842"/>
      <w:r>
        <w:rPr>
          <w:rFonts w:hint="eastAsia" w:ascii="仿宋_GB2312" w:hAnsi="仿宋_GB2312" w:eastAsia="仿宋_GB2312" w:cs="仿宋_GB2312"/>
          <w:b w:val="0"/>
          <w:bCs w:val="0"/>
          <w:color w:val="auto"/>
          <w:kern w:val="2"/>
          <w:sz w:val="32"/>
          <w:szCs w:val="32"/>
          <w:highlight w:val="none"/>
          <w:lang w:val="en-US" w:eastAsia="zh-Hans" w:bidi="ar-SA"/>
        </w:rPr>
        <w:t>五、预算执行进度与绩效指标总体完成率偏差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上级专项-2023年中央林业草原生态保护恢复资金（国家级自然保护区补助）项目年初预算1250.61万元，全年预算1250.61万元，实际支出1250.61万元，预算执行率为100%，项目绩效指标总体完成率为103.</w:t>
      </w:r>
      <w:r>
        <w:rPr>
          <w:rFonts w:hint="eastAsia" w:ascii="仿宋_GB2312" w:hAnsi="仿宋_GB2312" w:cs="仿宋_GB2312"/>
          <w:b w:val="0"/>
          <w:bCs w:val="0"/>
          <w:color w:val="auto"/>
          <w:kern w:val="2"/>
          <w:sz w:val="32"/>
          <w:szCs w:val="32"/>
          <w:highlight w:val="none"/>
          <w:lang w:val="en-US" w:eastAsia="zh-CN" w:bidi="ar-SA"/>
        </w:rPr>
        <w:t>47</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Hans" w:bidi="ar-SA"/>
        </w:rPr>
        <w:t>总体</w:t>
      </w:r>
      <w:r>
        <w:rPr>
          <w:rFonts w:hint="eastAsia" w:ascii="仿宋_GB2312" w:hAnsi="仿宋_GB2312" w:eastAsia="仿宋_GB2312" w:cs="仿宋_GB2312"/>
          <w:b w:val="0"/>
          <w:bCs w:val="0"/>
          <w:color w:val="auto"/>
          <w:kern w:val="2"/>
          <w:sz w:val="32"/>
          <w:szCs w:val="32"/>
          <w:highlight w:val="none"/>
          <w:lang w:val="en-US" w:eastAsia="zh-CN" w:bidi="ar-SA"/>
        </w:rPr>
        <w:t>偏差率为3.</w:t>
      </w:r>
      <w:r>
        <w:rPr>
          <w:rFonts w:hint="eastAsia" w:ascii="仿宋_GB2312" w:hAnsi="仿宋_GB2312" w:cs="仿宋_GB2312"/>
          <w:b w:val="0"/>
          <w:bCs w:val="0"/>
          <w:color w:val="auto"/>
          <w:kern w:val="2"/>
          <w:sz w:val="32"/>
          <w:szCs w:val="32"/>
          <w:highlight w:val="none"/>
          <w:lang w:val="en-US" w:eastAsia="zh-CN" w:bidi="ar-SA"/>
        </w:rPr>
        <w:t>47</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Hans" w:bidi="ar-SA"/>
        </w:rPr>
        <w:t>偏差</w:t>
      </w:r>
      <w:r>
        <w:rPr>
          <w:rFonts w:hint="eastAsia" w:ascii="仿宋_GB2312" w:hAnsi="仿宋_GB2312" w:eastAsia="仿宋_GB2312" w:cs="仿宋_GB2312"/>
          <w:b w:val="0"/>
          <w:bCs w:val="0"/>
          <w:color w:val="auto"/>
          <w:kern w:val="2"/>
          <w:sz w:val="32"/>
          <w:szCs w:val="32"/>
          <w:highlight w:val="none"/>
          <w:lang w:val="en-US" w:eastAsia="zh-CN" w:bidi="ar-SA"/>
        </w:rPr>
        <w:t>原因：年初设定目标较低，最终完成情况比预期较好，群众满意度也比预期好；改进措施：严格按照《上级专项-2023年中央林业草原生态保护恢复资金（国家级自然保护区补助）实施方案》抓好落实，</w:t>
      </w:r>
      <w:r>
        <w:rPr>
          <w:rFonts w:hint="eastAsia" w:ascii="仿宋_GB2312" w:hAnsi="仿宋_GB2312" w:eastAsia="仿宋_GB2312" w:cs="仿宋_GB2312"/>
          <w:color w:val="auto"/>
          <w:sz w:val="32"/>
          <w:szCs w:val="32"/>
          <w:highlight w:val="none"/>
          <w:lang w:val="en-US" w:eastAsia="zh-CN"/>
        </w:rPr>
        <w:t>确保按照《</w:t>
      </w:r>
      <w:r>
        <w:rPr>
          <w:rFonts w:hint="eastAsia" w:ascii="仿宋_GB2312" w:hAnsi="仿宋_GB2312" w:cs="仿宋_GB2312"/>
          <w:color w:val="auto"/>
          <w:sz w:val="32"/>
          <w:szCs w:val="32"/>
          <w:highlight w:val="none"/>
          <w:lang w:val="en-US" w:eastAsia="zh-CN"/>
        </w:rPr>
        <w:t>上级专项-</w:t>
      </w:r>
      <w:r>
        <w:rPr>
          <w:rFonts w:hint="eastAsia" w:ascii="仿宋_GB2312" w:hAnsi="仿宋_GB2312" w:eastAsia="仿宋_GB2312" w:cs="仿宋_GB2312"/>
          <w:color w:val="auto"/>
          <w:sz w:val="32"/>
          <w:szCs w:val="32"/>
          <w:highlight w:val="none"/>
          <w:lang w:val="en-US" w:eastAsia="zh-CN"/>
        </w:rPr>
        <w:t>2023年中央林业草原生态保护恢复资金（国家级自然保护区补助）实施方案》确定的目标，保质保量完成项目实施和资金支付。</w:t>
      </w:r>
      <w:r>
        <w:rPr>
          <w:rFonts w:hint="eastAsia" w:ascii="仿宋_GB2312" w:hAnsi="仿宋_GB2312" w:cs="仿宋_GB2312"/>
          <w:color w:val="auto"/>
          <w:sz w:val="32"/>
          <w:szCs w:val="32"/>
          <w:highlight w:val="none"/>
          <w:lang w:val="en-US" w:eastAsia="zh-CN"/>
        </w:rPr>
        <w:t>全面了解该项目预算编制合理性，资金使用合规性，项目管理的规范性，项目目标的实际情况，服务独享的满意度等详细制定目标计划，尽量减少偏差。</w:t>
      </w:r>
    </w:p>
    <w:p>
      <w:pPr>
        <w:keepNext w:val="0"/>
        <w:keepLines w:val="0"/>
        <w:pageBreakBefore w:val="0"/>
        <w:widowControl w:val="0"/>
        <w:numPr>
          <w:ilvl w:val="0"/>
          <w:numId w:val="3"/>
        </w:numPr>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主要经验及做法、存在的问题及原因分析</w:t>
      </w:r>
      <w:bookmarkEnd w:id="11"/>
      <w:bookmarkStart w:id="12" w:name="_Toc68703843"/>
    </w:p>
    <w:bookmarkEnd w:id="12"/>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13" w:name="_Toc68703844"/>
      <w:r>
        <w:rPr>
          <w:rFonts w:hint="eastAsia" w:ascii="仿宋_GB2312" w:hAnsi="仿宋_GB2312" w:eastAsia="仿宋_GB2312" w:cs="仿宋_GB2312"/>
          <w:color w:val="auto"/>
          <w:sz w:val="32"/>
          <w:szCs w:val="32"/>
          <w:lang w:val="en-US" w:eastAsia="zh-CN"/>
        </w:rPr>
        <w:t>（一）主要经验及做法</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8"/>
        <w:keepNext w:val="0"/>
        <w:keepLines w:val="0"/>
        <w:pageBreakBefore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2.加强项目组织领导，规范实施程序。为保障项目顺利实施，巴州林草局成立项目评审领导小组，严格按照规范编制项目</w:t>
      </w:r>
      <w:r>
        <w:rPr>
          <w:rFonts w:hint="eastAsia" w:ascii="仿宋_GB2312" w:hAnsi="仿宋_GB2312" w:cs="仿宋_GB2312"/>
          <w:color w:val="auto"/>
          <w:kern w:val="2"/>
          <w:sz w:val="32"/>
          <w:szCs w:val="32"/>
          <w:lang w:val="en-US" w:eastAsia="zh-CN" w:bidi="ar-SA"/>
        </w:rPr>
        <w:t>实施</w:t>
      </w:r>
      <w:r>
        <w:rPr>
          <w:rFonts w:hint="eastAsia" w:ascii="仿宋_GB2312" w:hAnsi="仿宋_GB2312" w:eastAsia="仿宋_GB2312" w:cs="仿宋_GB2312"/>
          <w:color w:val="auto"/>
          <w:kern w:val="2"/>
          <w:sz w:val="32"/>
          <w:szCs w:val="32"/>
          <w:lang w:val="en-US" w:eastAsia="zh-CN" w:bidi="ar-SA"/>
        </w:rPr>
        <w:t>方案，并严格实施，经巴州林草局组织专家评审后</w:t>
      </w:r>
      <w:r>
        <w:rPr>
          <w:rFonts w:hint="eastAsia" w:ascii="仿宋_GB2312" w:hAnsi="仿宋_GB2312" w:cs="仿宋_GB2312"/>
          <w:color w:val="auto"/>
          <w:kern w:val="2"/>
          <w:sz w:val="32"/>
          <w:szCs w:val="32"/>
          <w:lang w:val="en-US" w:eastAsia="zh-CN" w:bidi="ar-SA"/>
        </w:rPr>
        <w:t>下达</w:t>
      </w:r>
      <w:r>
        <w:rPr>
          <w:rFonts w:hint="eastAsia" w:ascii="仿宋_GB2312" w:hAnsi="仿宋_GB2312" w:eastAsia="仿宋_GB2312" w:cs="仿宋_GB2312"/>
          <w:color w:val="auto"/>
          <w:kern w:val="2"/>
          <w:sz w:val="32"/>
          <w:szCs w:val="32"/>
          <w:lang w:val="en-US" w:eastAsia="zh-CN" w:bidi="ar-SA"/>
        </w:rPr>
        <w:t>批复，严格遵守采购工作公开招投标制度，保证了项目有序推进。</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（二）存在的问题及原因分析</w:t>
      </w:r>
      <w:bookmarkEnd w:id="13"/>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14" w:name="_Toc68703845"/>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18"/>
        <w:keepNext w:val="0"/>
        <w:keepLines w:val="0"/>
        <w:pageBreakBefore w:val="0"/>
        <w:kinsoku/>
        <w:wordWrap/>
        <w:overflowPunct/>
        <w:topLinePunct w:val="0"/>
        <w:autoSpaceDE/>
        <w:autoSpaceDN/>
        <w:bidi w:val="0"/>
        <w:adjustRightInd/>
        <w:snapToGrid/>
        <w:spacing w:line="500" w:lineRule="exact"/>
        <w:ind w:firstLine="640" w:firstLineChars="200"/>
        <w:jc w:val="both"/>
        <w:textAlignment w:val="auto"/>
        <w:outlineLvl w:val="9"/>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2.对项目资金的绩效目标管理、监控管理、自评管理的部分知识点学习不够，资料收集不够规范。</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、有关建议</w:t>
      </w:r>
      <w:bookmarkEnd w:id="14"/>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jc w:val="left"/>
        <w:textAlignment w:val="auto"/>
        <w:outlineLvl w:val="0"/>
        <w:rPr>
          <w:rFonts w:hint="eastAsia" w:ascii="仿宋_GB2312" w:hAnsi="仿宋_GB2312" w:eastAsia="仿宋_GB2312" w:cs="仿宋_GB2312"/>
          <w:color w:val="auto"/>
          <w:sz w:val="32"/>
          <w:szCs w:val="32"/>
          <w:lang w:val="en-US" w:eastAsia="zh-CN"/>
        </w:rPr>
      </w:pPr>
      <w:bookmarkStart w:id="15" w:name="_Toc68703846"/>
      <w:r>
        <w:rPr>
          <w:rFonts w:hint="eastAsia" w:ascii="仿宋_GB2312" w:hAnsi="仿宋_GB2312" w:eastAsia="仿宋_GB2312" w:cs="仿宋_GB2312"/>
          <w:color w:val="auto"/>
          <w:sz w:val="32"/>
          <w:szCs w:val="32"/>
          <w:lang w:val="en-US" w:eastAsia="zh-CN"/>
        </w:rPr>
        <w:t>多进行有关绩效管理工作方面的培训。积极组织第三方开展绩效管理工作培训，进一步夯实业务基础，提高我单位绩效人员水平。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3"/>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八、其他需要说明的问题</w:t>
      </w:r>
    </w:p>
    <w:bookmarkEnd w:id="15"/>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Style w:val="18"/>
        <w:ind w:firstLine="562"/>
        <w:jc w:val="center"/>
        <w:rPr>
          <w:rFonts w:hint="eastAsia" w:eastAsia="SimSun"/>
          <w:highlight w:val="none"/>
          <w:lang w:eastAsia="zh-CN"/>
        </w:rPr>
      </w:pPr>
      <w:r>
        <w:rPr>
          <w:rFonts w:hint="eastAsia" w:ascii="Times New Roman" w:hAnsi="Times New Roman" w:cs="Times New Roman"/>
          <w:b/>
          <w:bCs/>
          <w:sz w:val="28"/>
          <w:szCs w:val="40"/>
          <w:highlight w:val="none"/>
        </w:rPr>
        <w:t>2023年中央林业草原生态保护恢复资金-（国家级自然保护区补助）</w:t>
      </w:r>
      <w:r>
        <w:rPr>
          <w:rFonts w:hint="eastAsia" w:ascii="Times New Roman" w:hAnsi="Times New Roman" w:cs="Times New Roman"/>
          <w:b/>
          <w:bCs/>
          <w:sz w:val="28"/>
          <w:szCs w:val="40"/>
          <w:highlight w:val="none"/>
          <w:lang w:eastAsia="zh-CN"/>
        </w:rPr>
        <w:t>项目</w:t>
      </w:r>
      <w:r>
        <w:rPr>
          <w:rFonts w:hint="eastAsia" w:ascii="Times New Roman" w:hAnsi="Times New Roman" w:cs="Times New Roman"/>
          <w:b/>
          <w:bCs/>
          <w:sz w:val="28"/>
          <w:szCs w:val="40"/>
          <w:highlight w:val="none"/>
        </w:rPr>
        <w:t>绩效评价指标体系及综合评分表</w:t>
      </w:r>
    </w:p>
    <w:tbl>
      <w:tblPr>
        <w:tblStyle w:val="10"/>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2"/>
        <w:gridCol w:w="488"/>
        <w:gridCol w:w="558"/>
        <w:gridCol w:w="1504"/>
        <w:gridCol w:w="3323"/>
        <w:gridCol w:w="831"/>
        <w:gridCol w:w="8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1"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panose1 w:val="02010600030101010101"/>
    <w:charset w:val="7A"/>
    <w:family w:val="auto"/>
    <w:pitch w:val="default"/>
    <w:sig w:usb0="00000003" w:usb1="288F0000" w:usb2="00000006" w:usb3="00000000" w:csb0="00040001" w:csb1="00000000"/>
  </w:font>
  <w:font w:name="仿宋_GB2312">
    <w:altName w:val="FangSong"/>
    <w:panose1 w:val="02010609030101010101"/>
    <w:charset w:val="86"/>
    <w:family w:val="modern"/>
    <w:pitch w:val="default"/>
    <w:sig w:usb0="00000000" w:usb1="00000000" w:usb2="00000000" w:usb3="00000000" w:csb0="00040000" w:csb1="00000000"/>
  </w:font>
  <w:font w:name="FangSong">
    <w:panose1 w:val="02010609060101010101"/>
    <w:charset w:val="86"/>
    <w:family w:val="auto"/>
    <w:pitch w:val="default"/>
    <w:sig w:usb0="800002BF" w:usb1="38CF7CFA" w:usb2="00000016" w:usb3="00000000" w:csb0="00040001" w:csb1="00000000"/>
  </w:font>
  <w:font w:name="等线 Light">
    <w:altName w:val="SimSun"/>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红豆小标宋简体">
    <w:altName w:val="SimSun"/>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A1AE7"/>
    <w:multiLevelType w:val="singleLevel"/>
    <w:tmpl w:val="9A3A1AE7"/>
    <w:lvl w:ilvl="0" w:tentative="0">
      <w:start w:val="4"/>
      <w:numFmt w:val="chineseCounting"/>
      <w:suff w:val="nothing"/>
      <w:lvlText w:val="（%1）"/>
      <w:lvlJc w:val="left"/>
      <w:rPr>
        <w:rFonts w:hint="eastAsia"/>
      </w:rPr>
    </w:lvl>
  </w:abstractNum>
  <w:abstractNum w:abstractNumId="1">
    <w:nsid w:val="BA39304F"/>
    <w:multiLevelType w:val="singleLevel"/>
    <w:tmpl w:val="BA39304F"/>
    <w:lvl w:ilvl="0" w:tentative="0">
      <w:start w:val="2"/>
      <w:numFmt w:val="decimal"/>
      <w:suff w:val="nothing"/>
      <w:lvlText w:val="%1、"/>
      <w:lvlJc w:val="left"/>
    </w:lvl>
  </w:abstractNum>
  <w:abstractNum w:abstractNumId="2">
    <w:nsid w:val="1CABAD20"/>
    <w:multiLevelType w:val="singleLevel"/>
    <w:tmpl w:val="1CABAD2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172A27"/>
    <w:rsid w:val="000D63FA"/>
    <w:rsid w:val="005B64E8"/>
    <w:rsid w:val="00614288"/>
    <w:rsid w:val="00792CFE"/>
    <w:rsid w:val="007D49C5"/>
    <w:rsid w:val="008175E0"/>
    <w:rsid w:val="008C631D"/>
    <w:rsid w:val="00A114ED"/>
    <w:rsid w:val="00B24331"/>
    <w:rsid w:val="00EB3433"/>
    <w:rsid w:val="03001C54"/>
    <w:rsid w:val="031A7868"/>
    <w:rsid w:val="03A8142C"/>
    <w:rsid w:val="05227DA5"/>
    <w:rsid w:val="05AD2A4E"/>
    <w:rsid w:val="05CD6914"/>
    <w:rsid w:val="06682EFC"/>
    <w:rsid w:val="084F5179"/>
    <w:rsid w:val="08B62A62"/>
    <w:rsid w:val="08D20D13"/>
    <w:rsid w:val="09F117C8"/>
    <w:rsid w:val="0BEA4AF0"/>
    <w:rsid w:val="0C4D0F1B"/>
    <w:rsid w:val="0CA33266"/>
    <w:rsid w:val="0F1C6C56"/>
    <w:rsid w:val="0F2A6BF7"/>
    <w:rsid w:val="0FC02FE7"/>
    <w:rsid w:val="106477BA"/>
    <w:rsid w:val="13B34A16"/>
    <w:rsid w:val="142452D4"/>
    <w:rsid w:val="15372863"/>
    <w:rsid w:val="157631F1"/>
    <w:rsid w:val="16307490"/>
    <w:rsid w:val="1938386B"/>
    <w:rsid w:val="1A7D6046"/>
    <w:rsid w:val="1B93771F"/>
    <w:rsid w:val="1BB65B86"/>
    <w:rsid w:val="1CCD67FC"/>
    <w:rsid w:val="1CE71F19"/>
    <w:rsid w:val="1D723F37"/>
    <w:rsid w:val="1D785367"/>
    <w:rsid w:val="2076302F"/>
    <w:rsid w:val="20E33285"/>
    <w:rsid w:val="20E56788"/>
    <w:rsid w:val="20EF419A"/>
    <w:rsid w:val="227C7B23"/>
    <w:rsid w:val="23880F5A"/>
    <w:rsid w:val="294E3354"/>
    <w:rsid w:val="295B58D7"/>
    <w:rsid w:val="2B005158"/>
    <w:rsid w:val="2D922FC9"/>
    <w:rsid w:val="2DBA2E0B"/>
    <w:rsid w:val="2DD35290"/>
    <w:rsid w:val="2EC30FD3"/>
    <w:rsid w:val="2F73608E"/>
    <w:rsid w:val="2F7708EA"/>
    <w:rsid w:val="30035859"/>
    <w:rsid w:val="30CE007C"/>
    <w:rsid w:val="30F061B7"/>
    <w:rsid w:val="31B00AE5"/>
    <w:rsid w:val="32AE0DEC"/>
    <w:rsid w:val="3532368F"/>
    <w:rsid w:val="36A677E9"/>
    <w:rsid w:val="36B72533"/>
    <w:rsid w:val="37C16DB9"/>
    <w:rsid w:val="3A101F69"/>
    <w:rsid w:val="3AD0360B"/>
    <w:rsid w:val="3D990D1B"/>
    <w:rsid w:val="3EC80C8D"/>
    <w:rsid w:val="3F2B585E"/>
    <w:rsid w:val="4057649F"/>
    <w:rsid w:val="42301E79"/>
    <w:rsid w:val="43182414"/>
    <w:rsid w:val="43EE4803"/>
    <w:rsid w:val="46507BB3"/>
    <w:rsid w:val="467963BA"/>
    <w:rsid w:val="46A21AD9"/>
    <w:rsid w:val="48467F15"/>
    <w:rsid w:val="48CF4000"/>
    <w:rsid w:val="48E855F9"/>
    <w:rsid w:val="4959387F"/>
    <w:rsid w:val="4A7C25BE"/>
    <w:rsid w:val="4AE917B6"/>
    <w:rsid w:val="4B131070"/>
    <w:rsid w:val="4B9F244D"/>
    <w:rsid w:val="4C22332E"/>
    <w:rsid w:val="4CCA390C"/>
    <w:rsid w:val="4D2B4C2A"/>
    <w:rsid w:val="4DC31516"/>
    <w:rsid w:val="4F2F5C59"/>
    <w:rsid w:val="51EF3AF8"/>
    <w:rsid w:val="53410230"/>
    <w:rsid w:val="56796849"/>
    <w:rsid w:val="56FF5782"/>
    <w:rsid w:val="571D4F33"/>
    <w:rsid w:val="58F97469"/>
    <w:rsid w:val="5A3519CB"/>
    <w:rsid w:val="5AA91AFA"/>
    <w:rsid w:val="5BEB7AB5"/>
    <w:rsid w:val="5C4E7981"/>
    <w:rsid w:val="5D1730AD"/>
    <w:rsid w:val="5DA95371"/>
    <w:rsid w:val="5F6B1E1C"/>
    <w:rsid w:val="5FFF100B"/>
    <w:rsid w:val="615B2595"/>
    <w:rsid w:val="62EA4706"/>
    <w:rsid w:val="65AB6FD8"/>
    <w:rsid w:val="664A7B78"/>
    <w:rsid w:val="6842701C"/>
    <w:rsid w:val="689217BA"/>
    <w:rsid w:val="68F11999"/>
    <w:rsid w:val="690E546B"/>
    <w:rsid w:val="6A3142C9"/>
    <w:rsid w:val="6A326270"/>
    <w:rsid w:val="6B93068D"/>
    <w:rsid w:val="6C291207"/>
    <w:rsid w:val="6C9C3AD4"/>
    <w:rsid w:val="6D100E7E"/>
    <w:rsid w:val="6D517100"/>
    <w:rsid w:val="6DBE0F5A"/>
    <w:rsid w:val="6E437F76"/>
    <w:rsid w:val="724C64DA"/>
    <w:rsid w:val="74396328"/>
    <w:rsid w:val="75134855"/>
    <w:rsid w:val="75A03032"/>
    <w:rsid w:val="763A0251"/>
    <w:rsid w:val="7936053E"/>
    <w:rsid w:val="796A3742"/>
    <w:rsid w:val="79EA7513"/>
    <w:rsid w:val="7A2300E7"/>
    <w:rsid w:val="7DE42BA8"/>
    <w:rsid w:val="7E05466A"/>
    <w:rsid w:val="7E567606"/>
    <w:rsid w:val="7F9054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9385</Words>
  <Characters>10059</Characters>
  <Lines>37</Lines>
  <Paragraphs>10</Paragraphs>
  <TotalTime>23</TotalTime>
  <ScaleCrop>false</ScaleCrop>
  <LinksUpToDate>false</LinksUpToDate>
  <CharactersWithSpaces>10075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2024-12-30T08:54:19Z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B719D87271604910B546AA5ADFC77A7E</vt:lpwstr>
  </property>
  <property fmtid="{D5CDD505-2E9C-101B-9397-08002B2CF9AE}" pid="4" name="KSOTemplateDocerSaveRecord">
    <vt:lpwstr>eyJoZGlkIjoiNTBiYjFiYzY0OWM2ODlhYjA1NDAwODJkOGMwZGNkYTMiLCJ1c2VySWQiOiIyNTk4NTcxMjUifQ==</vt:lpwstr>
  </property>
</Properties>
</file>