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522" w:firstLineChars="100"/>
        <w:jc w:val="both"/>
        <w:textAlignment w:val="auto"/>
        <w:rPr>
          <w:rFonts w:hint="eastAsia" w:ascii="宋体" w:hAnsi="宋体" w:eastAsia="宋体" w:cs="Arial"/>
          <w:b/>
          <w:bCs/>
          <w:sz w:val="52"/>
          <w:szCs w:val="52"/>
        </w:rPr>
      </w:pPr>
      <w:r>
        <w:rPr>
          <w:rFonts w:hint="eastAsia" w:ascii="宋体" w:hAnsi="宋体" w:eastAsia="宋体" w:cs="Arial"/>
          <w:b/>
          <w:bCs/>
          <w:sz w:val="52"/>
          <w:szCs w:val="52"/>
        </w:rPr>
        <w:t>史志鉴书籍编撰出版及日常保障项</w:t>
      </w:r>
    </w:p>
    <w:p>
      <w:pPr>
        <w:pageBreakBefore w:val="0"/>
        <w:kinsoku/>
        <w:wordWrap/>
        <w:overflowPunct/>
        <w:topLinePunct w:val="0"/>
        <w:autoSpaceDE/>
        <w:autoSpaceDN/>
        <w:bidi w:val="0"/>
        <w:adjustRightInd/>
        <w:snapToGrid/>
        <w:spacing w:line="560" w:lineRule="exact"/>
        <w:ind w:firstLine="2088" w:firstLineChars="400"/>
        <w:jc w:val="both"/>
        <w:textAlignment w:val="auto"/>
        <w:rPr>
          <w:rFonts w:ascii="宋体" w:hAnsi="宋体" w:eastAsia="宋体" w:cs="Arial"/>
          <w:b/>
          <w:bCs/>
          <w:sz w:val="52"/>
          <w:szCs w:val="52"/>
        </w:rPr>
      </w:pPr>
      <w:r>
        <w:rPr>
          <w:rFonts w:hint="eastAsia" w:ascii="宋体" w:hAnsi="宋体" w:eastAsia="宋体" w:cs="Arial"/>
          <w:b/>
          <w:bCs/>
          <w:sz w:val="52"/>
          <w:szCs w:val="52"/>
        </w:rPr>
        <w:t>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兰米小标宋简体" w:hAnsi="兰米小标宋简体" w:eastAsia="兰米小标宋简体" w:cs="兰米小标宋简体"/>
          <w:color w:val="000000"/>
          <w:kern w:val="0"/>
          <w:sz w:val="36"/>
          <w:szCs w:val="36"/>
        </w:rPr>
        <w:t>（2</w:t>
      </w:r>
      <w:r>
        <w:rPr>
          <w:rFonts w:ascii="兰米小标宋简体" w:hAnsi="兰米小标宋简体" w:eastAsia="兰米小标宋简体" w:cs="兰米小标宋简体"/>
          <w:color w:val="000000"/>
          <w:kern w:val="0"/>
          <w:sz w:val="36"/>
          <w:szCs w:val="36"/>
        </w:rPr>
        <w:t>02</w:t>
      </w:r>
      <w:r>
        <w:rPr>
          <w:rFonts w:hint="eastAsia" w:ascii="兰米小标宋简体" w:hAnsi="兰米小标宋简体" w:eastAsia="兰米小标宋简体" w:cs="兰米小标宋简体"/>
          <w:color w:val="000000"/>
          <w:kern w:val="0"/>
          <w:sz w:val="36"/>
          <w:szCs w:val="36"/>
          <w:lang w:val="en-US" w:eastAsia="zh-CN"/>
        </w:rPr>
        <w:t>3</w:t>
      </w:r>
      <w:r>
        <w:rPr>
          <w:rFonts w:hint="eastAsia" w:ascii="兰米小标宋简体" w:hAnsi="兰米小标宋简体" w:eastAsia="兰米小标宋简体" w:cs="兰米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项目名称：史志鉴书籍编撰出版及日常保障项目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实施单位（公章）：新疆巴州党委党史地方志办公室</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主管部门（公章）：新疆巴州党委党史地方志办公室</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朱峰</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0" w:name="_Toc68703827"/>
      <w:r>
        <w:rPr>
          <w:rFonts w:hint="eastAsia" w:ascii="宋体" w:hAnsi="宋体" w:eastAsia="宋体" w:cs="Times New Roman"/>
          <w:sz w:val="32"/>
          <w:szCs w:val="32"/>
          <w:lang w:val="en-US" w:eastAsia="zh-CN"/>
        </w:rPr>
        <w:t>一、基本情况</w:t>
      </w:r>
      <w:bookmarkEnd w:id="0"/>
    </w:p>
    <w:p>
      <w:pPr>
        <w:spacing w:line="560" w:lineRule="exact"/>
        <w:ind w:firstLine="643" w:firstLineChars="200"/>
        <w:rPr>
          <w:rFonts w:hint="eastAsia" w:eastAsia="楷体_GB2312"/>
          <w:b/>
          <w:bCs/>
          <w:sz w:val="32"/>
          <w:szCs w:val="32"/>
          <w:lang w:val="en-US" w:eastAsia="zh-CN"/>
        </w:rPr>
      </w:pPr>
      <w:bookmarkStart w:id="1" w:name="_Toc68703828"/>
      <w:r>
        <w:rPr>
          <w:rFonts w:hint="eastAsia" w:eastAsia="楷体_GB2312"/>
          <w:b/>
          <w:bCs/>
          <w:sz w:val="32"/>
          <w:szCs w:val="32"/>
          <w:lang w:val="en-US" w:eastAsia="zh-CN"/>
        </w:rPr>
        <w:t>（一）项目概况</w:t>
      </w:r>
      <w:bookmarkEnd w:id="1"/>
    </w:p>
    <w:p>
      <w:pPr>
        <w:spacing w:line="560" w:lineRule="exact"/>
        <w:ind w:firstLine="643" w:firstLineChars="200"/>
        <w:rPr>
          <w:rFonts w:hint="eastAsia" w:eastAsia="仿宋_GB2312"/>
          <w:b/>
          <w:bCs/>
          <w:sz w:val="32"/>
          <w:szCs w:val="32"/>
          <w:lang w:val="en-US" w:eastAsia="zh-CN"/>
        </w:rPr>
      </w:pPr>
      <w:r>
        <w:rPr>
          <w:rFonts w:hint="eastAsia" w:eastAsia="仿宋_GB2312"/>
          <w:b/>
          <w:bCs/>
          <w:sz w:val="32"/>
          <w:szCs w:val="32"/>
          <w:lang w:val="en-US" w:eastAsia="zh-CN"/>
        </w:rPr>
        <w:t>1.项目背景，主要内容及实施情况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（1）项目背景</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中华人民共和国国务院《规划纲要》、《地方志工作条例》规定、自治州党史和文献研究工作规划、自治州党委第八巡察组巡察州党委史志办班子反馈意见及巴州党委史志办按照巡察整改方案补课，逐年编纂出版综合年鉴，地方志工作机构组织编纂地方综合年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内容：根据中华人民共和国国务院令第467号国务院《地方志工作条例》和中国地方志指导小组关于《地方志书质量规定》，编纂出版综合年鉴，完成2022卷综合年鉴出版印刷，完成2023卷综合年鉴统稿总纂。本办内部完成三审并报州人民政府、州审读中心、自治区审读中心审读。聘用编纂人员，同时为保证正常工作开展，按需购置日常办公耗材，提高单位工作效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实施情况：</w:t>
      </w:r>
      <w:r>
        <w:rPr>
          <w:rFonts w:hint="eastAsia" w:ascii="仿宋_GB2312" w:hAnsi="仿宋_GB2312" w:eastAsia="仿宋_GB2312" w:cs="仿宋_GB2312"/>
          <w:sz w:val="32"/>
          <w:szCs w:val="32"/>
          <w:lang w:val="zh-CN" w:eastAsia="zh-CN"/>
        </w:rPr>
        <w:t>史志鉴书籍编撰出版及日常保障项目按照时间和计划保质、保量完成。根据条例规定和单位职能完成175万字《巴音郭楞年鉴（2022）、（2023）》修改编纂工作，聘用编辑人员3人，及时发放编辑费6次，保障了编纂工作正常开展，提升存史资政育人作用。购买3批次办公耗材，完成单位物质保障工作，提高了单位工作效率</w:t>
      </w:r>
      <w:r>
        <w:rPr>
          <w:rFonts w:hint="eastAsia" w:ascii="仿宋_GB2312" w:hAnsi="仿宋_GB2312" w:eastAsia="仿宋_GB2312" w:cs="仿宋_GB2312"/>
          <w:sz w:val="32"/>
          <w:szCs w:val="32"/>
          <w:lang w:val="en-US" w:eastAsia="zh-CN"/>
        </w:rPr>
        <w:t>。</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2.资金投入和使用情况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（1）资金投入情况：该项目年初预算数49万元，全年预算数49万元，实际总投入49万元，该项目资金已全部落实到位，资金来源为本级财政拨款。</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（2）资金使用情况：该项目年初预算数49万元，全年预算数49万元，全年执行数49万元，预算执行率为100%，用于：</w:t>
      </w:r>
      <w:r>
        <w:rPr>
          <w:rFonts w:hint="eastAsia" w:ascii="仿宋_GB2312" w:hAnsi="仿宋_GB2312" w:eastAsia="仿宋_GB2312" w:cs="仿宋_GB2312"/>
          <w:sz w:val="32"/>
          <w:szCs w:val="32"/>
          <w:lang w:val="zh-CN" w:eastAsia="zh-CN"/>
        </w:rPr>
        <w:t>8.5万元用于《巴音郭楞年鉴（2022）》出版管理费和审校费；10.13万元用于《巴音郭楞年鉴（2022）》印刷费、电子书籍费用、地图费用；8.5万元用于《巴音郭楞年鉴（2023）》出版管理费和审校费；8.04万元用于编辑人员委托业务费；13.83万元用于</w:t>
      </w:r>
      <w:r>
        <w:rPr>
          <w:rFonts w:hint="eastAsia" w:ascii="仿宋_GB2312" w:hAnsi="仿宋_GB2312" w:eastAsia="仿宋_GB2312" w:cs="仿宋_GB2312"/>
          <w:sz w:val="32"/>
          <w:szCs w:val="32"/>
          <w:lang w:val="en-US" w:eastAsia="zh-CN"/>
        </w:rPr>
        <w:t>购置</w:t>
      </w:r>
      <w:r>
        <w:rPr>
          <w:rFonts w:hint="eastAsia" w:ascii="仿宋_GB2312" w:hAnsi="仿宋_GB2312" w:eastAsia="仿宋_GB2312" w:cs="仿宋_GB2312"/>
          <w:sz w:val="32"/>
          <w:szCs w:val="32"/>
          <w:lang w:val="zh-CN" w:eastAsia="zh-CN"/>
        </w:rPr>
        <w:t>办公耗材</w:t>
      </w:r>
      <w:r>
        <w:rPr>
          <w:rFonts w:hint="eastAsia" w:ascii="仿宋_GB2312" w:hAnsi="仿宋_GB2312" w:eastAsia="仿宋_GB2312" w:cs="仿宋_GB2312"/>
          <w:sz w:val="32"/>
          <w:szCs w:val="32"/>
          <w:lang w:val="en-US" w:eastAsia="zh-CN"/>
        </w:rPr>
        <w:t>。</w:t>
      </w:r>
    </w:p>
    <w:p>
      <w:pPr>
        <w:spacing w:line="560" w:lineRule="exact"/>
        <w:ind w:firstLine="643" w:firstLineChars="200"/>
        <w:rPr>
          <w:rFonts w:hint="default" w:eastAsia="楷体_GB2312"/>
          <w:b/>
          <w:bCs/>
          <w:sz w:val="32"/>
          <w:szCs w:val="32"/>
          <w:lang w:val="en-US" w:eastAsia="zh-CN"/>
        </w:rPr>
      </w:pPr>
      <w:bookmarkStart w:id="2" w:name="_Toc68703829"/>
      <w:r>
        <w:rPr>
          <w:rFonts w:hint="eastAsia" w:eastAsia="楷体_GB2312"/>
          <w:b/>
          <w:bCs/>
          <w:sz w:val="32"/>
          <w:szCs w:val="32"/>
          <w:lang w:val="en-US" w:eastAsia="zh-CN"/>
        </w:rPr>
        <w:t>（二）项目绩效目标</w:t>
      </w:r>
      <w:bookmarkEnd w:id="2"/>
      <w:r>
        <w:rPr>
          <w:rFonts w:hint="eastAsia" w:eastAsia="楷体_GB2312"/>
          <w:b/>
          <w:bCs/>
          <w:sz w:val="32"/>
          <w:szCs w:val="32"/>
          <w:lang w:val="en-US" w:eastAsia="zh-CN"/>
        </w:rPr>
        <w:t>，包括总体目标和阶段性目标</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1.总体目标：</w:t>
      </w:r>
      <w:r>
        <w:rPr>
          <w:rFonts w:hint="eastAsia" w:ascii="仿宋_GB2312" w:hAnsi="仿宋_GB2312" w:eastAsia="仿宋_GB2312" w:cs="仿宋_GB2312"/>
          <w:sz w:val="32"/>
          <w:szCs w:val="32"/>
          <w:lang w:val="zh-CN" w:eastAsia="zh-CN"/>
        </w:rPr>
        <w:t>目标</w:t>
      </w:r>
      <w:r>
        <w:rPr>
          <w:rFonts w:hint="eastAsia" w:ascii="仿宋_GB2312" w:hAnsi="仿宋_GB2312" w:eastAsia="仿宋_GB2312" w:cs="仿宋_GB2312"/>
          <w:sz w:val="32"/>
          <w:szCs w:val="32"/>
          <w:lang w:val="en-US" w:eastAsia="zh-CN"/>
        </w:rPr>
        <w:t>1.根据中华人民共和国国务院令第467号国务院《地方志工作条例》规定，逐年编纂出版综合年鉴。2022卷综合年鉴计划于2023年11月之前完成出版印刷，2023卷综合年鉴2023年10月前力争完成统稿总纂，《巴音郭楞年鉴（2022）、（2023）》修改编纂字数达到150万字，本办内部完成三审并报州人民政府、州审读中心、自治区审读中心审读。综合年鉴我办严格按照《地方志工作条例》规定逐年出版，提升存史资政育人作用。</w:t>
      </w:r>
      <w:r>
        <w:rPr>
          <w:rFonts w:hint="eastAsia" w:ascii="仿宋_GB2312" w:hAnsi="仿宋_GB2312" w:eastAsia="仿宋_GB2312" w:cs="仿宋_GB2312"/>
          <w:sz w:val="32"/>
          <w:szCs w:val="32"/>
          <w:lang w:val="zh-CN" w:eastAsia="zh-CN"/>
        </w:rPr>
        <w:t>目标</w:t>
      </w:r>
      <w:r>
        <w:rPr>
          <w:rFonts w:hint="eastAsia" w:ascii="仿宋_GB2312" w:hAnsi="仿宋_GB2312" w:eastAsia="仿宋_GB2312" w:cs="仿宋_GB2312"/>
          <w:sz w:val="32"/>
          <w:szCs w:val="32"/>
          <w:lang w:val="en-US" w:eastAsia="zh-CN"/>
        </w:rPr>
        <w:t>2.为保障编纂工作正常开展，计划聘用3人完成编制工作，编辑费发放次数达到6次，同时及时购置日常办公耗材大于等于3批次，提高单位工作效率。</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2.阶段性目标：</w:t>
      </w:r>
      <w:r>
        <w:rPr>
          <w:rFonts w:hint="eastAsia" w:ascii="仿宋_GB2312" w:hAnsi="仿宋_GB2312" w:eastAsia="仿宋_GB2312" w:cs="仿宋_GB2312"/>
          <w:sz w:val="32"/>
          <w:szCs w:val="32"/>
          <w:lang w:val="en-US" w:eastAsia="zh-CN"/>
        </w:rPr>
        <w:t>新疆巴州党委党史地方志办公室贯彻落实党和国家有关中共党史、地方志工作的方针、政策，制订全州中共地方党史、地方志工作的规划并组织实施，上半年完成《巴音郭楞年鉴（2022）》修改审定初稿，发放1-6月份聘用编辑人员工资。下半年完成《巴音郭楞年鉴（2023）》编纂初稿，出版《巴音郭楞年鉴（2022）》，发放7-12月份聘用编辑人员工资，完成购置3批次办公耗材，保障单位日常工作顺利开展。</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3" w:name="_Toc68703830"/>
      <w:r>
        <w:rPr>
          <w:rFonts w:hint="eastAsia" w:ascii="宋体" w:hAnsi="宋体" w:eastAsia="宋体" w:cs="Times New Roman"/>
          <w:sz w:val="32"/>
          <w:szCs w:val="32"/>
          <w:lang w:val="en-US" w:eastAsia="zh-CN"/>
        </w:rPr>
        <w:t>二、绩效评价工作开展情况</w:t>
      </w:r>
      <w:bookmarkEnd w:id="3"/>
    </w:p>
    <w:p>
      <w:pPr>
        <w:spacing w:line="560" w:lineRule="exact"/>
        <w:ind w:firstLine="643" w:firstLineChars="200"/>
        <w:rPr>
          <w:rFonts w:hint="default" w:eastAsia="楷体_GB2312"/>
          <w:b/>
          <w:bCs/>
          <w:sz w:val="32"/>
          <w:szCs w:val="32"/>
          <w:lang w:val="en-US" w:eastAsia="zh-CN"/>
        </w:rPr>
      </w:pPr>
      <w:bookmarkStart w:id="4" w:name="_Toc68703831"/>
      <w:r>
        <w:rPr>
          <w:rFonts w:hint="eastAsia" w:eastAsia="楷体_GB2312"/>
          <w:b/>
          <w:bCs/>
          <w:sz w:val="32"/>
          <w:szCs w:val="32"/>
          <w:lang w:val="en-US" w:eastAsia="zh-CN"/>
        </w:rPr>
        <w:t>（一）绩效评价目的、对象和范围</w:t>
      </w:r>
      <w:bookmarkEnd w:id="4"/>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1.绩效评价目的：</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新疆巴州党委党史地方志办公室</w:t>
      </w:r>
      <w:r>
        <w:rPr>
          <w:rFonts w:hint="eastAsia" w:ascii="仿宋_GB2312" w:hAnsi="仿宋_GB2312" w:eastAsia="仿宋_GB2312" w:cs="仿宋_GB2312"/>
          <w:sz w:val="32"/>
          <w:szCs w:val="32"/>
          <w:lang w:val="zh-CN" w:eastAsia="zh-CN"/>
        </w:rPr>
        <w:t>通过绩效评价，客观地评判项目的管理绩效，了解和掌握史志鉴书籍编撰出版及日常保障项目经费的具体情况，评价该项目资金安排的科学性、合理性、规范性和资金的使用成效，及时总结项目管理经验，完善项目管理办法，提高项目管理水平和资金使用效益。促使我</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val="zh-CN" w:eastAsia="zh-CN"/>
        </w:rPr>
        <w:t>根据绩效评价中发现的问题，认真加以整改，及时调整和完善单位的工作计划并加强项目</w:t>
      </w:r>
      <w:r>
        <w:rPr>
          <w:rFonts w:hint="eastAsia" w:ascii="仿宋_GB2312" w:hAnsi="仿宋_GB2312" w:eastAsia="仿宋_GB2312" w:cs="仿宋_GB2312"/>
          <w:sz w:val="32"/>
          <w:szCs w:val="32"/>
          <w:lang w:val="en-US" w:eastAsia="zh-CN"/>
        </w:rPr>
        <w:t>绩效</w:t>
      </w:r>
      <w:r>
        <w:rPr>
          <w:rFonts w:hint="eastAsia" w:ascii="仿宋_GB2312" w:hAnsi="仿宋_GB2312" w:eastAsia="仿宋_GB2312" w:cs="仿宋_GB2312"/>
          <w:sz w:val="32"/>
          <w:szCs w:val="32"/>
          <w:lang w:val="zh-CN" w:eastAsia="zh-CN"/>
        </w:rPr>
        <w:t>管理，同时为项目后续资金投入、分配和管理提供决策依据。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2.绩效评价对象：</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3.绩效评价范围：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从项目决策（包括绩效目标、决策过程）、项目管理（包括项目资金、项目实施）、项目产出（包括项目产出数量、产出质量、产出时效和产出成本）项目效益四个维度进行史志鉴书籍编撰出版及日常保障项目评价，评价核心为资金的支出完成情况和效果。</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5" w:name="_Toc68703832"/>
      <w:r>
        <w:rPr>
          <w:rFonts w:hint="eastAsia" w:ascii="Times New Roman" w:hAnsi="Times New Roman" w:eastAsia="楷体_GB2312" w:cs="Times New Roman"/>
          <w:b/>
          <w:bCs/>
          <w:sz w:val="32"/>
          <w:szCs w:val="32"/>
          <w:lang w:val="en-US" w:eastAsia="zh-CN"/>
        </w:rPr>
        <w:t>（二）绩效评价原则、评价指标体系（附表说明）、评价方法、评价标准</w:t>
      </w:r>
      <w:bookmarkEnd w:id="5"/>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本次项目绩效评价遵循以下基本原则：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科学公正。本次项目支出绩效评价运用科学合理的方法，按照规范的程序，对项目绩效进行客观、公正的反映。新疆巴州党委党史地方志办公室在史志鉴书籍编撰出版及日常保障项目评价中根据《规划纲要》、《地方志工作条例》、自治州党史和文献研究工作规划相关和部门单位职责及年初预算资金分配测算依据等方面分析可得该项目设立合理、实施过程规范、资金严格按照财政审核流程规范执行，绩效目标设置依据充分、科学合理、目标明确、充分考虑到我单位日常工作要求及任务细化程度。评价过程科学合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统筹兼顾。本次项目支出绩效评价由本单位自主实施，即“谁支出、谁自评”。史志鉴书籍编撰出版及日常保障项目由新疆巴州党委党史地方志办公室实施，并对项目实施情况进行单位自评，与相关科室的管理人员进行了沟通和交流，深入了解史志鉴书籍编撰出版及日常保障项目资金的使用情况和项目完成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（三）激励约束。本次项目支出绩效评价结果与预算安排、政策调整、改进管理实质性挂钩，体现奖优罚劣和激励相容导向，有效要安排、低效要压减、无效要问责。</w:t>
      </w:r>
      <w:r>
        <w:rPr>
          <w:rFonts w:hint="eastAsia" w:ascii="仿宋_GB2312" w:hAnsi="仿宋_GB2312" w:eastAsia="仿宋_GB2312" w:cs="仿宋_GB2312"/>
          <w:sz w:val="32"/>
          <w:szCs w:val="32"/>
          <w:lang w:val="zh-CN" w:eastAsia="zh-CN"/>
        </w:rPr>
        <w:t>史志鉴书籍编撰出版及日常保障项目严格按照年初预算安排实施，各科室从项目实施方案、项目预算、项目进度、项目成本等环节，全过程对项目进行监管，明确分工，各司其职，抓好工作目标任务的落实完成，并向本单位领导报告，同时年中要求各科室对本科室绩效工作进行自查自评，存在问题及时整改，以推进项目建设和提高项目质量。</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（四）公开透明。本次项目支出绩效评价结果已依法依规公开在巴音郭楞蒙古自治州人民政府网站上，并自觉接受社会监督。</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2、评价指标体系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绩效评价框架是开展绩效评价的核心。绩效评价框架包括评价准则、关键评价问题、评价指标、数据来源、数据收集方法等。指标体系建立过程如下：</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（1）确定评价指标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（2）确定权重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确定各个指标相对于项目总体绩效的权重分值。在绩效评价指标体系中，项目决策权重为20分，项目过程权重为20分，项目产出权重为40分，项目效益权重为20分。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（3）确定指标标准值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指标标准值是绩效评价指标的尺度，既要反映同类项目的先进水平，又要符合项目的实际绩效水平。具体采用计划标准等确定此次绩效评价指标标准值。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具体评价指标体系详情见附件。</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3、评价方法</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绩效评价从项目决策、项目过程、项目产出、项目效益四个维度进行评价。评价对象为项目目标实施情况，评价核心为资金的支出完成情况和项目的产出效益。</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本次评价指标中，既有定性指标又有定量指标，各类指标因考核内容不同和客观标准不同存在较大差异，因此核定具体指标时采用了不同方法，具体评价方法如下：</w:t>
      </w:r>
      <w:r>
        <w:rPr>
          <w:rFonts w:hint="eastAsia" w:ascii="仿宋_GB2312" w:hAnsi="仿宋_GB2312" w:eastAsia="仿宋_GB2312" w:cs="仿宋_GB2312"/>
          <w:sz w:val="32"/>
          <w:szCs w:val="32"/>
          <w:lang w:val="en-US" w:eastAsia="zh-CN"/>
        </w:rPr>
        <w:t>本次史志鉴书籍编撰出版及日常保障项目支出绩效自评采用比较法方法，原因是：按照财政项目支出绩效自评工作的要求，结合我单位实际情况，组织相关人员根据项目绩效指标内容，对所有项目内容进行核实和考评。比较法能通过对年初设置的三级指标内容与完成情况进行对比，在此基础上进行评价，通过这种直观的方式可以清楚明了体现出项目实施情况</w:t>
      </w:r>
      <w:r>
        <w:rPr>
          <w:rFonts w:hint="eastAsia" w:ascii="仿宋_GB2312" w:hAnsi="仿宋_GB2312" w:eastAsia="仿宋_GB2312" w:cs="仿宋_GB2312"/>
          <w:sz w:val="32"/>
          <w:szCs w:val="32"/>
          <w:lang w:val="zh-CN" w:eastAsia="zh-CN"/>
        </w:rPr>
        <w:t>。</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4.评价标准</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绩效评价标准通常包括计划标准、行业标准、历史标准等，用于对绩效指标完成情况进行比较、分析、评价。本次评价主要采用了</w:t>
      </w:r>
      <w:r>
        <w:rPr>
          <w:rFonts w:hint="eastAsia" w:ascii="仿宋_GB2312" w:hAnsi="仿宋_GB2312" w:eastAsia="仿宋_GB2312" w:cs="仿宋_GB2312"/>
          <w:sz w:val="32"/>
          <w:szCs w:val="32"/>
          <w:lang w:val="en-US" w:eastAsia="zh-CN"/>
        </w:rPr>
        <w:t>计划标准和历史标准，原因是：史志鉴书籍编撰出版及日常保障项目设置年初绩效目标申报表时以预先制定的目标、计划、预算及历史数据制定的标准，并根据该项目本年度计划实施情况确定三级指标。采用计划标准、历史标准，可提高预算编制和预算额度测算准确率</w:t>
      </w:r>
      <w:r>
        <w:rPr>
          <w:rFonts w:hint="eastAsia" w:ascii="仿宋_GB2312" w:hAnsi="仿宋_GB2312" w:eastAsia="仿宋_GB2312" w:cs="仿宋_GB2312"/>
          <w:sz w:val="32"/>
          <w:szCs w:val="32"/>
          <w:lang w:val="zh-CN" w:eastAsia="zh-CN"/>
        </w:rPr>
        <w:t>。</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6" w:name="_Toc68703833"/>
      <w:r>
        <w:rPr>
          <w:rFonts w:hint="eastAsia" w:ascii="Times New Roman" w:hAnsi="Times New Roman" w:eastAsia="楷体_GB2312" w:cs="Times New Roman"/>
          <w:b/>
          <w:bCs/>
          <w:sz w:val="32"/>
          <w:szCs w:val="32"/>
          <w:lang w:val="en-US" w:eastAsia="zh-CN"/>
        </w:rPr>
        <w:t>（三）绩效评价工作过程</w:t>
      </w:r>
      <w:bookmarkEnd w:id="6"/>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bookmarkStart w:id="7" w:name="_Toc68703834"/>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val="zh-CN" w:eastAsia="zh-CN"/>
        </w:rPr>
        <w:t>前期准备。</w:t>
      </w:r>
      <w:r>
        <w:rPr>
          <w:rFonts w:hint="eastAsia" w:ascii="仿宋_GB2312" w:hAnsi="仿宋_GB2312" w:eastAsia="仿宋_GB2312" w:cs="仿宋_GB2312"/>
          <w:sz w:val="32"/>
          <w:szCs w:val="32"/>
          <w:lang w:val="zh-CN" w:eastAsia="zh-CN"/>
        </w:rPr>
        <w:t>新疆巴州党委党史地方志办公室</w:t>
      </w:r>
      <w:r>
        <w:rPr>
          <w:rFonts w:hint="eastAsia" w:ascii="仿宋_GB2312" w:hAnsi="仿宋_GB2312" w:eastAsia="仿宋_GB2312" w:cs="仿宋_GB2312"/>
          <w:sz w:val="32"/>
          <w:szCs w:val="32"/>
          <w:lang w:val="en-US" w:eastAsia="zh-CN"/>
        </w:rPr>
        <w:t>成立评价工作组，开展前期调研；其次明确项目绩效目标，</w:t>
      </w:r>
      <w:r>
        <w:rPr>
          <w:rFonts w:hint="eastAsia" w:ascii="仿宋_GB2312" w:hAnsi="仿宋_GB2312" w:eastAsia="仿宋_GB2312" w:cs="仿宋_GB2312"/>
          <w:sz w:val="32"/>
          <w:szCs w:val="32"/>
          <w:lang w:val="zh-CN" w:eastAsia="zh-CN"/>
        </w:rPr>
        <w:t>本次评价范围从决策、过程、产出和效益四个方面，包括项目具体的数量指标、质量指标、时效指标、成本指标、经济效益指标、社会效益指标及满意度指标，</w:t>
      </w:r>
      <w:r>
        <w:rPr>
          <w:rFonts w:hint="eastAsia" w:ascii="仿宋_GB2312" w:hAnsi="仿宋_GB2312" w:eastAsia="仿宋_GB2312" w:cs="仿宋_GB2312"/>
          <w:sz w:val="32"/>
          <w:szCs w:val="32"/>
          <w:lang w:val="en-US" w:eastAsia="zh-CN"/>
        </w:rPr>
        <w:t>设计绩效评价指标体系并确定绩效评价方法；接着确定现场和非现场评价范围，设计资料清单；最后制定评价实施方案并进行论证</w:t>
      </w:r>
      <w:r>
        <w:rPr>
          <w:rFonts w:hint="eastAsia" w:ascii="仿宋_GB2312" w:hAnsi="仿宋_GB2312" w:eastAsia="仿宋_GB2312" w:cs="仿宋_GB2312"/>
          <w:sz w:val="32"/>
          <w:szCs w:val="32"/>
          <w:lang w:val="zh-CN" w:eastAsia="zh-CN"/>
        </w:rPr>
        <w:t>。</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val="zh-CN" w:eastAsia="zh-CN"/>
        </w:rPr>
        <w:t>组织实施。</w:t>
      </w:r>
      <w:r>
        <w:rPr>
          <w:rFonts w:hint="eastAsia" w:ascii="仿宋_GB2312" w:hAnsi="仿宋_GB2312" w:eastAsia="仿宋_GB2312" w:cs="仿宋_GB2312"/>
          <w:sz w:val="32"/>
          <w:szCs w:val="32"/>
          <w:lang w:val="zh-CN" w:eastAsia="zh-CN"/>
        </w:rPr>
        <w:t>史志鉴书籍编撰出版及日常保障项目评价工作进入实施阶段，评价组收集绩效评价相关的合同、财务资料和档案资料，并对巴州党委党史地方志办公室项目相关人员进行现场访谈；并与项目实施负责人沟通，了解资金的内容、资金使用方向和项目的实施带来的效益以及是否达到预期目标等情况，评价组通过整理分析形成初步结论。</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val="zh-CN" w:eastAsia="zh-CN"/>
        </w:rPr>
        <w:t>分析评价。</w:t>
      </w:r>
      <w:r>
        <w:rPr>
          <w:rFonts w:hint="eastAsia" w:ascii="仿宋_GB2312" w:hAnsi="仿宋_GB2312" w:eastAsia="仿宋_GB2312" w:cs="仿宋_GB2312"/>
          <w:sz w:val="32"/>
          <w:szCs w:val="32"/>
          <w:lang w:val="zh-CN" w:eastAsia="zh-CN"/>
        </w:rPr>
        <w:t>根据收集梳理的资料围绕史志鉴书籍编撰出版及日常保障项目立项、资金落实、业务管理、财务管理、项目产出、项目效益等内容，按照绩效科学公正、统筹兼顾、激励约束和公开透明评价原则，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r>
        <w:rPr>
          <w:rFonts w:hint="eastAsia" w:ascii="宋体" w:hAnsi="宋体" w:eastAsia="宋体" w:cs="Times New Roman"/>
          <w:sz w:val="32"/>
          <w:szCs w:val="32"/>
          <w:lang w:val="en-US" w:eastAsia="zh-CN"/>
        </w:rPr>
        <w:t>三、综合评价情况及评价结论</w:t>
      </w:r>
      <w:bookmarkEnd w:id="7"/>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8" w:name="_Toc68703835"/>
      <w:r>
        <w:rPr>
          <w:rFonts w:hint="eastAsia" w:ascii="Times New Roman" w:hAnsi="Times New Roman" w:eastAsia="楷体_GB2312" w:cs="Times New Roman"/>
          <w:b/>
          <w:bCs/>
          <w:sz w:val="32"/>
          <w:szCs w:val="32"/>
          <w:lang w:val="en-US" w:eastAsia="zh-CN"/>
        </w:rPr>
        <w:t>（一）综合评价情况</w:t>
      </w:r>
      <w:bookmarkEnd w:id="8"/>
      <w:r>
        <w:rPr>
          <w:rFonts w:hint="eastAsia" w:ascii="Times New Roman" w:hAnsi="Times New Roman" w:eastAsia="楷体_GB2312" w:cs="Times New Roman"/>
          <w:b/>
          <w:bCs/>
          <w:sz w:val="32"/>
          <w:szCs w:val="32"/>
          <w:lang w:val="en-US" w:eastAsia="zh-CN"/>
        </w:rPr>
        <w:t>及评价结论</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1.综合评价情况：</w:t>
      </w:r>
      <w:r>
        <w:rPr>
          <w:rFonts w:hint="eastAsia" w:ascii="仿宋_GB2312" w:hAnsi="仿宋_GB2312" w:eastAsia="仿宋_GB2312" w:cs="仿宋_GB2312"/>
          <w:sz w:val="32"/>
          <w:szCs w:val="32"/>
          <w:lang w:val="en-US" w:eastAsia="zh-CN"/>
        </w:rPr>
        <w:t>史志鉴书籍编撰出版及日常保障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严格按照科学公正、统筹兼顾、激励约束、公开透明的绩效评价原则，采用比较法，坚持计划标准和历史标准，对本项目的立项、绩效目标、资金投入、资金管理、组织实施、产出数量、产出质量、产出时效、产出成本、项目效益进行了综合评价。</w:t>
      </w:r>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9" w:name="_Toc68703836"/>
      <w:r>
        <w:rPr>
          <w:rFonts w:hint="eastAsia" w:ascii="Times New Roman" w:hAnsi="Times New Roman" w:eastAsia="仿宋_GB2312" w:cs="Times New Roman"/>
          <w:b/>
          <w:bCs/>
          <w:sz w:val="32"/>
          <w:szCs w:val="32"/>
          <w:lang w:val="en-US" w:eastAsia="zh-CN"/>
        </w:rPr>
        <w:t>2.评价结论</w:t>
      </w:r>
      <w:bookmarkEnd w:id="9"/>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96.8分，属于“优”。其中，项目决策类指标权重为20分，得分为20分，得分率为100%。项目过程类指标权重为20分，得分为20分，得分率为100%。项目产出类指标权重为40分，得分为36.8分，得分率为92%。项目效益类指标权重为20分，得分为20分，得分率为100%。</w:t>
      </w:r>
    </w:p>
    <w:p>
      <w:pPr>
        <w:spacing w:line="560" w:lineRule="exact"/>
        <w:ind w:firstLine="643" w:firstLineChars="200"/>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（二）相关评分表</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具体打分情况详见：附件1综合评分表。</w:t>
      </w:r>
    </w:p>
    <w:p>
      <w:pPr>
        <w:pageBreakBefore w:val="0"/>
        <w:kinsoku/>
        <w:wordWrap/>
        <w:overflowPunct/>
        <w:topLinePunct w:val="0"/>
        <w:autoSpaceDE/>
        <w:autoSpaceDN/>
        <w:bidi w:val="0"/>
        <w:adjustRightInd/>
        <w:snapToGrid/>
        <w:spacing w:line="560" w:lineRule="exact"/>
        <w:ind w:firstLine="960" w:firstLineChars="300"/>
        <w:jc w:val="both"/>
        <w:textAlignment w:val="auto"/>
        <w:rPr>
          <w:color w:val="auto"/>
          <w:sz w:val="32"/>
          <w:szCs w:val="32"/>
        </w:rPr>
      </w:pPr>
      <w:r>
        <w:rPr>
          <w:rFonts w:hint="eastAsia"/>
          <w:color w:val="auto"/>
          <w:sz w:val="32"/>
          <w:szCs w:val="32"/>
        </w:rPr>
        <w:t>史志鉴书籍编撰出版及日常保障项目评价得分情况</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36.8</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96.8</w:t>
            </w:r>
          </w:p>
        </w:tc>
      </w:tr>
    </w:tbl>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0" w:name="_Toc68703837"/>
      <w:r>
        <w:rPr>
          <w:rFonts w:hint="eastAsia" w:ascii="宋体" w:hAnsi="宋体" w:eastAsia="宋体" w:cs="Times New Roman"/>
          <w:sz w:val="32"/>
          <w:szCs w:val="32"/>
          <w:lang w:val="en-US" w:eastAsia="zh-CN"/>
        </w:rPr>
        <w:t>四、绩效评价指标分析</w:t>
      </w:r>
      <w:bookmarkEnd w:id="10"/>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1" w:name="_Toc68703838"/>
      <w:r>
        <w:rPr>
          <w:rFonts w:hint="eastAsia" w:ascii="Times New Roman" w:hAnsi="Times New Roman" w:eastAsia="楷体_GB2312" w:cs="Times New Roman"/>
          <w:b/>
          <w:bCs/>
          <w:sz w:val="32"/>
          <w:szCs w:val="32"/>
          <w:lang w:val="en-US" w:eastAsia="zh-CN"/>
        </w:rPr>
        <w:t>（一）项目决策情况</w:t>
      </w:r>
      <w:bookmarkEnd w:id="11"/>
    </w:p>
    <w:p>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立项依据国务院令第467号国务院《地方志工作条例》、中国地方志指导小组关于《地方志书质量规定》、国务院办公厅关于印发《全国地方志事业发展规划纲要（2015—2020年）》的通知（国办发〔2015〕64号）、根据自治州党委办公室关于转发《自治州党史和文献研究2020—2022年工作规划》的通知（巴党办发〔2020〕2号）；项目立项符合行业发展规划和政策要求，与部门职责范围相符，属于部门履职所需；属于公共财政支持范围，符合中央、地方事权支出责任划分原则；且项目与相关部门同类项目或部门内部相关项目不重复。</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史志鉴书籍编撰出版及日常保障项目申请、设立过程符合相关要求，</w:t>
      </w:r>
      <w:r>
        <w:rPr>
          <w:rFonts w:hint="eastAsia" w:ascii="仿宋_GB2312" w:hAnsi="仿宋_GB2312" w:eastAsia="仿宋_GB2312" w:cs="仿宋_GB2312"/>
          <w:sz w:val="32"/>
          <w:szCs w:val="32"/>
          <w:lang w:val="en-US"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2" w:name="_Hlk68699917"/>
      <w:r>
        <w:rPr>
          <w:rFonts w:hint="eastAsia" w:ascii="仿宋_GB2312" w:hAnsi="仿宋_GB2312" w:eastAsia="仿宋_GB2312" w:cs="仿宋_GB2312"/>
          <w:sz w:val="32"/>
          <w:szCs w:val="32"/>
          <w:lang w:val="en-US" w:eastAsia="zh-CN"/>
        </w:rPr>
        <w:t>史志鉴书籍编撰出版及日常保障项目将项目绩效目标细化分解为具体的绩效指标，一级指标共4条，二级指标共6条，三级指标共16条，其中量化指标条数共15条，所有绩效指标均通过清晰、可衡量的指标值予以体现，并且做到了与项目目标任务数或计划数相对应。</w:t>
      </w:r>
      <w:bookmarkEnd w:id="12"/>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预算编制经过项目相关科室提供的编辑统稿工作字数、聘用编辑人员数、购置办公耗材数据进行科学测算。预算内容与项目内容匹配，预算额度测算依据充分，按照标准编制；预算确定的项目投资额或资金量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6.资金分配合理性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史志鉴书籍编撰出版及日常保障项目预算资金分配依据充分，</w:t>
      </w:r>
      <w:r>
        <w:rPr>
          <w:rFonts w:hint="eastAsia" w:ascii="仿宋_GB2312" w:hAnsi="仿宋_GB2312" w:eastAsia="仿宋_GB2312" w:cs="仿宋_GB2312"/>
          <w:sz w:val="32"/>
          <w:szCs w:val="32"/>
          <w:lang w:val="zh-CN" w:eastAsia="zh-CN"/>
        </w:rPr>
        <w:t>9万元用于《巴音郭楞年鉴（2022）》出版管理费和审校费、13万元用于《巴音郭楞年鉴（2022）》印刷费、电子书籍费用、地图费用、</w:t>
      </w:r>
      <w:r>
        <w:rPr>
          <w:rFonts w:hint="eastAsia" w:ascii="仿宋_GB2312" w:hAnsi="仿宋_GB2312" w:eastAsia="仿宋_GB2312" w:cs="仿宋_GB2312"/>
          <w:sz w:val="32"/>
          <w:szCs w:val="32"/>
          <w:lang w:val="en-US" w:eastAsia="zh-CN"/>
        </w:rPr>
        <w:t>9万元</w:t>
      </w:r>
      <w:r>
        <w:rPr>
          <w:rFonts w:hint="eastAsia" w:ascii="仿宋_GB2312" w:hAnsi="仿宋_GB2312" w:eastAsia="仿宋_GB2312" w:cs="仿宋_GB2312"/>
          <w:sz w:val="32"/>
          <w:szCs w:val="32"/>
          <w:lang w:val="zh-CN" w:eastAsia="zh-CN"/>
        </w:rPr>
        <w:t>用于《巴音郭楞年鉴（2023）》出版管理费和审校费、</w:t>
      </w:r>
      <w:r>
        <w:rPr>
          <w:rFonts w:hint="eastAsia" w:ascii="仿宋_GB2312" w:hAnsi="仿宋_GB2312" w:eastAsia="仿宋_GB2312" w:cs="仿宋_GB2312"/>
          <w:sz w:val="32"/>
          <w:szCs w:val="32"/>
          <w:lang w:val="en-US" w:eastAsia="zh-CN"/>
        </w:rPr>
        <w:t>11万元</w:t>
      </w:r>
      <w:r>
        <w:rPr>
          <w:rFonts w:hint="eastAsia" w:ascii="仿宋_GB2312" w:hAnsi="仿宋_GB2312" w:eastAsia="仿宋_GB2312" w:cs="仿宋_GB2312"/>
          <w:sz w:val="32"/>
          <w:szCs w:val="32"/>
          <w:lang w:val="zh-CN" w:eastAsia="zh-CN"/>
        </w:rPr>
        <w:t>用于编辑人员委托业务费、</w:t>
      </w:r>
      <w:r>
        <w:rPr>
          <w:rFonts w:hint="eastAsia" w:ascii="仿宋_GB2312" w:hAnsi="仿宋_GB2312" w:eastAsia="仿宋_GB2312" w:cs="仿宋_GB2312"/>
          <w:sz w:val="32"/>
          <w:szCs w:val="32"/>
          <w:lang w:val="en-US" w:eastAsia="zh-CN"/>
        </w:rPr>
        <w:t>7万元</w:t>
      </w:r>
      <w:r>
        <w:rPr>
          <w:rFonts w:hint="eastAsia" w:ascii="仿宋_GB2312" w:hAnsi="仿宋_GB2312" w:eastAsia="仿宋_GB2312" w:cs="仿宋_GB2312"/>
          <w:sz w:val="32"/>
          <w:szCs w:val="32"/>
          <w:lang w:val="zh-CN" w:eastAsia="zh-CN"/>
        </w:rPr>
        <w:t>用于办公耗材。</w:t>
      </w:r>
      <w:r>
        <w:rPr>
          <w:rFonts w:hint="eastAsia" w:ascii="仿宋_GB2312" w:hAnsi="仿宋_GB2312" w:eastAsia="仿宋_GB2312" w:cs="仿宋_GB2312"/>
          <w:sz w:val="32"/>
          <w:szCs w:val="32"/>
          <w:lang w:val="en-US" w:eastAsia="zh-CN"/>
        </w:rPr>
        <w:t>资金分配额度合理，与项目单位或地方实际相适应。</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3" w:name="_Toc68703839"/>
      <w:r>
        <w:rPr>
          <w:rFonts w:hint="eastAsia" w:ascii="Times New Roman" w:hAnsi="Times New Roman" w:eastAsia="楷体_GB2312" w:cs="Times New Roman"/>
          <w:b/>
          <w:bCs/>
          <w:sz w:val="32"/>
          <w:szCs w:val="32"/>
          <w:lang w:val="en-US" w:eastAsia="zh-CN"/>
        </w:rPr>
        <w:t>（二）项目过程情况</w:t>
      </w:r>
      <w:bookmarkEnd w:id="13"/>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预算资金49万元，实际到位资金49万元，资金到位率100%。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年初预算数49万元，全年预算数49万元，全年执行数49万元，预算执行率为100%。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州党委党史地方志办公室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项目实施的人员条件、场地设备、信息支撑等落实到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4" w:name="_Toc68703840"/>
      <w:r>
        <w:rPr>
          <w:rFonts w:hint="eastAsia" w:ascii="Times New Roman" w:hAnsi="Times New Roman" w:eastAsia="楷体_GB2312" w:cs="Times New Roman"/>
          <w:b/>
          <w:bCs/>
          <w:sz w:val="32"/>
          <w:szCs w:val="32"/>
          <w:lang w:val="en-US" w:eastAsia="zh-CN"/>
        </w:rPr>
        <w:t>（三）项目产出情况</w:t>
      </w:r>
      <w:bookmarkEnd w:id="14"/>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1.数量指标完成情况：</w:t>
      </w:r>
      <w:r>
        <w:rPr>
          <w:rFonts w:hint="eastAsia" w:ascii="仿宋_GB2312" w:hAnsi="仿宋_GB2312" w:eastAsia="仿宋_GB2312" w:cs="仿宋_GB2312"/>
          <w:sz w:val="32"/>
          <w:szCs w:val="32"/>
          <w:lang w:val="en-US" w:eastAsia="zh-CN"/>
        </w:rPr>
        <w:t>指标1：《巴音郭楞年鉴（2022）、（2023）》修改编纂字数，指标值：≥150万字，实际完成值175万字，指标完成率116.67%，偏差原因：书籍编撰具体内容由供稿单位提供的初稿决定，视各单位年度重点工作的完成情况会上浮或下降；指标2：聘用编辑人数，指标值：≥3人，实际完成值3人，指标完成率100%，偏差原因：无；指标3：编辑费发放次数，指标值：≥6次，实际完成值6次，指标完成率100%，偏差原因：无；指标4：购置办公耗材，指标值：≥3批次，实际完成值3批次，指标完成率100%，偏差原因：无。</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2.质量指标完成情况：</w:t>
      </w:r>
      <w:r>
        <w:rPr>
          <w:rFonts w:hint="eastAsia" w:ascii="仿宋_GB2312" w:hAnsi="仿宋_GB2312" w:eastAsia="仿宋_GB2312" w:cs="仿宋_GB2312"/>
          <w:sz w:val="32"/>
          <w:szCs w:val="32"/>
          <w:lang w:val="en-US" w:eastAsia="zh-CN"/>
        </w:rPr>
        <w:t>指标1：修改编纂工作的合格率，指标值：≥95%，实际完成值95%，指标完成率100%，偏差原因：无；指标2：购置办公耗材质量合格率，指标值：≥95%，实际完成值100%，指标完成率105.26%，偏差原因：购置办公耗材质量均合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3.时效指标完成情况：</w:t>
      </w:r>
      <w:r>
        <w:rPr>
          <w:rFonts w:hint="eastAsia" w:ascii="仿宋_GB2312" w:hAnsi="仿宋_GB2312" w:eastAsia="仿宋_GB2312" w:cs="仿宋_GB2312"/>
          <w:sz w:val="32"/>
          <w:szCs w:val="32"/>
          <w:lang w:val="en-US" w:eastAsia="zh-CN"/>
        </w:rPr>
        <w:t>指标1：编辑工作按期完成率，指标值：≥95%，实际完成值100%，指标完成率105.26%，偏差原因：编辑工作全部按期完成；指标2：编辑费发放及时率，指标值：≥95%，实际完成值100%，指标完成率105.26%，偏差原因：每次均按时发放编辑费；指标3：购置办公耗材及时性，指标值：≥95%，实际完成值100%，指标完成率105.26%，偏差原因：根据工作需求及时购置耗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4.经济成本指标完成情况：</w:t>
      </w:r>
      <w:r>
        <w:rPr>
          <w:rFonts w:hint="eastAsia" w:ascii="仿宋_GB2312" w:hAnsi="仿宋_GB2312" w:eastAsia="仿宋_GB2312" w:cs="仿宋_GB2312"/>
          <w:sz w:val="32"/>
          <w:szCs w:val="32"/>
          <w:lang w:val="en-US" w:eastAsia="zh-CN"/>
        </w:rPr>
        <w:t>指标1：《巴音郭楞年鉴（2022）》出版管理费和审校费，指标值：≤9万元，实际完成值8.5万元，指标完成率94.44%，偏差原因：出版管理费收由初稿字数确定，预算报价参考往年，编制预算充足，实际支出较低；指标2：《巴音郭楞年鉴（2022）》印刷费、电子书籍费用、地图费用，指标值：≤13万元，实际完成值10.13万元，指标完成率77.92%，偏差原因：为扩大年鉴宣传使用，故开发掌上年鉴，故纸质印刷数量减少；指标3：《巴音郭楞年鉴（2023）》出版管理费和审校费，指标值：≤9万元，实际完成值8.5万元，指标完成率94.44%，偏差原因：出版管理费收由初稿字数确定，预算报价参考往年，编制预算充足，实际支出较低；指标4：编辑人员委托业务费，指标值：≤11万元，实际完成8.04万元，指标完成率73.09%，偏差原因：1名聘用编辑于7月起离职，费用减少；指标5：办公耗材成本控制数，指标值：≤7万元，实际完成13.83万元，指标完成率0%，偏差原因：为开展特色志编撰，抽调县市人员12名新设特色志编撰办公室，故办公经费增加。</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此项权重分10分，得分6.8分。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5" w:name="_Toc68703841"/>
      <w:r>
        <w:rPr>
          <w:rFonts w:hint="eastAsia" w:ascii="Times New Roman" w:hAnsi="Times New Roman" w:eastAsia="楷体_GB2312" w:cs="Times New Roman"/>
          <w:b/>
          <w:bCs/>
          <w:sz w:val="32"/>
          <w:szCs w:val="32"/>
          <w:lang w:val="en-US" w:eastAsia="zh-CN"/>
        </w:rPr>
        <w:t>（四）项目效益情况</w:t>
      </w:r>
      <w:bookmarkEnd w:id="15"/>
      <w:bookmarkStart w:id="21" w:name="_GoBack"/>
      <w:bookmarkEnd w:id="21"/>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1.社会效益指标完成情况：</w:t>
      </w:r>
      <w:r>
        <w:rPr>
          <w:rFonts w:hint="eastAsia" w:ascii="仿宋_GB2312" w:hAnsi="仿宋_GB2312" w:eastAsia="仿宋_GB2312" w:cs="仿宋_GB2312"/>
          <w:sz w:val="32"/>
          <w:szCs w:val="32"/>
          <w:lang w:val="en-US" w:eastAsia="zh-CN"/>
        </w:rPr>
        <w:t>指标1：提升存史资政育人作用，指标值：提升，实际完成值达成目标，指标完成率100%，偏差原因：无。</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cs="Times New Roman"/>
          <w:b/>
          <w:bCs/>
          <w:sz w:val="32"/>
          <w:szCs w:val="32"/>
          <w:lang w:val="en-US" w:eastAsia="zh-CN"/>
        </w:rPr>
        <w:t>2</w:t>
      </w:r>
      <w:r>
        <w:rPr>
          <w:rFonts w:hint="eastAsia" w:ascii="Times New Roman" w:hAnsi="Times New Roman" w:eastAsia="仿宋_GB2312" w:cs="Times New Roman"/>
          <w:b/>
          <w:bCs/>
          <w:sz w:val="32"/>
          <w:szCs w:val="32"/>
          <w:lang w:val="en-US" w:eastAsia="zh-CN"/>
        </w:rPr>
        <w:t>.满意度指标完成情况分析：</w:t>
      </w:r>
      <w:r>
        <w:rPr>
          <w:rFonts w:hint="eastAsia" w:ascii="仿宋_GB2312" w:hAnsi="仿宋_GB2312" w:eastAsia="仿宋_GB2312" w:cs="仿宋_GB2312"/>
          <w:sz w:val="32"/>
          <w:szCs w:val="32"/>
          <w:lang w:val="en-US" w:eastAsia="zh-CN"/>
        </w:rPr>
        <w:t>指标1：使用人员满意度，指标值：≥90%，实际完成值90%，指标完成率100%，偏差原因：无。</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Hans"/>
        </w:rPr>
      </w:pPr>
      <w:bookmarkStart w:id="16" w:name="_Toc68703842"/>
      <w:r>
        <w:rPr>
          <w:rFonts w:hint="eastAsia" w:ascii="宋体" w:hAnsi="宋体" w:eastAsia="宋体" w:cs="Times New Roman"/>
          <w:sz w:val="32"/>
          <w:szCs w:val="32"/>
          <w:lang w:val="en-US" w:eastAsia="zh-Hans"/>
        </w:rPr>
        <w:t>五、预算执行进度与绩效指标总体完成率偏差</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史志鉴书籍编撰出版及日常保障项目年初预算49万元，全年预算49万元，实际支出49万元，预算执行率为100%，项目绩效指标总体完成率为92.35%，</w:t>
      </w:r>
      <w:r>
        <w:rPr>
          <w:rFonts w:hint="eastAsia" w:ascii="仿宋_GB2312" w:hAnsi="仿宋_GB2312" w:eastAsia="仿宋_GB2312" w:cs="仿宋_GB2312"/>
          <w:sz w:val="32"/>
          <w:szCs w:val="32"/>
          <w:lang w:val="en-US" w:eastAsia="zh-Hans"/>
        </w:rPr>
        <w:t>总体</w:t>
      </w:r>
      <w:r>
        <w:rPr>
          <w:rFonts w:hint="eastAsia" w:ascii="仿宋_GB2312" w:hAnsi="仿宋_GB2312" w:eastAsia="仿宋_GB2312" w:cs="仿宋_GB2312"/>
          <w:sz w:val="32"/>
          <w:szCs w:val="32"/>
          <w:lang w:val="en-US" w:eastAsia="zh-CN"/>
        </w:rPr>
        <w:t>偏差率为7.65%,</w:t>
      </w:r>
      <w:r>
        <w:rPr>
          <w:rFonts w:hint="eastAsia" w:ascii="仿宋_GB2312" w:hAnsi="仿宋_GB2312" w:eastAsia="仿宋_GB2312" w:cs="仿宋_GB2312"/>
          <w:sz w:val="32"/>
          <w:szCs w:val="32"/>
          <w:lang w:val="en-US" w:eastAsia="zh-Hans"/>
        </w:rPr>
        <w:t>偏差</w:t>
      </w:r>
      <w:r>
        <w:rPr>
          <w:rFonts w:hint="eastAsia" w:ascii="仿宋_GB2312" w:hAnsi="仿宋_GB2312" w:eastAsia="仿宋_GB2312" w:cs="仿宋_GB2312"/>
          <w:sz w:val="32"/>
          <w:szCs w:val="32"/>
          <w:lang w:val="en-US" w:eastAsia="zh-CN"/>
        </w:rPr>
        <w:t>原因一是为开展特色志编撰，抽调县市人员12名新设特色志编撰办公室，故办公经费增加，超出指标值，完成率为0%，导致项目绩效指标总体完成率下降。</w:t>
      </w:r>
      <w:r>
        <w:rPr>
          <w:rFonts w:hint="eastAsia" w:ascii="仿宋_GB2312" w:hAnsi="仿宋_GB2312" w:eastAsia="仿宋_GB2312" w:cs="仿宋_GB2312"/>
          <w:sz w:val="32"/>
          <w:szCs w:val="32"/>
          <w:lang w:val="en-US" w:eastAsia="zh-Hans"/>
        </w:rPr>
        <w:t>改进</w:t>
      </w:r>
      <w:r>
        <w:rPr>
          <w:rFonts w:hint="eastAsia" w:ascii="仿宋_GB2312" w:hAnsi="仿宋_GB2312" w:eastAsia="仿宋_GB2312" w:cs="仿宋_GB2312"/>
          <w:sz w:val="32"/>
          <w:szCs w:val="32"/>
          <w:lang w:val="en-US" w:eastAsia="zh-CN"/>
        </w:rPr>
        <w:t>措施加强预算编制严谨性，进一步提高年初预算编制的准确性，加强各科室间项目实施的衔接，对本单位当年度的工作开展做到心中有数，统筹安排，精准安排预算，避免项目实施偏差过大。</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7" w:name="_Toc68703843"/>
      <w:r>
        <w:rPr>
          <w:rFonts w:hint="eastAsia" w:ascii="Times New Roman" w:hAnsi="Times New Roman" w:eastAsia="楷体_GB2312" w:cs="Times New Roman"/>
          <w:b/>
          <w:bCs/>
          <w:sz w:val="32"/>
          <w:szCs w:val="32"/>
          <w:lang w:val="en-US" w:eastAsia="zh-CN"/>
        </w:rPr>
        <w:t>（一）主要经验及做法</w:t>
      </w:r>
      <w:bookmarkEnd w:id="17"/>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项目总体规划合理，管理制度完善。该项目在设立初期广泛深入地开展了调查摸底，全面掌握情况，并建立完整的文字资料档案，制定了各项制度，明确了各科室职责，为项目后期发展打下了坚定的基础。</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8" w:name="_Toc68703844"/>
      <w:r>
        <w:rPr>
          <w:rFonts w:hint="eastAsia" w:ascii="Times New Roman" w:hAnsi="Times New Roman" w:eastAsia="楷体_GB2312" w:cs="Times New Roman"/>
          <w:b/>
          <w:bCs/>
          <w:sz w:val="32"/>
          <w:szCs w:val="32"/>
          <w:lang w:val="en-US" w:eastAsia="zh-CN"/>
        </w:rPr>
        <w:t>（二）存在的问题及原因分析</w:t>
      </w:r>
      <w:bookmarkEnd w:id="18"/>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存在的主要问题：</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实际《巴音郭楞年鉴（2022）、（2023）》修改编纂字数、办公耗材成本与年初设置指标值存在偏差，不能很好的按照年初制定的指标值去完成。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原因分析：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年初设置指标值时，书籍编撰具体内容由供稿单位提供的初稿决定，但各单位年度重点工作的完成情况会根据编纂内容上浮或下降；二是为开展特色志编撰，抽调县市人员到新设特色志编撰办公室，办公经费增加，导致实际情况与预期指标值存在差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9" w:name="_Toc68703845"/>
      <w:r>
        <w:rPr>
          <w:rFonts w:hint="eastAsia" w:ascii="宋体" w:hAnsi="宋体" w:eastAsia="宋体" w:cs="Times New Roman"/>
          <w:sz w:val="32"/>
          <w:szCs w:val="32"/>
          <w:lang w:val="en-US" w:eastAsia="zh-CN"/>
        </w:rPr>
        <w:t>七、有关建议</w:t>
      </w:r>
      <w:bookmarkEnd w:id="19"/>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立全过程的预算绩效管理机制，促进绩效管理工作向广度和深度延伸。进一步完善项目指标设置过程中有关数据和资料的收集、整理及分析，同时完善指标执行动态约束机制，若工作任务有变动，及时按照规范的流程申请变更，精准设置指标值。</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sectPr>
          <w:pgSz w:w="11906" w:h="16838"/>
          <w:pgMar w:top="1928" w:right="1531" w:bottom="1701" w:left="1531" w:header="737" w:footer="851" w:gutter="0"/>
          <w:cols w:space="720" w:num="1"/>
          <w:docGrid w:type="lines" w:linePitch="408" w:charSpace="0"/>
        </w:sectPr>
      </w:pPr>
    </w:p>
    <w:p>
      <w:pPr>
        <w:pStyle w:val="2"/>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tbl>
      <w:tblPr>
        <w:tblStyle w:val="14"/>
        <w:tblW w:w="14502" w:type="dxa"/>
        <w:tblInd w:w="-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0"/>
        <w:gridCol w:w="855"/>
        <w:gridCol w:w="1140"/>
        <w:gridCol w:w="3496"/>
        <w:gridCol w:w="6449"/>
        <w:gridCol w:w="978"/>
        <w:gridCol w:w="8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0" w:hRule="atLeast"/>
        </w:trPr>
        <w:tc>
          <w:tcPr>
            <w:tcW w:w="14502"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史志鉴书籍编撰出版及日常保障项目支出绩效评价指标体系框架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8" w:hRule="atLeast"/>
        </w:trPr>
        <w:tc>
          <w:tcPr>
            <w:tcW w:w="7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85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114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3496"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6449" w:type="dxa"/>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978"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权重分</w:t>
            </w:r>
          </w:p>
        </w:tc>
        <w:tc>
          <w:tcPr>
            <w:tcW w:w="804"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804"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804"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804"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978"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804"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78"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804"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804"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978"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804"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5"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78"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1140"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3496"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804"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11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349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644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97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804"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78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49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44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97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804"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780" w:type="dxa"/>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85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34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644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97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804"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780" w:type="dxa"/>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5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34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644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97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80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bl>
    <w:p>
      <w:pPr>
        <w:shd w:val="clear"/>
        <w:spacing w:line="600" w:lineRule="exact"/>
        <w:outlineLvl w:val="0"/>
        <w:rPr>
          <w:rFonts w:hint="eastAsia" w:ascii="仿宋_GB2312" w:hAnsi="仿宋_GB2312" w:eastAsia="仿宋_GB2312" w:cs="仿宋_GB2312"/>
          <w:sz w:val="32"/>
          <w:szCs w:val="32"/>
          <w:lang w:val="en-US" w:eastAsia="zh-CN"/>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932F394-ECE6-4F91-8AB7-FFF855B2AC69}"/>
  </w:font>
  <w:font w:name="黑体">
    <w:panose1 w:val="02010609060101010101"/>
    <w:charset w:val="86"/>
    <w:family w:val="auto"/>
    <w:pitch w:val="default"/>
    <w:sig w:usb0="800002BF" w:usb1="38CF7CFA" w:usb2="00000016" w:usb3="00000000" w:csb0="00040001" w:csb1="00000000"/>
    <w:embedRegular r:id="rId2" w:fontKey="{DEDAC3E0-5EBD-46E2-926A-7C8D2270293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96011473-C9BC-47D4-9A05-6CB4B7F7DBB5}"/>
  </w:font>
  <w:font w:name="等线 Light">
    <w:altName w:val="宋体"/>
    <w:panose1 w:val="02010600030101010101"/>
    <w:charset w:val="86"/>
    <w:family w:val="auto"/>
    <w:pitch w:val="default"/>
    <w:sig w:usb0="00000000" w:usb1="00000000" w:usb2="00000016" w:usb3="00000000" w:csb0="0004000F" w:csb1="00000000"/>
  </w:font>
  <w:font w:name="等线">
    <w:panose1 w:val="02010600030101010101"/>
    <w:charset w:val="86"/>
    <w:family w:val="auto"/>
    <w:pitch w:val="default"/>
    <w:sig w:usb0="00000000" w:usb1="00000000" w:usb2="00000000" w:usb3="00000000" w:csb0="00000000" w:csb1="00000000"/>
    <w:embedRegular r:id="rId4" w:fontKey="{E357E935-4D10-4198-AD66-AC64CD1B900D}"/>
  </w:font>
  <w:font w:name="兰米小标宋简体">
    <w:panose1 w:val="02000503000000000000"/>
    <w:charset w:val="86"/>
    <w:family w:val="auto"/>
    <w:pitch w:val="default"/>
    <w:sig w:usb0="00000000" w:usb1="00000000" w:usb2="00000000" w:usb3="00000000" w:csb0="00000000" w:csb1="00000000"/>
    <w:embedRegular r:id="rId5" w:fontKey="{E715ACBC-B7A4-46B2-9BAD-8D948DAF0A25}"/>
  </w:font>
  <w:font w:name="楷体_GB2312">
    <w:panose1 w:val="02010609030101010101"/>
    <w:charset w:val="86"/>
    <w:family w:val="auto"/>
    <w:pitch w:val="default"/>
    <w:sig w:usb0="00000001" w:usb1="080E0000" w:usb2="00000000" w:usb3="00000000" w:csb0="00040000" w:csb1="00000000"/>
    <w:embedRegular r:id="rId6" w:fontKey="{F456089E-D380-49BA-9570-B9D1AB4D979F}"/>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wOTEwMzZhZjVmMTgwYjk4N2E1MWVhYzRjMmU5NT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B21A28"/>
    <w:rsid w:val="01DC3BC3"/>
    <w:rsid w:val="021D68EB"/>
    <w:rsid w:val="02384BD8"/>
    <w:rsid w:val="024E23CC"/>
    <w:rsid w:val="031A7868"/>
    <w:rsid w:val="05227DA5"/>
    <w:rsid w:val="05D73090"/>
    <w:rsid w:val="060914B4"/>
    <w:rsid w:val="07195382"/>
    <w:rsid w:val="08005BE4"/>
    <w:rsid w:val="08D20D13"/>
    <w:rsid w:val="0AED26C2"/>
    <w:rsid w:val="0B9C051D"/>
    <w:rsid w:val="0C4D0F1B"/>
    <w:rsid w:val="0CF461D8"/>
    <w:rsid w:val="0F2A6BF7"/>
    <w:rsid w:val="10CA5CE4"/>
    <w:rsid w:val="10E55A71"/>
    <w:rsid w:val="16F07A9E"/>
    <w:rsid w:val="182B52BA"/>
    <w:rsid w:val="1A442663"/>
    <w:rsid w:val="1BE834C2"/>
    <w:rsid w:val="1D723F37"/>
    <w:rsid w:val="1D785367"/>
    <w:rsid w:val="1D930EE7"/>
    <w:rsid w:val="1F6B0692"/>
    <w:rsid w:val="23BD17E3"/>
    <w:rsid w:val="23C92190"/>
    <w:rsid w:val="254E31EA"/>
    <w:rsid w:val="26527EB6"/>
    <w:rsid w:val="26797966"/>
    <w:rsid w:val="28576450"/>
    <w:rsid w:val="286B525F"/>
    <w:rsid w:val="29351FBE"/>
    <w:rsid w:val="29EE1913"/>
    <w:rsid w:val="2C4B48D3"/>
    <w:rsid w:val="2CA77D06"/>
    <w:rsid w:val="2F183292"/>
    <w:rsid w:val="2FD27F5F"/>
    <w:rsid w:val="302047AB"/>
    <w:rsid w:val="31091B67"/>
    <w:rsid w:val="32AE0DEC"/>
    <w:rsid w:val="34835E1C"/>
    <w:rsid w:val="36845202"/>
    <w:rsid w:val="36B72533"/>
    <w:rsid w:val="380F20AB"/>
    <w:rsid w:val="383350B8"/>
    <w:rsid w:val="38570346"/>
    <w:rsid w:val="3923018F"/>
    <w:rsid w:val="3CB26B8F"/>
    <w:rsid w:val="4057649F"/>
    <w:rsid w:val="419B49AF"/>
    <w:rsid w:val="41B61D1E"/>
    <w:rsid w:val="43182414"/>
    <w:rsid w:val="445940D8"/>
    <w:rsid w:val="46507BB3"/>
    <w:rsid w:val="46585ED8"/>
    <w:rsid w:val="468C5A6D"/>
    <w:rsid w:val="478E0372"/>
    <w:rsid w:val="47B02837"/>
    <w:rsid w:val="4A7C25BE"/>
    <w:rsid w:val="4BC418CB"/>
    <w:rsid w:val="4C07336D"/>
    <w:rsid w:val="4C22332E"/>
    <w:rsid w:val="4DCB2C88"/>
    <w:rsid w:val="4E0D2619"/>
    <w:rsid w:val="516E5521"/>
    <w:rsid w:val="53B82FE0"/>
    <w:rsid w:val="55140079"/>
    <w:rsid w:val="56796849"/>
    <w:rsid w:val="589D6B35"/>
    <w:rsid w:val="5A5D05FC"/>
    <w:rsid w:val="5A841D95"/>
    <w:rsid w:val="5CD728E8"/>
    <w:rsid w:val="5DA95371"/>
    <w:rsid w:val="5FA36AB1"/>
    <w:rsid w:val="607246D5"/>
    <w:rsid w:val="65442AE4"/>
    <w:rsid w:val="674915AC"/>
    <w:rsid w:val="674C6E99"/>
    <w:rsid w:val="67817396"/>
    <w:rsid w:val="68F11999"/>
    <w:rsid w:val="6A0E0A35"/>
    <w:rsid w:val="6AAB4B1B"/>
    <w:rsid w:val="6AED4450"/>
    <w:rsid w:val="6DB90A8B"/>
    <w:rsid w:val="6F8E2CED"/>
    <w:rsid w:val="70716A8D"/>
    <w:rsid w:val="73EF4D6E"/>
    <w:rsid w:val="763A0251"/>
    <w:rsid w:val="77D23813"/>
    <w:rsid w:val="79EB757B"/>
    <w:rsid w:val="7A2776A8"/>
    <w:rsid w:val="7AA437D8"/>
    <w:rsid w:val="7ABA1F68"/>
    <w:rsid w:val="7F5E4CCE"/>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rPr>
  </w:style>
  <w:style w:type="character" w:customStyle="1" w:styleId="15">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1"/>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1"/>
    <w:link w:val="7"/>
    <w:semiHidden/>
    <w:qFormat/>
    <w:uiPriority w:val="99"/>
    <w:rPr>
      <w:rFonts w:ascii="Times New Roman" w:hAnsi="Times New Roman" w:eastAsia="仿宋_GB2312" w:cs="Times New Roman"/>
      <w:sz w:val="18"/>
      <w:szCs w:val="18"/>
    </w:rPr>
  </w:style>
  <w:style w:type="character" w:customStyle="1" w:styleId="19">
    <w:name w:val="页脚 Char"/>
    <w:basedOn w:val="11"/>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0</TotalTime>
  <ScaleCrop>false</ScaleCrop>
  <LinksUpToDate>false</LinksUpToDate>
  <CharactersWithSpaces>5253</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2024-05-07T05:38:32Z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DFF0787588C34603A74FA104BC3FC087</vt:lpwstr>
  </property>
</Properties>
</file>