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both"/>
        <w:textAlignment w:val="auto"/>
        <w:rPr>
          <w:rFonts w:hint="eastAsia" w:ascii="宋体" w:hAnsi="宋体" w:eastAsia="宋体" w:cs="Arial"/>
          <w:b/>
          <w:bCs/>
          <w:sz w:val="52"/>
          <w:szCs w:val="52"/>
        </w:rPr>
      </w:pPr>
      <w:r>
        <w:rPr>
          <w:rFonts w:hint="eastAsia" w:ascii="宋体" w:hAnsi="宋体" w:eastAsia="宋体" w:cs="Arial"/>
          <w:b/>
          <w:bCs/>
          <w:sz w:val="52"/>
          <w:szCs w:val="52"/>
        </w:rPr>
        <w:t>自治区药品抽检经费项目支出</w:t>
      </w:r>
    </w:p>
    <w:p>
      <w:pPr>
        <w:pageBreakBefore w:val="0"/>
        <w:kinsoku/>
        <w:wordWrap/>
        <w:overflowPunct/>
        <w:topLinePunct w:val="0"/>
        <w:autoSpaceDE/>
        <w:autoSpaceDN/>
        <w:bidi w:val="0"/>
        <w:adjustRightInd/>
        <w:snapToGrid/>
        <w:spacing w:line="560" w:lineRule="exact"/>
        <w:ind w:firstLine="3132" w:firstLineChars="600"/>
        <w:jc w:val="both"/>
        <w:textAlignment w:val="auto"/>
        <w:rPr>
          <w:rFonts w:ascii="宋体" w:hAnsi="宋体" w:eastAsia="宋体" w:cs="Arial"/>
          <w:b/>
          <w:bCs/>
          <w:sz w:val="52"/>
          <w:szCs w:val="52"/>
        </w:rPr>
      </w:pPr>
      <w:r>
        <w:rPr>
          <w:rFonts w:hint="eastAsia" w:ascii="宋体" w:hAnsi="宋体" w:eastAsia="宋体" w:cs="Arial"/>
          <w:b/>
          <w:bCs/>
          <w:sz w:val="52"/>
          <w:szCs w:val="52"/>
        </w:rPr>
        <w:t>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兰米小标宋简体" w:hAnsi="兰米小标宋简体" w:eastAsia="兰米小标宋简体" w:cs="兰米小标宋简体"/>
          <w:color w:val="000000"/>
          <w:kern w:val="0"/>
          <w:sz w:val="36"/>
          <w:szCs w:val="36"/>
        </w:rPr>
        <w:t>（2</w:t>
      </w:r>
      <w:r>
        <w:rPr>
          <w:rFonts w:ascii="兰米小标宋简体" w:hAnsi="兰米小标宋简体" w:eastAsia="兰米小标宋简体" w:cs="兰米小标宋简体"/>
          <w:color w:val="000000"/>
          <w:kern w:val="0"/>
          <w:sz w:val="36"/>
          <w:szCs w:val="36"/>
        </w:rPr>
        <w:t>02</w:t>
      </w:r>
      <w:r>
        <w:rPr>
          <w:rFonts w:hint="eastAsia" w:ascii="兰米小标宋简体" w:hAnsi="兰米小标宋简体" w:eastAsia="兰米小标宋简体" w:cs="兰米小标宋简体"/>
          <w:color w:val="000000"/>
          <w:kern w:val="0"/>
          <w:sz w:val="36"/>
          <w:szCs w:val="36"/>
          <w:lang w:val="en-US" w:eastAsia="zh-CN"/>
        </w:rPr>
        <w:t>3</w:t>
      </w:r>
      <w:r>
        <w:rPr>
          <w:rFonts w:hint="eastAsia" w:ascii="兰米小标宋简体" w:hAnsi="兰米小标宋简体" w:eastAsia="兰米小标宋简体" w:cs="兰米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项目名称：自治区药品抽检经费项目</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实施单位（公章）：新疆巴州食品药品检验所</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主管部门（公章）：新疆巴州市场监督管理局</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val="en-US" w:eastAsia="zh-CN"/>
        </w:rPr>
        <w:t>范勇</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 xml:space="preserve">4 </w:t>
      </w:r>
      <w:r>
        <w:rPr>
          <w:rFonts w:hint="eastAsia" w:ascii="宋体" w:hAnsi="宋体" w:eastAsia="宋体" w:cs="仿宋_GB2312"/>
          <w:color w:val="000000"/>
          <w:kern w:val="0"/>
          <w:sz w:val="32"/>
          <w:szCs w:val="32"/>
        </w:rPr>
        <w:t xml:space="preserve">年 </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 xml:space="preserve"> 月 </w:t>
      </w:r>
      <w:r>
        <w:rPr>
          <w:rFonts w:hint="eastAsia" w:ascii="宋体" w:hAnsi="宋体" w:eastAsia="宋体" w:cs="仿宋_GB2312"/>
          <w:color w:val="000000"/>
          <w:kern w:val="0"/>
          <w:sz w:val="32"/>
          <w:szCs w:val="32"/>
          <w:lang w:val="en-US" w:eastAsia="zh-CN"/>
        </w:rPr>
        <w:t>9</w:t>
      </w:r>
      <w:r>
        <w:rPr>
          <w:rFonts w:hint="eastAsia" w:ascii="宋体" w:hAnsi="宋体" w:eastAsia="宋体" w:cs="仿宋_GB2312"/>
          <w:color w:val="000000"/>
          <w:kern w:val="0"/>
          <w:sz w:val="32"/>
          <w:szCs w:val="32"/>
        </w:rPr>
        <w:t xml:space="preserve"> 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sz w:val="32"/>
          <w:szCs w:val="32"/>
          <w:lang w:val="en-US" w:eastAsia="zh-CN"/>
        </w:rPr>
      </w:pPr>
      <w:bookmarkStart w:id="0" w:name="_Toc68703827"/>
      <w:r>
        <w:rPr>
          <w:rFonts w:hint="eastAsia" w:ascii="宋体" w:hAnsi="宋体" w:eastAsia="宋体" w:cs="Times New Roman"/>
          <w:sz w:val="32"/>
          <w:szCs w:val="32"/>
          <w:lang w:val="en-US" w:eastAsia="zh-CN"/>
        </w:rPr>
        <w:t>一、基本情况</w:t>
      </w:r>
      <w:bookmarkEnd w:id="0"/>
    </w:p>
    <w:p>
      <w:pPr>
        <w:spacing w:line="560" w:lineRule="exact"/>
        <w:ind w:firstLine="643" w:firstLineChars="200"/>
        <w:rPr>
          <w:rFonts w:hint="eastAsia" w:eastAsia="楷体_GB2312"/>
          <w:b/>
          <w:bCs/>
          <w:sz w:val="32"/>
          <w:szCs w:val="32"/>
          <w:lang w:val="en-US" w:eastAsia="zh-CN"/>
        </w:rPr>
      </w:pPr>
      <w:bookmarkStart w:id="1" w:name="_Toc68703828"/>
      <w:r>
        <w:rPr>
          <w:rFonts w:hint="eastAsia" w:eastAsia="楷体_GB2312"/>
          <w:b/>
          <w:bCs/>
          <w:sz w:val="32"/>
          <w:szCs w:val="32"/>
          <w:lang w:val="en-US" w:eastAsia="zh-CN"/>
        </w:rPr>
        <w:t>（一）项目概况</w:t>
      </w:r>
      <w:bookmarkEnd w:id="1"/>
    </w:p>
    <w:p>
      <w:pPr>
        <w:spacing w:line="560" w:lineRule="exact"/>
        <w:ind w:firstLine="643" w:firstLineChars="200"/>
        <w:rPr>
          <w:rFonts w:hint="eastAsia" w:eastAsia="仿宋_GB2312"/>
          <w:b/>
          <w:bCs/>
          <w:sz w:val="32"/>
          <w:szCs w:val="32"/>
          <w:lang w:val="en-US" w:eastAsia="zh-CN"/>
        </w:rPr>
      </w:pPr>
      <w:r>
        <w:rPr>
          <w:rFonts w:hint="eastAsia" w:eastAsia="仿宋_GB2312"/>
          <w:b/>
          <w:bCs/>
          <w:sz w:val="32"/>
          <w:szCs w:val="32"/>
          <w:lang w:val="en-US" w:eastAsia="zh-CN"/>
        </w:rPr>
        <w:t>1.项目背景，主要内容及实施情况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（1）项目背景</w:t>
      </w:r>
    </w:p>
    <w:p>
      <w:pPr>
        <w:shd w:val="clea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了加强药品管理，保证药品质量，保障巴州地区人民用药安全和合法权益，保护和促进公众健康，根据《自治区药品监督抽检工作方案》、《巴州药品安全监督抽检工作方案》、《自治区疫情防控期间药品、化妆品专项补充监督抽检工作方案》的通知；《中华人民共和国药品管理法》第十条“县级以上人民政府应当将药品安全工作纳入本级国民经济和社会发展规划，将药品安全工作经费列入本级政府预算，加强药品监督管理能力建设，为药品安全工作提供保障。”规定。</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（2）主要内容及实施情况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主要内容：完成自治区药品监督管理局下达的药品安全监督抽检任务，并承担巴州药品生产企业、经营企业、医疗机构和执法部门委托的药品检验工作，为巴州地区药品质量安全提供保障。</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实施情况：</w:t>
      </w:r>
      <w:r>
        <w:rPr>
          <w:rFonts w:hint="eastAsia" w:ascii="仿宋_GB2312" w:hAnsi="仿宋_GB2312" w:eastAsia="仿宋_GB2312" w:cs="仿宋_GB2312"/>
          <w:sz w:val="32"/>
          <w:szCs w:val="32"/>
          <w:lang w:val="zh-CN" w:eastAsia="zh-CN"/>
        </w:rPr>
        <w:t>本年度已根据工作需求完成购置药品对照品128个、购置药品检验检测化玻试剂耗材12批次、药品监督抽检购样检测168批次、药品评价性抽检购样72批次、药品评价性抽检检测84批次、实验室仪器设备检定103台，并及时购置实验室仪器设备11台且质量验收均合格，保证检验检测工作正常运行，不断提高实验室检验检能力，为巴州市场监督管理提供有力的技术支撑，减少假冒伪劣药品制售</w:t>
      </w:r>
      <w:r>
        <w:rPr>
          <w:rFonts w:hint="eastAsia" w:ascii="仿宋_GB2312" w:hAnsi="仿宋_GB2312" w:eastAsia="仿宋_GB2312" w:cs="仿宋_GB2312"/>
          <w:sz w:val="32"/>
          <w:szCs w:val="32"/>
          <w:lang w:val="en-US" w:eastAsia="zh-CN"/>
        </w:rPr>
        <w:t>。</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2.资金投入和使用情况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（1）资金投入情况：该项目年初预算数</w:t>
      </w:r>
      <w:r>
        <w:rPr>
          <w:rFonts w:hint="eastAsia" w:ascii="仿宋_GB2312" w:hAnsi="仿宋_GB2312" w:cs="仿宋_GB2312"/>
          <w:sz w:val="32"/>
          <w:szCs w:val="32"/>
          <w:lang w:val="en-US" w:eastAsia="zh-CN"/>
        </w:rPr>
        <w:t>59</w:t>
      </w:r>
      <w:r>
        <w:rPr>
          <w:rFonts w:hint="eastAsia" w:ascii="仿宋_GB2312" w:hAnsi="仿宋_GB2312" w:eastAsia="仿宋_GB2312" w:cs="仿宋_GB2312"/>
          <w:sz w:val="32"/>
          <w:szCs w:val="32"/>
          <w:lang w:val="en-US" w:eastAsia="zh-CN"/>
        </w:rPr>
        <w:t>万元，全年预算数</w:t>
      </w:r>
      <w:r>
        <w:rPr>
          <w:rFonts w:hint="eastAsia" w:ascii="仿宋_GB2312" w:hAnsi="仿宋_GB2312" w:cs="仿宋_GB2312"/>
          <w:sz w:val="32"/>
          <w:szCs w:val="32"/>
          <w:lang w:val="en-US" w:eastAsia="zh-CN"/>
        </w:rPr>
        <w:t>59</w:t>
      </w:r>
      <w:r>
        <w:rPr>
          <w:rFonts w:hint="eastAsia" w:ascii="仿宋_GB2312" w:hAnsi="仿宋_GB2312" w:eastAsia="仿宋_GB2312" w:cs="仿宋_GB2312"/>
          <w:sz w:val="32"/>
          <w:szCs w:val="32"/>
          <w:lang w:val="en-US" w:eastAsia="zh-CN"/>
        </w:rPr>
        <w:t>万元，实际总投入</w:t>
      </w:r>
      <w:r>
        <w:rPr>
          <w:rFonts w:hint="eastAsia" w:ascii="仿宋_GB2312" w:hAnsi="仿宋_GB2312" w:cs="仿宋_GB2312"/>
          <w:sz w:val="32"/>
          <w:szCs w:val="32"/>
          <w:lang w:val="en-US" w:eastAsia="zh-CN"/>
        </w:rPr>
        <w:t>59</w:t>
      </w:r>
      <w:r>
        <w:rPr>
          <w:rFonts w:hint="eastAsia" w:ascii="仿宋_GB2312" w:hAnsi="仿宋_GB2312" w:eastAsia="仿宋_GB2312" w:cs="仿宋_GB2312"/>
          <w:sz w:val="32"/>
          <w:szCs w:val="32"/>
          <w:lang w:val="en-US" w:eastAsia="zh-CN"/>
        </w:rPr>
        <w:t>万元，该项目资金已全部落实到位，资金来源为中央专项资金。</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（2）资金使用情况：该项目年初预算数</w:t>
      </w:r>
      <w:r>
        <w:rPr>
          <w:rFonts w:hint="eastAsia" w:ascii="仿宋_GB2312" w:hAnsi="仿宋_GB2312" w:cs="仿宋_GB2312"/>
          <w:sz w:val="32"/>
          <w:szCs w:val="32"/>
          <w:lang w:val="en-US" w:eastAsia="zh-CN"/>
        </w:rPr>
        <w:t>59</w:t>
      </w:r>
      <w:r>
        <w:rPr>
          <w:rFonts w:hint="eastAsia" w:ascii="仿宋_GB2312" w:hAnsi="仿宋_GB2312" w:eastAsia="仿宋_GB2312" w:cs="仿宋_GB2312"/>
          <w:sz w:val="32"/>
          <w:szCs w:val="32"/>
          <w:lang w:val="en-US" w:eastAsia="zh-CN"/>
        </w:rPr>
        <w:t>万元，全年预算数</w:t>
      </w:r>
      <w:r>
        <w:rPr>
          <w:rFonts w:hint="eastAsia" w:ascii="仿宋_GB2312" w:hAnsi="仿宋_GB2312" w:cs="仿宋_GB2312"/>
          <w:sz w:val="32"/>
          <w:szCs w:val="32"/>
          <w:lang w:val="en-US" w:eastAsia="zh-CN"/>
        </w:rPr>
        <w:t>59</w:t>
      </w:r>
      <w:r>
        <w:rPr>
          <w:rFonts w:hint="eastAsia" w:ascii="仿宋_GB2312" w:hAnsi="仿宋_GB2312" w:eastAsia="仿宋_GB2312" w:cs="仿宋_GB2312"/>
          <w:sz w:val="32"/>
          <w:szCs w:val="32"/>
          <w:lang w:val="en-US" w:eastAsia="zh-CN"/>
        </w:rPr>
        <w:t>万元，全年执行数</w:t>
      </w:r>
      <w:r>
        <w:rPr>
          <w:rFonts w:hint="eastAsia" w:ascii="仿宋_GB2312" w:hAnsi="仿宋_GB2312" w:cs="仿宋_GB2312"/>
          <w:sz w:val="32"/>
          <w:szCs w:val="32"/>
          <w:lang w:val="en-US" w:eastAsia="zh-CN"/>
        </w:rPr>
        <w:t>59</w:t>
      </w:r>
      <w:r>
        <w:rPr>
          <w:rFonts w:hint="eastAsia" w:ascii="仿宋_GB2312" w:hAnsi="仿宋_GB2312" w:eastAsia="仿宋_GB2312" w:cs="仿宋_GB2312"/>
          <w:sz w:val="32"/>
          <w:szCs w:val="32"/>
          <w:lang w:val="en-US" w:eastAsia="zh-CN"/>
        </w:rPr>
        <w:t>万元，预算执行率为100%，用于：</w:t>
      </w:r>
      <w:r>
        <w:rPr>
          <w:rFonts w:hint="eastAsia" w:ascii="仿宋_GB2312" w:hAnsi="仿宋_GB2312" w:eastAsia="仿宋_GB2312" w:cs="仿宋_GB2312"/>
          <w:sz w:val="32"/>
          <w:szCs w:val="32"/>
          <w:lang w:val="zh-CN" w:eastAsia="zh-CN"/>
        </w:rPr>
        <w:t>3.94万元用于购置药品对照品；7.05万元用于购置药品检验检测化玻试剂耗材；3.4万元用于药品购样费；6.6万元用于实验室仪器设备检定费；4万元用于</w:t>
      </w:r>
      <w:r>
        <w:rPr>
          <w:rFonts w:hint="eastAsia" w:ascii="仿宋_GB2312" w:hAnsi="仿宋_GB2312" w:eastAsia="仿宋_GB2312" w:cs="仿宋_GB2312"/>
          <w:sz w:val="32"/>
          <w:szCs w:val="32"/>
          <w:lang w:val="en-US" w:eastAsia="zh-CN"/>
        </w:rPr>
        <w:t>仪器设备的维护维修</w:t>
      </w:r>
      <w:r>
        <w:rPr>
          <w:rFonts w:hint="eastAsia" w:ascii="仿宋_GB2312" w:hAnsi="仿宋_GB2312" w:eastAsia="仿宋_GB2312" w:cs="仿宋_GB2312"/>
          <w:sz w:val="32"/>
          <w:szCs w:val="32"/>
          <w:lang w:val="zh-CN" w:eastAsia="zh-CN"/>
        </w:rPr>
        <w:t>；4.12万元用于</w:t>
      </w:r>
      <w:r>
        <w:rPr>
          <w:rFonts w:hint="eastAsia" w:ascii="仿宋_GB2312" w:hAnsi="仿宋_GB2312" w:eastAsia="仿宋_GB2312" w:cs="仿宋_GB2312"/>
          <w:sz w:val="32"/>
          <w:szCs w:val="32"/>
          <w:lang w:val="en-US" w:eastAsia="zh-CN"/>
        </w:rPr>
        <w:t>药品检验正常运转经费</w:t>
      </w:r>
      <w:r>
        <w:rPr>
          <w:rFonts w:hint="eastAsia" w:ascii="仿宋_GB2312" w:hAnsi="仿宋_GB2312" w:eastAsia="仿宋_GB2312" w:cs="仿宋_GB2312"/>
          <w:sz w:val="32"/>
          <w:szCs w:val="32"/>
          <w:lang w:val="zh-CN" w:eastAsia="zh-CN"/>
        </w:rPr>
        <w:t>；29.89万元用于</w:t>
      </w:r>
      <w:r>
        <w:rPr>
          <w:rFonts w:hint="eastAsia" w:ascii="仿宋_GB2312" w:hAnsi="仿宋_GB2312" w:cs="仿宋_GB2312"/>
          <w:sz w:val="32"/>
          <w:szCs w:val="32"/>
          <w:lang w:val="en-US" w:eastAsia="zh-CN"/>
        </w:rPr>
        <w:t>购置</w:t>
      </w:r>
      <w:r>
        <w:rPr>
          <w:rFonts w:hint="eastAsia" w:ascii="仿宋_GB2312" w:hAnsi="仿宋_GB2312" w:eastAsia="仿宋_GB2312" w:cs="仿宋_GB2312"/>
          <w:sz w:val="32"/>
          <w:szCs w:val="32"/>
          <w:lang w:val="en-US" w:eastAsia="zh-CN"/>
        </w:rPr>
        <w:t>实验室仪器设备。</w:t>
      </w:r>
    </w:p>
    <w:p>
      <w:pPr>
        <w:spacing w:line="560" w:lineRule="exact"/>
        <w:ind w:firstLine="643" w:firstLineChars="200"/>
        <w:rPr>
          <w:rFonts w:hint="default" w:eastAsia="楷体_GB2312"/>
          <w:b/>
          <w:bCs/>
          <w:sz w:val="32"/>
          <w:szCs w:val="32"/>
          <w:lang w:val="en-US" w:eastAsia="zh-CN"/>
        </w:rPr>
      </w:pPr>
      <w:bookmarkStart w:id="2" w:name="_Toc68703829"/>
      <w:r>
        <w:rPr>
          <w:rFonts w:hint="eastAsia" w:eastAsia="楷体_GB2312"/>
          <w:b/>
          <w:bCs/>
          <w:sz w:val="32"/>
          <w:szCs w:val="32"/>
          <w:lang w:val="en-US" w:eastAsia="zh-CN"/>
        </w:rPr>
        <w:t>（二）项目绩效目标</w:t>
      </w:r>
      <w:bookmarkEnd w:id="2"/>
      <w:r>
        <w:rPr>
          <w:rFonts w:hint="eastAsia" w:eastAsia="楷体_GB2312"/>
          <w:b/>
          <w:bCs/>
          <w:sz w:val="32"/>
          <w:szCs w:val="32"/>
          <w:lang w:val="en-US" w:eastAsia="zh-CN"/>
        </w:rPr>
        <w:t>，包括总体目标和阶段性目标</w:t>
      </w:r>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1.总体目标：</w:t>
      </w:r>
      <w:r>
        <w:rPr>
          <w:rFonts w:hint="eastAsia" w:ascii="仿宋_GB2312" w:hAnsi="仿宋_GB2312" w:eastAsia="仿宋_GB2312" w:cs="仿宋_GB2312"/>
          <w:sz w:val="32"/>
          <w:szCs w:val="32"/>
          <w:lang w:val="zh-CN" w:eastAsia="zh-CN"/>
        </w:rPr>
        <w:t>按照《中华人民共和国药品管理法》的规定，为保障巴州地区群众用药的安全，完成自治区药监局下达的药品检验任务，对巴州地区药品生产、经营企业及医疗机构生产、销售、使用的药品进行检验。购置药品对照品110个、购置药品检验检测化玻试剂耗材12批次，完成药品监督抽检购样检测165批次、药品评价性抽检购样72批次、药品评价性抽检检测84批次。保证药品检验检测工作正常运行和实验室质量体系管理要求，按时检定实验室仪器设备器具100个，购置实验室仪器设备10台，不断提高实验室检验检能力，为巴州市场监督管理提供有力的技术支撑</w:t>
      </w:r>
      <w:r>
        <w:rPr>
          <w:rFonts w:hint="eastAsia" w:ascii="仿宋_GB2312" w:hAnsi="仿宋_GB2312" w:eastAsia="仿宋_GB2312" w:cs="仿宋_GB2312"/>
          <w:sz w:val="32"/>
          <w:szCs w:val="32"/>
          <w:lang w:val="en-US" w:eastAsia="zh-CN"/>
        </w:rPr>
        <w:t>。</w:t>
      </w:r>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2.阶段性目标：</w:t>
      </w:r>
      <w:r>
        <w:rPr>
          <w:rFonts w:hint="eastAsia" w:ascii="仿宋_GB2312" w:hAnsi="仿宋_GB2312" w:eastAsia="仿宋_GB2312" w:cs="仿宋_GB2312"/>
          <w:sz w:val="32"/>
          <w:szCs w:val="32"/>
          <w:lang w:val="en-US" w:eastAsia="zh-CN"/>
        </w:rPr>
        <w:t>新疆巴州食品药品检验所按照自治区药监局下达的药品检验任务，上半年完成30%左右药品检验检测，完成全部实验室仪器设备的检定，购置20%左右实验室小型仪器设备；下半年及时完成所有药品检验检测、购置药品对照品和实验室小型仪器设备。</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sz w:val="32"/>
          <w:szCs w:val="32"/>
          <w:lang w:val="en-US" w:eastAsia="zh-CN"/>
        </w:rPr>
      </w:pPr>
      <w:bookmarkStart w:id="3" w:name="_Toc68703830"/>
      <w:r>
        <w:rPr>
          <w:rFonts w:hint="eastAsia" w:ascii="宋体" w:hAnsi="宋体" w:eastAsia="宋体" w:cs="Times New Roman"/>
          <w:sz w:val="32"/>
          <w:szCs w:val="32"/>
          <w:lang w:val="en-US" w:eastAsia="zh-CN"/>
        </w:rPr>
        <w:t>二、绩效评价工作开展情况</w:t>
      </w:r>
      <w:bookmarkEnd w:id="3"/>
    </w:p>
    <w:p>
      <w:pPr>
        <w:spacing w:line="560" w:lineRule="exact"/>
        <w:ind w:firstLine="643" w:firstLineChars="200"/>
        <w:rPr>
          <w:rFonts w:hint="default" w:eastAsia="楷体_GB2312"/>
          <w:b/>
          <w:bCs/>
          <w:sz w:val="32"/>
          <w:szCs w:val="32"/>
          <w:lang w:val="en-US" w:eastAsia="zh-CN"/>
        </w:rPr>
      </w:pPr>
      <w:bookmarkStart w:id="4" w:name="_Toc68703831"/>
      <w:r>
        <w:rPr>
          <w:rFonts w:hint="eastAsia" w:eastAsia="楷体_GB2312"/>
          <w:b/>
          <w:bCs/>
          <w:sz w:val="32"/>
          <w:szCs w:val="32"/>
          <w:lang w:val="en-US" w:eastAsia="zh-CN"/>
        </w:rPr>
        <w:t>（一）绩效评价目的、对象和范围</w:t>
      </w:r>
      <w:bookmarkEnd w:id="4"/>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1.绩效评价目的：</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新疆巴州食品药品检验所</w:t>
      </w:r>
      <w:r>
        <w:rPr>
          <w:rFonts w:hint="eastAsia" w:ascii="仿宋_GB2312" w:hAnsi="仿宋_GB2312" w:eastAsia="仿宋_GB2312" w:cs="仿宋_GB2312"/>
          <w:sz w:val="32"/>
          <w:szCs w:val="32"/>
          <w:lang w:val="zh-CN" w:eastAsia="zh-CN"/>
        </w:rPr>
        <w:t>通过绩效评价，客观地评判项目的管理绩效，了解和掌握自治区药品抽检经费项目的具体情况，评价该项目资金安排的科学性、合理性、规范性和资金的使用成效，及时总结项目管理经验，完善项目管理办法，提高项目管理水平和资金使用效益。促使我</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lang w:val="zh-CN" w:eastAsia="zh-CN"/>
        </w:rPr>
        <w:t>根据绩效评价中发现的问题，认真加以整改，及时调整和完善单位的工作计划并加强项目</w:t>
      </w:r>
      <w:r>
        <w:rPr>
          <w:rFonts w:hint="eastAsia" w:ascii="仿宋_GB2312" w:hAnsi="仿宋_GB2312" w:eastAsia="仿宋_GB2312" w:cs="仿宋_GB2312"/>
          <w:sz w:val="32"/>
          <w:szCs w:val="32"/>
          <w:lang w:val="en-US" w:eastAsia="zh-CN"/>
        </w:rPr>
        <w:t>绩效</w:t>
      </w:r>
      <w:r>
        <w:rPr>
          <w:rFonts w:hint="eastAsia" w:ascii="仿宋_GB2312" w:hAnsi="仿宋_GB2312" w:eastAsia="仿宋_GB2312" w:cs="仿宋_GB2312"/>
          <w:sz w:val="32"/>
          <w:szCs w:val="32"/>
          <w:lang w:val="zh-CN" w:eastAsia="zh-CN"/>
        </w:rPr>
        <w:t>管理，同时为项目后续资金投入、分配和管理提供决策依据。</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2.绩效评价对象：</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自治区药品抽检经费项目</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3.绩效评价范围：</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次评价从项目决策（包括绩效目标、决策过程）、项目管理（包括项目资金、项目实施）、项目产出（包括项目产出数量、产出质量、产出时效和产出成本）项目效益四个维度进行自治区药品抽检经费项目评价，评价核心为资金的支出完成情况和效果。</w:t>
      </w:r>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5" w:name="_Toc68703832"/>
      <w:r>
        <w:rPr>
          <w:rFonts w:hint="eastAsia" w:ascii="Times New Roman" w:hAnsi="Times New Roman" w:eastAsia="楷体_GB2312" w:cs="Times New Roman"/>
          <w:b/>
          <w:bCs/>
          <w:sz w:val="32"/>
          <w:szCs w:val="32"/>
          <w:lang w:val="en-US" w:eastAsia="zh-CN"/>
        </w:rPr>
        <w:t>（二）绩效评价原则、评价指标体系（附表说明）、评价方法、评价标准</w:t>
      </w:r>
      <w:bookmarkEnd w:id="5"/>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1.绩效评价原则</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本次项目绩效评价遵循以下基本原则：</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科学公正。本次项目支出绩效评价运用科学合理的方法，按照规范的程序，对项目绩效进行客观、公正的反映。新疆巴州食品药品检验所在自治区药品抽检经费项目评价中根据《自治区药品监督抽检工作方案》、《巴州药品安全监督抽检工作方案》、《自治区疫情防控期间药品、化妆品专项补充监督抽检工作方案》、单位发展规划、部门职责及年初预算资金分配测算依据等方面分析可得项目设立合理、实施过程规范，资金严格按照财政审核流程规范执行，绩效目标设置依据充分、合理、明确。</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统筹兼顾。本次项目支出绩效评价由本单位自主实施，即“谁支出、谁自评”。自治区药品抽检经费项目由新疆巴州食品药品检验所实施，单位成立了评价小组，明确了分管领导、具体负责人，对项目实施情况进行单位自评，职责明确，相互衔接。在项目评价初期进行广泛深入地调查摸底，全面掌握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（三）激励约束。本次项目支出绩效评价结果与预算安排、政策调整、改进管理实质性挂钩，体现奖优罚劣和激励相容导向，有效要安排、低效要压减、无效要问责。</w:t>
      </w:r>
      <w:r>
        <w:rPr>
          <w:rFonts w:hint="eastAsia" w:ascii="仿宋_GB2312" w:hAnsi="仿宋_GB2312" w:eastAsia="仿宋_GB2312" w:cs="仿宋_GB2312"/>
          <w:sz w:val="32"/>
          <w:szCs w:val="32"/>
          <w:lang w:val="zh-CN" w:eastAsia="zh-CN"/>
        </w:rPr>
        <w:t>治区药品抽检经费项目严格按照年初预算安排实施，新疆巴州食品药品检验所从项目实施、项目预算、项目成本等环节，全过程对项目进行监管，明确分工，各司其职，抓好工作目标任务的落实完成，并向本单位主要领导报告，同时年中要求各部门按照年初预算对绩效工作进行监控，存在问题及时整改，确保绩效目标如期实现，不断提高财政资金配置和使用效益。</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（四）公开透明。本次项目支出绩效评价结果已依法依规公开在巴音郭楞蒙古自治州人民政府网站上，并自觉接受社会监督。</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2、评价指标体系</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绩效评价框架是开展绩效评价的核心。绩效评价框架包括评价准则、关键评价问题、评价指标、数据来源、数据收集方法等。指标体系建立过程如下：</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（1）确定评价指标</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采用层次分析法，建立评价指标体系。绩效评价将指标分为项目决策指标、项目过程指标、项目产出指标、项目效益指标四个维度，最终形成一个由多个相互联系的指标组成的多层次指标体系。</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（2）确定权重</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确定各个指标相对于项目总体绩效的权重分值。在绩效评价指标体系中，项目决策权重为20分，项目过程权重为20分，项目产出权重为40分，项目效益权重为20分。</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（3）确定指标标准值</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指标标准值是绩效评价指标的尺度，既要反映同类项目的先进水平，又要符合项目的实际绩效水平。具体采用计划标准等确定此次绩效评价指标标准值。</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shd w:val="clea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zh-CN" w:eastAsia="zh-CN"/>
        </w:rPr>
        <w:t>具体评价指标体系详情见附件。</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3、评价方法</w:t>
      </w:r>
    </w:p>
    <w:p>
      <w:pPr>
        <w:shd w:val="clear"/>
        <w:spacing w:line="600" w:lineRule="exact"/>
        <w:ind w:firstLine="640" w:firstLineChars="200"/>
        <w:outlineLvl w:val="0"/>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t>绩效评价从项目决策、项目过程、项目产出、项目效益四个维度进行评价。评价对象为项目目标实施情况，评价核心为资金的支出完成情况和项目的产出效益。</w:t>
      </w:r>
    </w:p>
    <w:p>
      <w:pPr>
        <w:shd w:val="clear"/>
        <w:spacing w:line="600" w:lineRule="exact"/>
        <w:ind w:firstLine="640" w:firstLineChars="200"/>
        <w:outlineLvl w:val="0"/>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t>本次评价指标中，既有定性指标又有定量指标，各类指标因考核内容不同和客观标准不同存在较大差异，因此核定具体指标时采用了不同方法，具体评价方法如下：</w:t>
      </w:r>
      <w:r>
        <w:rPr>
          <w:rFonts w:hint="eastAsia" w:ascii="仿宋_GB2312" w:hAnsi="仿宋_GB2312" w:eastAsia="仿宋_GB2312" w:cs="仿宋_GB2312"/>
          <w:sz w:val="32"/>
          <w:szCs w:val="32"/>
          <w:lang w:val="en-US" w:eastAsia="zh-CN"/>
        </w:rPr>
        <w:t>本次项目支出绩效自评采用比较法、公众评判法方法，原因①比较法是新疆巴州食品药品检验所通过对项目申报表、项目监控表和财务支出等资料比较自治区药品抽检经费项目支出绩效目标表的绩效目标与实际实施产生效果，分析绩效目标实现程度和项目工作开展情况。②众评判法是本次评价通过对巴州地区公众对药品监管满意度开展问卷调查，了解调查对象对自治区药品抽检经费项目支出产生效益的满意程度，通过这种直观的方式对项目支出效果进行评判。</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4.评价标准</w:t>
      </w:r>
    </w:p>
    <w:p>
      <w:pPr>
        <w:shd w:val="clear"/>
        <w:spacing w:line="600" w:lineRule="exact"/>
        <w:ind w:firstLine="640" w:firstLineChars="200"/>
        <w:outlineLvl w:val="0"/>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t>绩效评价标准通常包括计划标准、行业标准、历史标准等，用于对绩效指标完成情况进行比较、分析、评价。本次评价主要采用了</w:t>
      </w:r>
      <w:r>
        <w:rPr>
          <w:rFonts w:hint="eastAsia" w:ascii="仿宋_GB2312" w:hAnsi="仿宋_GB2312" w:eastAsia="仿宋_GB2312" w:cs="仿宋_GB2312"/>
          <w:sz w:val="32"/>
          <w:szCs w:val="32"/>
          <w:lang w:val="en-US" w:eastAsia="zh-CN"/>
        </w:rPr>
        <w:t>计划标准和历史标准，原因是：自治区药品抽检经费项目设置年初绩效目标申报表时预先制定计划、设置年初预算及参照历史数据，并根据该项目的年度计划确定三级指标。采用计划标准、历史标准，可提高预算编制和预算额度测算准确率，使评价结果更加科学真实</w:t>
      </w:r>
      <w:r>
        <w:rPr>
          <w:rFonts w:hint="eastAsia" w:ascii="仿宋_GB2312" w:hAnsi="仿宋_GB2312" w:eastAsia="仿宋_GB2312" w:cs="仿宋_GB2312"/>
          <w:sz w:val="32"/>
          <w:szCs w:val="32"/>
          <w:lang w:val="zh-CN" w:eastAsia="zh-CN"/>
        </w:rPr>
        <w:t>。</w:t>
      </w:r>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6" w:name="_Toc68703833"/>
      <w:r>
        <w:rPr>
          <w:rFonts w:hint="eastAsia" w:ascii="Times New Roman" w:hAnsi="Times New Roman" w:eastAsia="楷体_GB2312" w:cs="Times New Roman"/>
          <w:b/>
          <w:bCs/>
          <w:sz w:val="32"/>
          <w:szCs w:val="32"/>
          <w:lang w:val="en-US" w:eastAsia="zh-CN"/>
        </w:rPr>
        <w:t>（三）绩效评价工作过程</w:t>
      </w:r>
      <w:bookmarkEnd w:id="6"/>
    </w:p>
    <w:p>
      <w:pPr>
        <w:shd w:val="clear"/>
        <w:spacing w:line="600" w:lineRule="exact"/>
        <w:ind w:firstLine="643" w:firstLineChars="200"/>
        <w:outlineLvl w:val="0"/>
        <w:rPr>
          <w:rFonts w:hint="eastAsia" w:ascii="仿宋_GB2312" w:hAnsi="仿宋_GB2312" w:eastAsia="仿宋_GB2312" w:cs="仿宋_GB2312"/>
          <w:sz w:val="32"/>
          <w:szCs w:val="32"/>
          <w:lang w:val="zh-CN" w:eastAsia="zh-CN"/>
        </w:rPr>
      </w:pPr>
      <w:bookmarkStart w:id="7" w:name="_Toc68703834"/>
      <w:r>
        <w:rPr>
          <w:rFonts w:hint="eastAsia" w:ascii="Times New Roman" w:hAnsi="Times New Roman" w:eastAsia="仿宋_GB2312" w:cs="Times New Roman"/>
          <w:b/>
          <w:bCs/>
          <w:sz w:val="32"/>
          <w:szCs w:val="32"/>
          <w:lang w:val="en-US" w:eastAsia="zh-CN"/>
        </w:rPr>
        <w:t>1.</w:t>
      </w:r>
      <w:r>
        <w:rPr>
          <w:rFonts w:hint="eastAsia" w:ascii="Times New Roman" w:hAnsi="Times New Roman" w:eastAsia="仿宋_GB2312" w:cs="Times New Roman"/>
          <w:b/>
          <w:bCs/>
          <w:sz w:val="32"/>
          <w:szCs w:val="32"/>
          <w:lang w:val="zh-CN" w:eastAsia="zh-CN"/>
        </w:rPr>
        <w:t>前期准备。</w:t>
      </w:r>
      <w:r>
        <w:rPr>
          <w:rFonts w:hint="eastAsia" w:ascii="仿宋_GB2312" w:hAnsi="仿宋_GB2312" w:eastAsia="仿宋_GB2312" w:cs="仿宋_GB2312"/>
          <w:sz w:val="32"/>
          <w:szCs w:val="32"/>
          <w:lang w:val="zh-CN" w:eastAsia="zh-CN"/>
        </w:rPr>
        <w:t>新疆巴州食品药品检验所首先成立评价工作组，开展前期调研；其次明确项目绩效目标，根据项目的内容设计自治区药品抽检经费项目绩效评价指标体系，并确定绩效评价方法为比较法、公众评判法；接着确定现场和非现场评价范围，设计资料清单；最后制定评价实施方案并进行论证。</w:t>
      </w:r>
    </w:p>
    <w:p>
      <w:pPr>
        <w:shd w:val="clear"/>
        <w:spacing w:line="600" w:lineRule="exact"/>
        <w:ind w:firstLine="643" w:firstLineChars="200"/>
        <w:outlineLvl w:val="0"/>
        <w:rPr>
          <w:rFonts w:hint="eastAsia" w:ascii="仿宋_GB2312" w:hAnsi="仿宋_GB2312" w:eastAsia="仿宋_GB2312" w:cs="仿宋_GB2312"/>
          <w:sz w:val="32"/>
          <w:szCs w:val="32"/>
          <w:lang w:val="zh-CN" w:eastAsia="zh-CN"/>
        </w:rPr>
      </w:pPr>
      <w:r>
        <w:rPr>
          <w:rFonts w:hint="eastAsia" w:ascii="Times New Roman" w:hAnsi="Times New Roman" w:eastAsia="仿宋_GB2312" w:cs="Times New Roman"/>
          <w:b/>
          <w:bCs/>
          <w:sz w:val="32"/>
          <w:szCs w:val="32"/>
          <w:lang w:val="en-US" w:eastAsia="zh-CN"/>
        </w:rPr>
        <w:t>2.</w:t>
      </w:r>
      <w:r>
        <w:rPr>
          <w:rFonts w:hint="eastAsia" w:ascii="Times New Roman" w:hAnsi="Times New Roman" w:eastAsia="仿宋_GB2312" w:cs="Times New Roman"/>
          <w:b/>
          <w:bCs/>
          <w:sz w:val="32"/>
          <w:szCs w:val="32"/>
          <w:lang w:val="zh-CN" w:eastAsia="zh-CN"/>
        </w:rPr>
        <w:t>组织实施。</w:t>
      </w:r>
      <w:r>
        <w:rPr>
          <w:rFonts w:hint="eastAsia" w:ascii="仿宋_GB2312" w:hAnsi="仿宋_GB2312" w:eastAsia="仿宋_GB2312" w:cs="仿宋_GB2312"/>
          <w:sz w:val="32"/>
          <w:szCs w:val="32"/>
          <w:lang w:val="zh-CN" w:eastAsia="zh-CN"/>
        </w:rPr>
        <w:t>制定自治区药品抽检经费项目绩效评价工作方案，具体包括项目概况、评价思路、方法手段、组织实施、进度安排等。评价组收集自治区药品抽检经费项目立项依据、相关会议纪要、实施方案、财政资金分配方案、支付管理情况等相关评价资料并进行梳理。了解资金的内容、资金使用方向和项目的实施带来的效益以及是否达到预期目标等情况，评价组通过整理分析形成初步结论。</w:t>
      </w:r>
    </w:p>
    <w:p>
      <w:pPr>
        <w:shd w:val="clear"/>
        <w:spacing w:line="600" w:lineRule="exact"/>
        <w:ind w:firstLine="643" w:firstLineChars="200"/>
        <w:outlineLvl w:val="0"/>
        <w:rPr>
          <w:rFonts w:hint="eastAsia" w:ascii="仿宋_GB2312" w:hAnsi="仿宋_GB2312" w:eastAsia="仿宋_GB2312" w:cs="仿宋_GB2312"/>
          <w:sz w:val="32"/>
          <w:szCs w:val="32"/>
          <w:lang w:val="zh-CN" w:eastAsia="zh-CN"/>
        </w:rPr>
      </w:pPr>
      <w:r>
        <w:rPr>
          <w:rFonts w:hint="eastAsia" w:ascii="Times New Roman" w:hAnsi="Times New Roman" w:eastAsia="仿宋_GB2312" w:cs="Times New Roman"/>
          <w:b/>
          <w:bCs/>
          <w:sz w:val="32"/>
          <w:szCs w:val="32"/>
          <w:lang w:val="en-US" w:eastAsia="zh-CN"/>
        </w:rPr>
        <w:t>3.</w:t>
      </w:r>
      <w:r>
        <w:rPr>
          <w:rFonts w:hint="eastAsia" w:ascii="Times New Roman" w:hAnsi="Times New Roman" w:eastAsia="仿宋_GB2312" w:cs="Times New Roman"/>
          <w:b/>
          <w:bCs/>
          <w:sz w:val="32"/>
          <w:szCs w:val="32"/>
          <w:lang w:val="zh-CN" w:eastAsia="zh-CN"/>
        </w:rPr>
        <w:t>分析评价。</w:t>
      </w:r>
      <w:r>
        <w:rPr>
          <w:rFonts w:hint="eastAsia" w:ascii="仿宋_GB2312" w:hAnsi="仿宋_GB2312" w:eastAsia="仿宋_GB2312" w:cs="仿宋_GB2312"/>
          <w:sz w:val="32"/>
          <w:szCs w:val="32"/>
          <w:lang w:val="zh-CN" w:eastAsia="zh-CN"/>
        </w:rPr>
        <w:t>新疆巴州食品药品检验所评价组按照科学公正、统筹兼顾、激励约束和公开透明的绩效评价的原则和规范，根据收集梳理的资料围绕项目立项、资金落实、业务管理、财务管理、项目产出、项目效益等内容，对照已确定的绩效评价指标进行详细全面的分析评价，逐项打分并形成绩效评价最终结果</w:t>
      </w:r>
      <w:r>
        <w:rPr>
          <w:rFonts w:hint="eastAsia" w:ascii="仿宋_GB2312" w:hAnsi="仿宋_GB2312" w:cs="仿宋_GB2312"/>
          <w:sz w:val="32"/>
          <w:szCs w:val="32"/>
          <w:lang w:val="zh-CN" w:eastAsia="zh-CN"/>
        </w:rPr>
        <w:t>。</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sz w:val="32"/>
          <w:szCs w:val="32"/>
          <w:lang w:val="en-US" w:eastAsia="zh-CN"/>
        </w:rPr>
      </w:pPr>
      <w:r>
        <w:rPr>
          <w:rFonts w:hint="eastAsia" w:ascii="宋体" w:hAnsi="宋体" w:eastAsia="宋体" w:cs="Times New Roman"/>
          <w:sz w:val="32"/>
          <w:szCs w:val="32"/>
          <w:lang w:val="en-US" w:eastAsia="zh-CN"/>
        </w:rPr>
        <w:t>三、综合评价情况及评价结论</w:t>
      </w:r>
      <w:bookmarkEnd w:id="7"/>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8" w:name="_Toc68703835"/>
      <w:r>
        <w:rPr>
          <w:rFonts w:hint="eastAsia" w:ascii="Times New Roman" w:hAnsi="Times New Roman" w:eastAsia="楷体_GB2312" w:cs="Times New Roman"/>
          <w:b/>
          <w:bCs/>
          <w:sz w:val="32"/>
          <w:szCs w:val="32"/>
          <w:lang w:val="en-US" w:eastAsia="zh-CN"/>
        </w:rPr>
        <w:t>（一）综合评价情况</w:t>
      </w:r>
      <w:bookmarkEnd w:id="8"/>
      <w:r>
        <w:rPr>
          <w:rFonts w:hint="eastAsia" w:ascii="Times New Roman" w:hAnsi="Times New Roman" w:eastAsia="楷体_GB2312" w:cs="Times New Roman"/>
          <w:b/>
          <w:bCs/>
          <w:sz w:val="32"/>
          <w:szCs w:val="32"/>
          <w:lang w:val="en-US" w:eastAsia="zh-CN"/>
        </w:rPr>
        <w:t>及评价结论</w:t>
      </w:r>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1.综合评价情况：</w:t>
      </w:r>
      <w:r>
        <w:rPr>
          <w:rFonts w:hint="eastAsia" w:ascii="仿宋_GB2312" w:hAnsi="仿宋_GB2312" w:eastAsia="仿宋_GB2312" w:cs="仿宋_GB2312"/>
          <w:sz w:val="32"/>
          <w:szCs w:val="32"/>
          <w:lang w:val="en-US" w:eastAsia="zh-CN"/>
        </w:rPr>
        <w:t>自治区药品抽检经费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自治区药品抽检经费项目严格按照科学公正、统筹兼顾、激励约束、公开透明的绩效评价原则，采用比较法</w:t>
      </w:r>
      <w:r>
        <w:rPr>
          <w:rFonts w:hint="eastAsia" w:ascii="仿宋_GB2312" w:hAnsi="仿宋_GB2312" w:cs="仿宋_GB2312"/>
          <w:sz w:val="32"/>
          <w:szCs w:val="32"/>
          <w:lang w:val="en-US" w:eastAsia="zh-CN"/>
        </w:rPr>
        <w:t>和公众评判法</w:t>
      </w:r>
      <w:r>
        <w:rPr>
          <w:rFonts w:hint="eastAsia" w:ascii="仿宋_GB2312" w:hAnsi="仿宋_GB2312" w:eastAsia="仿宋_GB2312" w:cs="仿宋_GB2312"/>
          <w:sz w:val="32"/>
          <w:szCs w:val="32"/>
          <w:lang w:val="en-US" w:eastAsia="zh-CN"/>
        </w:rPr>
        <w:t>，坚持计划标准和历史标准，对本项目的立项、绩效目标、资金投入、资金管理、组织实施、产出数量、产出质量、产出时效、产出成本、项目效益进行了综合评价。</w:t>
      </w:r>
    </w:p>
    <w:p>
      <w:pPr>
        <w:spacing w:line="560" w:lineRule="exact"/>
        <w:ind w:firstLine="643" w:firstLineChars="200"/>
        <w:rPr>
          <w:rFonts w:hint="eastAsia" w:ascii="Times New Roman" w:hAnsi="Times New Roman" w:eastAsia="仿宋_GB2312" w:cs="Times New Roman"/>
          <w:b/>
          <w:bCs/>
          <w:sz w:val="32"/>
          <w:szCs w:val="32"/>
          <w:lang w:val="en-US" w:eastAsia="zh-CN"/>
        </w:rPr>
      </w:pPr>
      <w:bookmarkStart w:id="9" w:name="_Toc68703836"/>
      <w:r>
        <w:rPr>
          <w:rFonts w:hint="eastAsia" w:ascii="Times New Roman" w:hAnsi="Times New Roman" w:eastAsia="仿宋_GB2312" w:cs="Times New Roman"/>
          <w:b/>
          <w:bCs/>
          <w:sz w:val="32"/>
          <w:szCs w:val="32"/>
          <w:lang w:val="en-US" w:eastAsia="zh-CN"/>
        </w:rPr>
        <w:t>2.评价结论</w:t>
      </w:r>
      <w:bookmarkEnd w:id="9"/>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仿宋_GB2312" w:hAnsi="仿宋_GB2312" w:cs="仿宋_GB2312"/>
          <w:sz w:val="32"/>
          <w:szCs w:val="32"/>
          <w:lang w:val="en-US" w:eastAsia="zh-CN"/>
        </w:rPr>
        <w:t>96.81</w:t>
      </w:r>
      <w:r>
        <w:rPr>
          <w:rFonts w:hint="eastAsia" w:ascii="仿宋_GB2312" w:hAnsi="仿宋_GB2312" w:eastAsia="仿宋_GB2312" w:cs="仿宋_GB2312"/>
          <w:sz w:val="32"/>
          <w:szCs w:val="32"/>
          <w:lang w:val="en-US" w:eastAsia="zh-CN"/>
        </w:rPr>
        <w:t>分，属于“优”。其中，项目决策类指标权重为20分，得分为</w:t>
      </w:r>
      <w:r>
        <w:rPr>
          <w:rFonts w:hint="eastAsia" w:ascii="仿宋_GB2312" w:hAnsi="仿宋_GB2312" w:cs="仿宋_GB2312"/>
          <w:sz w:val="32"/>
          <w:szCs w:val="32"/>
          <w:lang w:val="en-US" w:eastAsia="zh-CN"/>
        </w:rPr>
        <w:t>20</w:t>
      </w:r>
      <w:r>
        <w:rPr>
          <w:rFonts w:hint="eastAsia" w:ascii="仿宋_GB2312" w:hAnsi="仿宋_GB2312" w:eastAsia="仿宋_GB2312" w:cs="仿宋_GB2312"/>
          <w:sz w:val="32"/>
          <w:szCs w:val="32"/>
          <w:lang w:val="en-US" w:eastAsia="zh-CN"/>
        </w:rPr>
        <w:t>分，得分率为100%。项目过程类指标权重为20分，得分为20分，得分率为100%。项目产出类指标权重为40分，得分为36.8</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分，得分率为92</w:t>
      </w:r>
      <w:r>
        <w:rPr>
          <w:rFonts w:hint="eastAsia" w:ascii="仿宋_GB2312" w:hAnsi="仿宋_GB2312" w:cs="仿宋_GB2312"/>
          <w:sz w:val="32"/>
          <w:szCs w:val="32"/>
          <w:lang w:val="en-US" w:eastAsia="zh-CN"/>
        </w:rPr>
        <w:t>.03</w:t>
      </w:r>
      <w:r>
        <w:rPr>
          <w:rFonts w:hint="eastAsia" w:ascii="仿宋_GB2312" w:hAnsi="仿宋_GB2312" w:eastAsia="仿宋_GB2312" w:cs="仿宋_GB2312"/>
          <w:sz w:val="32"/>
          <w:szCs w:val="32"/>
          <w:lang w:val="en-US" w:eastAsia="zh-CN"/>
        </w:rPr>
        <w:t>%。项目效益类指标权重为20分，得分为20分，得分率为100%。</w:t>
      </w:r>
    </w:p>
    <w:p>
      <w:pPr>
        <w:spacing w:line="560" w:lineRule="exact"/>
        <w:ind w:firstLine="643" w:firstLineChars="200"/>
        <w:rPr>
          <w:rFonts w:hint="eastAsia"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val="en-US" w:eastAsia="zh-CN"/>
        </w:rPr>
        <w:t>（二）相关评分表</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具体打分情况详见：附件1综合评分表。</w:t>
      </w:r>
    </w:p>
    <w:p>
      <w:pPr>
        <w:pageBreakBefore w:val="0"/>
        <w:kinsoku/>
        <w:wordWrap/>
        <w:overflowPunct/>
        <w:topLinePunct w:val="0"/>
        <w:autoSpaceDE/>
        <w:autoSpaceDN/>
        <w:bidi w:val="0"/>
        <w:adjustRightInd/>
        <w:snapToGrid/>
        <w:spacing w:line="560" w:lineRule="exact"/>
        <w:ind w:firstLine="960" w:firstLineChars="300"/>
        <w:jc w:val="center"/>
        <w:textAlignment w:val="auto"/>
        <w:rPr>
          <w:color w:val="auto"/>
          <w:sz w:val="32"/>
          <w:szCs w:val="32"/>
        </w:rPr>
      </w:pPr>
      <w:r>
        <w:rPr>
          <w:rFonts w:hint="eastAsia" w:ascii="仿宋_GB2312" w:hAnsi="仿宋_GB2312" w:eastAsia="仿宋_GB2312" w:cs="仿宋_GB2312"/>
          <w:sz w:val="32"/>
          <w:szCs w:val="32"/>
          <w:lang w:val="en-US" w:eastAsia="zh-CN"/>
        </w:rPr>
        <w:t>自治区药品抽检经费项目</w:t>
      </w:r>
      <w:r>
        <w:rPr>
          <w:rFonts w:hint="eastAsia"/>
          <w:color w:val="auto"/>
          <w:sz w:val="32"/>
          <w:szCs w:val="32"/>
        </w:rPr>
        <w:t>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36.81</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96.81</w:t>
            </w:r>
          </w:p>
        </w:tc>
      </w:tr>
    </w:tbl>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sz w:val="32"/>
          <w:szCs w:val="32"/>
          <w:lang w:val="en-US" w:eastAsia="zh-CN"/>
        </w:rPr>
      </w:pPr>
      <w:bookmarkStart w:id="10" w:name="_Toc68703837"/>
      <w:r>
        <w:rPr>
          <w:rFonts w:hint="eastAsia" w:ascii="宋体" w:hAnsi="宋体" w:eastAsia="宋体" w:cs="Times New Roman"/>
          <w:sz w:val="32"/>
          <w:szCs w:val="32"/>
          <w:lang w:val="en-US" w:eastAsia="zh-CN"/>
        </w:rPr>
        <w:t>四、绩效评价指标分析</w:t>
      </w:r>
      <w:bookmarkEnd w:id="10"/>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11" w:name="_Toc68703838"/>
      <w:r>
        <w:rPr>
          <w:rFonts w:hint="eastAsia" w:ascii="Times New Roman" w:hAnsi="Times New Roman" w:eastAsia="楷体_GB2312" w:cs="Times New Roman"/>
          <w:b/>
          <w:bCs/>
          <w:sz w:val="32"/>
          <w:szCs w:val="32"/>
          <w:lang w:val="en-US" w:eastAsia="zh-CN"/>
        </w:rPr>
        <w:t>（一）项目决策情况</w:t>
      </w:r>
      <w:bookmarkEnd w:id="11"/>
    </w:p>
    <w:p>
      <w:pPr>
        <w:spacing w:line="560" w:lineRule="exact"/>
        <w:ind w:firstLine="643" w:firstLineChars="200"/>
        <w:rPr>
          <w:rFonts w:hint="default"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1.立项依据充分性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自治区药品抽检经费项目立项依据《自治区药品监督抽检工作方案》、《巴州药品安全监督抽检工作方案》、《自治区疫情防控期间药品、化妆品专项补充监督抽检工作方案》相关发展政策，符合行业规划要求，围绕本年度工作重点和工作计划制定经费预算，属于公共财政支持范围。药品监管抽检项目与部门内部其他相关项目不重复。部门发展规划及职能文件等归档完整。</w:t>
      </w:r>
    </w:p>
    <w:p>
      <w:pPr>
        <w:shd w:val="clea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2.立项程序规范性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自治区药品抽检经费项目申请、设立过程符合相关要求，</w:t>
      </w:r>
      <w:r>
        <w:rPr>
          <w:rFonts w:hint="eastAsia" w:ascii="仿宋_GB2312" w:hAnsi="仿宋_GB2312" w:eastAsia="仿宋_GB2312" w:cs="仿宋_GB2312"/>
          <w:sz w:val="32"/>
          <w:szCs w:val="32"/>
          <w:lang w:val="en-US" w:eastAsia="zh-Hans"/>
        </w:rPr>
        <w:t>严格按照审批流程准备符合要求的文件、材料；</w:t>
      </w:r>
      <w:r>
        <w:rPr>
          <w:rFonts w:hint="eastAsia" w:ascii="仿宋_GB2312" w:hAnsi="仿宋_GB2312" w:eastAsia="仿宋_GB2312" w:cs="仿宋_GB2312"/>
          <w:sz w:val="32"/>
          <w:szCs w:val="32"/>
          <w:lang w:val="en-US" w:eastAsia="zh-CN"/>
        </w:rPr>
        <w:t>根据决算依据编制工作计划和经费预算，经过与部门项目分管领导沟通、筛选确定经费预算计划，确定最终预算方案。项目的审批文件、材料符合相关要求，项目事前经过必要的集体决策，保障了程序的规范性。</w:t>
      </w:r>
    </w:p>
    <w:p>
      <w:pPr>
        <w:shd w:val="clea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3.绩效目标合理性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自治区药品抽检经费项目年初结合实际工作内容设定绩效目标，与自治区药监局下达的药品检验任务具有相关性，绩效目标依据充分，符合客观实际，项目的预期产出效益和效果也均能符合正常的业绩水平，并且与预算确定的项目投资额或资金量相匹配。</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此项权重分3分，得分3分。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4.绩效指标明确性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bookmarkStart w:id="12" w:name="_Hlk68699917"/>
      <w:r>
        <w:rPr>
          <w:rFonts w:hint="eastAsia" w:ascii="仿宋_GB2312" w:hAnsi="仿宋_GB2312" w:eastAsia="仿宋_GB2312" w:cs="仿宋_GB2312"/>
          <w:sz w:val="32"/>
          <w:szCs w:val="32"/>
          <w:lang w:val="en-US" w:eastAsia="zh-CN"/>
        </w:rPr>
        <w:t>自治区药品抽检经费项目将项目绩效目标细化分解为具体的绩效指标，一级指标共4条，二级指标共</w:t>
      </w:r>
      <w:r>
        <w:rPr>
          <w:rFonts w:hint="eastAsia" w:ascii="仿宋_GB2312" w:hAnsi="仿宋_GB2312" w:cs="仿宋_GB2312"/>
          <w:sz w:val="32"/>
          <w:szCs w:val="32"/>
          <w:lang w:val="en-US" w:eastAsia="zh-CN"/>
        </w:rPr>
        <w:t>7</w:t>
      </w:r>
      <w:r>
        <w:rPr>
          <w:rFonts w:hint="eastAsia" w:ascii="仿宋_GB2312" w:hAnsi="仿宋_GB2312" w:eastAsia="仿宋_GB2312" w:cs="仿宋_GB2312"/>
          <w:sz w:val="32"/>
          <w:szCs w:val="32"/>
          <w:lang w:val="en-US" w:eastAsia="zh-CN"/>
        </w:rPr>
        <w:t>条，三级指标共</w:t>
      </w:r>
      <w:r>
        <w:rPr>
          <w:rFonts w:hint="eastAsia" w:ascii="仿宋_GB2312" w:hAnsi="仿宋_GB2312" w:cs="仿宋_GB2312"/>
          <w:sz w:val="32"/>
          <w:szCs w:val="32"/>
          <w:lang w:val="en-US" w:eastAsia="zh-CN"/>
        </w:rPr>
        <w:t>31</w:t>
      </w:r>
      <w:r>
        <w:rPr>
          <w:rFonts w:hint="eastAsia" w:ascii="仿宋_GB2312" w:hAnsi="仿宋_GB2312" w:eastAsia="仿宋_GB2312" w:cs="仿宋_GB2312"/>
          <w:sz w:val="32"/>
          <w:szCs w:val="32"/>
          <w:lang w:val="en-US" w:eastAsia="zh-CN"/>
        </w:rPr>
        <w:t>条，其中量化指标条数共</w:t>
      </w:r>
      <w:r>
        <w:rPr>
          <w:rFonts w:hint="eastAsia" w:ascii="仿宋_GB2312" w:hAnsi="仿宋_GB2312" w:cs="仿宋_GB2312"/>
          <w:sz w:val="32"/>
          <w:szCs w:val="32"/>
          <w:lang w:val="en-US" w:eastAsia="zh-CN"/>
        </w:rPr>
        <w:t>30</w:t>
      </w:r>
      <w:r>
        <w:rPr>
          <w:rFonts w:hint="eastAsia" w:ascii="仿宋_GB2312" w:hAnsi="仿宋_GB2312" w:eastAsia="仿宋_GB2312" w:cs="仿宋_GB2312"/>
          <w:sz w:val="32"/>
          <w:szCs w:val="32"/>
          <w:lang w:val="en-US" w:eastAsia="zh-CN"/>
        </w:rPr>
        <w:t>条，所有绩效指标均通过清晰、可衡量的指标值予以体现，并且做到了与项目目标任务数或计划数相对应。</w:t>
      </w:r>
      <w:bookmarkEnd w:id="12"/>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此项权重分3分，得分3分。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5.预算编制科学性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自治区药品抽检经费项目预算编制经过项目相关科室提供的购置药品检验检测化玻试剂耗材批次、药品监督抽检购样检测批次、药品评价性抽检购样批次</w:t>
      </w:r>
      <w:r>
        <w:rPr>
          <w:rFonts w:hint="eastAsia" w:ascii="仿宋_GB2312" w:hAnsi="仿宋_GB2312" w:cs="仿宋_GB2312"/>
          <w:sz w:val="32"/>
          <w:szCs w:val="32"/>
          <w:lang w:val="en-US" w:eastAsia="zh-CN"/>
        </w:rPr>
        <w:t>、药品评价性抽检检测批次、实验室仪器设备器具检定数量、和验室仪器设备购置数量</w:t>
      </w:r>
      <w:r>
        <w:rPr>
          <w:rFonts w:hint="eastAsia" w:ascii="仿宋_GB2312" w:hAnsi="仿宋_GB2312" w:eastAsia="仿宋_GB2312" w:cs="仿宋_GB2312"/>
          <w:sz w:val="32"/>
          <w:szCs w:val="32"/>
          <w:lang w:val="en-US" w:eastAsia="zh-CN"/>
        </w:rPr>
        <w:t>进行科学测算。预算内容与项目内容匹配，预算额度测算依据充分，按照标准编制；预算确定的项目投资额或资金量与工作任务相匹配。</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此项权重分3分，得分3分。</w:t>
      </w:r>
    </w:p>
    <w:p>
      <w:pPr>
        <w:spacing w:line="560" w:lineRule="exact"/>
        <w:ind w:firstLine="643" w:firstLineChars="200"/>
        <w:rPr>
          <w:rFonts w:hint="eastAsia" w:ascii="Times New Roman" w:hAnsi="Times New Roman" w:eastAsia="仿宋_GB2312" w:cs="Times New Roman"/>
          <w:b/>
          <w:bCs/>
          <w:sz w:val="32"/>
          <w:szCs w:val="32"/>
          <w:highlight w:val="none"/>
          <w:lang w:val="en-US" w:eastAsia="zh-CN"/>
        </w:rPr>
      </w:pPr>
      <w:r>
        <w:rPr>
          <w:rFonts w:hint="eastAsia" w:ascii="Times New Roman" w:hAnsi="Times New Roman" w:eastAsia="仿宋_GB2312" w:cs="Times New Roman"/>
          <w:b/>
          <w:bCs/>
          <w:sz w:val="32"/>
          <w:szCs w:val="32"/>
          <w:highlight w:val="none"/>
          <w:lang w:val="en-US" w:eastAsia="zh-CN"/>
        </w:rPr>
        <w:t>6.资金分配合理性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自治区药品抽检经费项目预算资金分配依据充分，</w:t>
      </w:r>
      <w:r>
        <w:rPr>
          <w:rFonts w:hint="eastAsia" w:ascii="仿宋_GB2312" w:hAnsi="仿宋_GB2312" w:eastAsia="仿宋_GB2312" w:cs="仿宋_GB2312"/>
          <w:sz w:val="32"/>
          <w:szCs w:val="32"/>
          <w:lang w:val="zh-CN" w:eastAsia="zh-CN"/>
        </w:rPr>
        <w:t>4万元用于购置药品对照品</w:t>
      </w:r>
      <w:r>
        <w:rPr>
          <w:rFonts w:hint="eastAsia" w:ascii="仿宋_GB2312" w:hAnsi="仿宋_GB2312" w:cs="仿宋_GB2312"/>
          <w:sz w:val="32"/>
          <w:szCs w:val="32"/>
          <w:lang w:val="zh-CN" w:eastAsia="zh-CN"/>
        </w:rPr>
        <w:t>、</w:t>
      </w:r>
      <w:r>
        <w:rPr>
          <w:rFonts w:hint="eastAsia" w:ascii="仿宋_GB2312" w:hAnsi="仿宋_GB2312" w:eastAsia="仿宋_GB2312" w:cs="仿宋_GB2312"/>
          <w:sz w:val="32"/>
          <w:szCs w:val="32"/>
          <w:lang w:val="zh-CN" w:eastAsia="zh-CN"/>
        </w:rPr>
        <w:t>4.4万元用于购置药品检验检测化玻试剂耗材</w:t>
      </w:r>
      <w:r>
        <w:rPr>
          <w:rFonts w:hint="eastAsia" w:ascii="仿宋_GB2312" w:hAnsi="仿宋_GB2312" w:cs="仿宋_GB2312"/>
          <w:sz w:val="32"/>
          <w:szCs w:val="32"/>
          <w:lang w:val="zh-CN" w:eastAsia="zh-CN"/>
        </w:rPr>
        <w:t>、</w:t>
      </w:r>
      <w:r>
        <w:rPr>
          <w:rFonts w:hint="eastAsia" w:ascii="仿宋_GB2312" w:hAnsi="仿宋_GB2312" w:eastAsia="仿宋_GB2312" w:cs="仿宋_GB2312"/>
          <w:sz w:val="32"/>
          <w:szCs w:val="32"/>
          <w:lang w:val="zh-CN" w:eastAsia="zh-CN"/>
        </w:rPr>
        <w:t>4万元用于药品购样费</w:t>
      </w:r>
      <w:r>
        <w:rPr>
          <w:rFonts w:hint="eastAsia" w:ascii="仿宋_GB2312" w:hAnsi="仿宋_GB2312" w:cs="仿宋_GB2312"/>
          <w:sz w:val="32"/>
          <w:szCs w:val="32"/>
          <w:lang w:val="zh-CN" w:eastAsia="zh-CN"/>
        </w:rPr>
        <w:t>、</w:t>
      </w:r>
      <w:r>
        <w:rPr>
          <w:rFonts w:hint="eastAsia" w:ascii="仿宋_GB2312" w:hAnsi="仿宋_GB2312" w:eastAsia="仿宋_GB2312" w:cs="仿宋_GB2312"/>
          <w:sz w:val="32"/>
          <w:szCs w:val="32"/>
          <w:lang w:val="zh-CN" w:eastAsia="zh-CN"/>
        </w:rPr>
        <w:t>6.6万元用于实验室仪器设备检定费</w:t>
      </w:r>
      <w:r>
        <w:rPr>
          <w:rFonts w:hint="eastAsia" w:ascii="仿宋_GB2312" w:hAnsi="仿宋_GB2312" w:cs="仿宋_GB2312"/>
          <w:sz w:val="32"/>
          <w:szCs w:val="32"/>
          <w:lang w:val="zh-CN" w:eastAsia="zh-CN"/>
        </w:rPr>
        <w:t>、</w:t>
      </w:r>
      <w:r>
        <w:rPr>
          <w:rFonts w:hint="eastAsia" w:ascii="仿宋_GB2312" w:hAnsi="仿宋_GB2312" w:eastAsia="仿宋_GB2312" w:cs="仿宋_GB2312"/>
          <w:sz w:val="32"/>
          <w:szCs w:val="32"/>
          <w:lang w:val="zh-CN" w:eastAsia="zh-CN"/>
        </w:rPr>
        <w:t>4万元用于</w:t>
      </w:r>
      <w:r>
        <w:rPr>
          <w:rFonts w:hint="eastAsia" w:ascii="仿宋_GB2312" w:hAnsi="仿宋_GB2312" w:eastAsia="仿宋_GB2312" w:cs="仿宋_GB2312"/>
          <w:sz w:val="32"/>
          <w:szCs w:val="32"/>
          <w:lang w:val="en-US" w:eastAsia="zh-CN"/>
        </w:rPr>
        <w:t>仪器设备的维护维修</w:t>
      </w:r>
      <w:r>
        <w:rPr>
          <w:rFonts w:hint="eastAsia" w:ascii="仿宋_GB2312" w:hAnsi="仿宋_GB2312" w:cs="仿宋_GB2312"/>
          <w:sz w:val="32"/>
          <w:szCs w:val="32"/>
          <w:lang w:val="zh-CN" w:eastAsia="zh-CN"/>
        </w:rPr>
        <w:t>、</w:t>
      </w:r>
      <w:r>
        <w:rPr>
          <w:rFonts w:hint="eastAsia" w:ascii="仿宋_GB2312" w:hAnsi="仿宋_GB2312" w:eastAsia="仿宋_GB2312" w:cs="仿宋_GB2312"/>
          <w:sz w:val="32"/>
          <w:szCs w:val="32"/>
          <w:lang w:val="zh-CN" w:eastAsia="zh-CN"/>
        </w:rPr>
        <w:t>4.0万元用于</w:t>
      </w:r>
      <w:r>
        <w:rPr>
          <w:rFonts w:hint="eastAsia" w:ascii="仿宋_GB2312" w:hAnsi="仿宋_GB2312" w:eastAsia="仿宋_GB2312" w:cs="仿宋_GB2312"/>
          <w:sz w:val="32"/>
          <w:szCs w:val="32"/>
          <w:lang w:val="en-US" w:eastAsia="zh-CN"/>
        </w:rPr>
        <w:t>药品检验正常运转经费</w:t>
      </w:r>
      <w:r>
        <w:rPr>
          <w:rFonts w:hint="eastAsia" w:ascii="仿宋_GB2312" w:hAnsi="仿宋_GB2312" w:cs="仿宋_GB2312"/>
          <w:sz w:val="32"/>
          <w:szCs w:val="32"/>
          <w:lang w:val="zh-CN" w:eastAsia="zh-CN"/>
        </w:rPr>
        <w:t>、</w:t>
      </w:r>
      <w:r>
        <w:rPr>
          <w:rFonts w:hint="eastAsia" w:ascii="仿宋_GB2312" w:hAnsi="仿宋_GB2312" w:eastAsia="仿宋_GB2312" w:cs="仿宋_GB2312"/>
          <w:sz w:val="32"/>
          <w:szCs w:val="32"/>
          <w:lang w:val="zh-CN" w:eastAsia="zh-CN"/>
        </w:rPr>
        <w:t>32万元用于</w:t>
      </w:r>
      <w:r>
        <w:rPr>
          <w:rFonts w:hint="eastAsia" w:ascii="仿宋_GB2312" w:hAnsi="仿宋_GB2312" w:cs="仿宋_GB2312"/>
          <w:sz w:val="32"/>
          <w:szCs w:val="32"/>
          <w:lang w:val="en-US" w:eastAsia="zh-CN"/>
        </w:rPr>
        <w:t>购置</w:t>
      </w:r>
      <w:r>
        <w:rPr>
          <w:rFonts w:hint="eastAsia" w:ascii="仿宋_GB2312" w:hAnsi="仿宋_GB2312" w:eastAsia="仿宋_GB2312" w:cs="仿宋_GB2312"/>
          <w:sz w:val="32"/>
          <w:szCs w:val="32"/>
          <w:lang w:val="en-US" w:eastAsia="zh-CN"/>
        </w:rPr>
        <w:t>实验室仪器设备</w:t>
      </w:r>
      <w:r>
        <w:rPr>
          <w:rFonts w:hint="eastAsia" w:ascii="仿宋_GB2312" w:hAnsi="仿宋_GB2312" w:eastAsia="仿宋_GB2312" w:cs="仿宋_GB2312"/>
          <w:sz w:val="32"/>
          <w:szCs w:val="32"/>
          <w:lang w:val="zh-CN" w:eastAsia="zh-CN"/>
        </w:rPr>
        <w:t>。</w:t>
      </w:r>
      <w:r>
        <w:rPr>
          <w:rFonts w:hint="eastAsia" w:ascii="仿宋_GB2312" w:hAnsi="仿宋_GB2312" w:eastAsia="仿宋_GB2312" w:cs="仿宋_GB2312"/>
          <w:sz w:val="32"/>
          <w:szCs w:val="32"/>
          <w:lang w:val="en-US" w:eastAsia="zh-CN"/>
        </w:rPr>
        <w:t>资金分配额度合理，与项目单位实际相适应。</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此项权重分3分，得分3分。</w:t>
      </w:r>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13" w:name="_Toc68703839"/>
      <w:r>
        <w:rPr>
          <w:rFonts w:hint="eastAsia" w:ascii="Times New Roman" w:hAnsi="Times New Roman" w:eastAsia="楷体_GB2312" w:cs="Times New Roman"/>
          <w:b/>
          <w:bCs/>
          <w:sz w:val="32"/>
          <w:szCs w:val="32"/>
          <w:lang w:val="en-US" w:eastAsia="zh-CN"/>
        </w:rPr>
        <w:t>（二）项目过程情况</w:t>
      </w:r>
      <w:bookmarkEnd w:id="13"/>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1.资金到位率：</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预算资金</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lang w:val="en-US" w:eastAsia="zh-CN"/>
        </w:rPr>
        <w:t>9万元，实际到位资金</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lang w:val="en-US" w:eastAsia="zh-CN"/>
        </w:rPr>
        <w:t>9万元，资金到位率100%。</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2.预算执行率</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年初预算数</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lang w:val="en-US" w:eastAsia="zh-CN"/>
        </w:rPr>
        <w:t>9万元，全年预算数</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lang w:val="en-US" w:eastAsia="zh-CN"/>
        </w:rPr>
        <w:t>9万元，全年执行数</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lang w:val="en-US" w:eastAsia="zh-CN"/>
        </w:rPr>
        <w:t>9万元，预算执行率为100%。</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3.资金使用合规性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自治区药品抽检经费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4.管理制度健全性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新疆巴州食品药品检验所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5.制度执行有效性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14" w:name="_Toc68703840"/>
      <w:r>
        <w:rPr>
          <w:rFonts w:hint="eastAsia" w:ascii="Times New Roman" w:hAnsi="Times New Roman" w:eastAsia="楷体_GB2312" w:cs="Times New Roman"/>
          <w:b/>
          <w:bCs/>
          <w:sz w:val="32"/>
          <w:szCs w:val="32"/>
          <w:lang w:val="en-US" w:eastAsia="zh-CN"/>
        </w:rPr>
        <w:t>（三）项目产出情况</w:t>
      </w:r>
      <w:bookmarkEnd w:id="14"/>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1.数量指标完成情况：</w:t>
      </w:r>
      <w:r>
        <w:rPr>
          <w:rFonts w:hint="eastAsia" w:ascii="仿宋_GB2312" w:hAnsi="仿宋_GB2312" w:eastAsia="仿宋_GB2312" w:cs="仿宋_GB2312"/>
          <w:sz w:val="32"/>
          <w:szCs w:val="32"/>
          <w:lang w:val="en-US" w:eastAsia="zh-CN"/>
        </w:rPr>
        <w:t>指标1：购置药品对照品，指标值：≥110个，实际完成值128个，指标完成率116.36%，偏差原因：根据检验任务临时增加及实际工作需求，购置药品对照品增加；指标2：购置药品检验检测化玻试剂耗材批次，指标值：≥12批次，实际完成值12批次，指标完成率100%，偏差原因：无；指标3：药品监督抽检购样检测批次，指标值：≥165批次，实际完成值168批次，指标完成率101.82%，偏差原因：根据检验任务临时增加及实际工作需求，药品监督抽检购样检测增加；指标4：药品评价性抽检购样批次，指标值：≥72批次，实际完成值72批次，指标完成率100%，偏差原因：无；指标</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lang w:val="en-US" w:eastAsia="zh-CN"/>
        </w:rPr>
        <w:t>：药品评价性抽检检测批次，指标值：≥84批次，实际完成值84批次，指标完成率100%，偏差原因：无；指标</w:t>
      </w:r>
      <w:r>
        <w:rPr>
          <w:rFonts w:hint="eastAsia" w:ascii="仿宋_GB2312" w:hAnsi="仿宋_GB2312" w:cs="仿宋_GB2312"/>
          <w:sz w:val="32"/>
          <w:szCs w:val="32"/>
          <w:lang w:val="en-US" w:eastAsia="zh-CN"/>
        </w:rPr>
        <w:t>6</w:t>
      </w:r>
      <w:r>
        <w:rPr>
          <w:rFonts w:hint="eastAsia" w:ascii="仿宋_GB2312" w:hAnsi="仿宋_GB2312" w:eastAsia="仿宋_GB2312" w:cs="仿宋_GB2312"/>
          <w:sz w:val="32"/>
          <w:szCs w:val="32"/>
          <w:lang w:val="en-US" w:eastAsia="zh-CN"/>
        </w:rPr>
        <w:t>：实验室仪器设备器具检定数量，指标值：≥100个，实际完成值103个，指标完成率103%，偏差原因：根据实验室实际仪器数量，仪器检定台数增加；指标</w:t>
      </w:r>
      <w:r>
        <w:rPr>
          <w:rFonts w:hint="eastAsia" w:ascii="仿宋_GB2312" w:hAnsi="仿宋_GB2312" w:cs="仿宋_GB2312"/>
          <w:sz w:val="32"/>
          <w:szCs w:val="32"/>
          <w:lang w:val="en-US" w:eastAsia="zh-CN"/>
        </w:rPr>
        <w:t>7</w:t>
      </w:r>
      <w:r>
        <w:rPr>
          <w:rFonts w:hint="eastAsia" w:ascii="仿宋_GB2312" w:hAnsi="仿宋_GB2312" w:eastAsia="仿宋_GB2312" w:cs="仿宋_GB2312"/>
          <w:sz w:val="32"/>
          <w:szCs w:val="32"/>
          <w:lang w:val="en-US" w:eastAsia="zh-CN"/>
        </w:rPr>
        <w:t>：实验室仪器设备购置数量，指标值：≥10台，实际完成值11台，指标完成率110%，偏差原因：根据实际工作量需求，购置设备数量增加。</w:t>
      </w:r>
    </w:p>
    <w:p>
      <w:pPr>
        <w:shd w:val="clea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此项权重分10分，得分10分。</w:t>
      </w:r>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2.质量指标完成情况：</w:t>
      </w:r>
      <w:r>
        <w:rPr>
          <w:rFonts w:hint="eastAsia" w:ascii="仿宋_GB2312" w:hAnsi="仿宋_GB2312" w:eastAsia="仿宋_GB2312" w:cs="仿宋_GB2312"/>
          <w:sz w:val="32"/>
          <w:szCs w:val="32"/>
          <w:lang w:val="en-US" w:eastAsia="zh-CN"/>
        </w:rPr>
        <w:t>指标1：购置药品对照品质量合格率，指标值：=100%，实际完成值100%，指标完成率100%，偏差原因：无；指标2：购置药品检验检测化玻试剂耗材质量合格率，指标值：=100%，实际完成值100%，指标完成率100%，偏差原因：无；指标</w:t>
      </w: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lang w:val="en-US" w:eastAsia="zh-CN"/>
        </w:rPr>
        <w:t>：药品购样检测准确率，指标值：≥98%，实际完成值100%，指标完成率102.04%，偏差原因：药品购样检测均准确，无误差；指标</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lang w:val="en-US" w:eastAsia="zh-CN"/>
        </w:rPr>
        <w:t>：实验室仪器设备检定覆盖率，指标值：≥98%，实际完成值100%，指标完成率102.04%，偏差原因：实验室仪器设备检定全覆盖，无遗漏；指标</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lang w:val="en-US" w:eastAsia="zh-CN"/>
        </w:rPr>
        <w:t>：政府采购率，指标值：=100%，实际完成值100%，指标完成率100%，偏差原因：无；指标</w:t>
      </w:r>
      <w:r>
        <w:rPr>
          <w:rFonts w:hint="eastAsia" w:ascii="仿宋_GB2312" w:hAnsi="仿宋_GB2312" w:cs="仿宋_GB2312"/>
          <w:sz w:val="32"/>
          <w:szCs w:val="32"/>
          <w:lang w:val="en-US" w:eastAsia="zh-CN"/>
        </w:rPr>
        <w:t>6</w:t>
      </w:r>
      <w:r>
        <w:rPr>
          <w:rFonts w:hint="eastAsia" w:ascii="仿宋_GB2312" w:hAnsi="仿宋_GB2312" w:eastAsia="仿宋_GB2312" w:cs="仿宋_GB2312"/>
          <w:sz w:val="32"/>
          <w:szCs w:val="32"/>
          <w:lang w:val="en-US" w:eastAsia="zh-CN"/>
        </w:rPr>
        <w:t>：实验室仪器设备质量合格率，指标值：=100%，实际完成值100%，指标完成率100%，偏差原因：无；指标</w:t>
      </w:r>
      <w:r>
        <w:rPr>
          <w:rFonts w:hint="eastAsia" w:ascii="仿宋_GB2312" w:hAnsi="仿宋_GB2312" w:cs="仿宋_GB2312"/>
          <w:sz w:val="32"/>
          <w:szCs w:val="32"/>
          <w:lang w:val="en-US" w:eastAsia="zh-CN"/>
        </w:rPr>
        <w:t>7</w:t>
      </w:r>
      <w:r>
        <w:rPr>
          <w:rFonts w:hint="eastAsia" w:ascii="仿宋_GB2312" w:hAnsi="仿宋_GB2312" w:eastAsia="仿宋_GB2312" w:cs="仿宋_GB2312"/>
          <w:sz w:val="32"/>
          <w:szCs w:val="32"/>
          <w:lang w:val="en-US" w:eastAsia="zh-CN"/>
        </w:rPr>
        <w:t>：实验室仪器设备验收合格率，指标值：=100%，实际完成值100%，指标完成率100%，偏差原因：无。</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此项权重分10分，得分10分。</w:t>
      </w:r>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3.时效指标完成情况：</w:t>
      </w:r>
      <w:r>
        <w:rPr>
          <w:rFonts w:hint="eastAsia" w:ascii="仿宋_GB2312" w:hAnsi="仿宋_GB2312" w:eastAsia="仿宋_GB2312" w:cs="仿宋_GB2312"/>
          <w:sz w:val="32"/>
          <w:szCs w:val="32"/>
          <w:lang w:val="en-US" w:eastAsia="zh-CN"/>
        </w:rPr>
        <w:t>指标1：购置药品对照品及时率，指标值：≥95%，实际完成值100%，指标完成率105.26%，偏差原因：每次均及时购置药品对照品；指标2：购置药品检验检测化玻试剂及时率，指标值：≥95%，实际完成值100%，指标完成率105.26%，偏差原因：次均及时购置药品检验检测化玻试剂；指标3：实验室仪器设备维修及时率，指标值：≥95%，实际完成值100%，指标完成率105.26%，偏差原因：实验室仪器设备出现故障均及时维修；指标</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lang w:val="en-US" w:eastAsia="zh-CN"/>
        </w:rPr>
        <w:t>：药品购样检测按时完成率，指标值：=100%，实际完成值100%，指标完成率100%，偏差原因：无；指标</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lang w:val="en-US" w:eastAsia="zh-CN"/>
        </w:rPr>
        <w:t>：实验室仪器设备检定按时完成率，指标值：=100%，实际完成值100%，指标完成率100%，偏差原因：无；指标</w:t>
      </w:r>
      <w:r>
        <w:rPr>
          <w:rFonts w:hint="eastAsia" w:ascii="仿宋_GB2312" w:hAnsi="仿宋_GB2312" w:cs="仿宋_GB2312"/>
          <w:sz w:val="32"/>
          <w:szCs w:val="32"/>
          <w:lang w:val="en-US" w:eastAsia="zh-CN"/>
        </w:rPr>
        <w:t>6</w:t>
      </w:r>
      <w:r>
        <w:rPr>
          <w:rFonts w:hint="eastAsia" w:ascii="仿宋_GB2312" w:hAnsi="仿宋_GB2312" w:eastAsia="仿宋_GB2312" w:cs="仿宋_GB2312"/>
          <w:sz w:val="32"/>
          <w:szCs w:val="32"/>
          <w:lang w:val="en-US" w:eastAsia="zh-CN"/>
        </w:rPr>
        <w:t>：实验室仪器设备购置完成时间，指标值：2023年10月31日前，实际完成值2023年10月31日，指标完成率100%，偏差原因：无。</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此项权重分10分，得分10分。</w:t>
      </w:r>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4.经济成本指标完成情况：</w:t>
      </w:r>
      <w:r>
        <w:rPr>
          <w:rFonts w:hint="eastAsia" w:ascii="仿宋_GB2312" w:hAnsi="仿宋_GB2312" w:eastAsia="仿宋_GB2312" w:cs="仿宋_GB2312"/>
          <w:sz w:val="32"/>
          <w:szCs w:val="32"/>
          <w:lang w:val="en-US" w:eastAsia="zh-CN"/>
        </w:rPr>
        <w:t>指标1：购置药品对照品成本，指标值：≤4万元，实际完成值3.94万元，指标完成率98.5%，偏差原因：由于标准品对照品价格存在浮动，导致购置标准品对照品成本与指标值有偏差；指标2：购置药品检验检测化玻试剂耗材成本，指标值：≤4.4万元，实际完成值7.05万元，指标完成率0%，偏差原因：由于检测任务增加，且化玻试剂价格存在浮动，导致购置化玻试剂成本与指标值有偏差；指标3：药品购样费，指标值：≤4万元，实际完成值3.4万元，指标完成率85%，偏差原因：由于样品价格存在浮动，导致购置成本与指标值有偏差；指标4：实验室仪器设备检定费，指标值：≤6.6万元，实际完成6.6万元，指标完成率</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%，偏差原因：</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；指标5：仪器设备的维护维修，指标值：≤4万元，实际完4万元，指标完成率</w:t>
      </w:r>
      <w:r>
        <w:rPr>
          <w:rFonts w:hint="eastAsia" w:ascii="仿宋_GB2312" w:hAnsi="仿宋_GB2312" w:cs="仿宋_GB2312"/>
          <w:sz w:val="32"/>
          <w:szCs w:val="32"/>
          <w:lang w:val="en-US" w:eastAsia="zh-CN"/>
        </w:rPr>
        <w:t>10</w:t>
      </w:r>
      <w:r>
        <w:rPr>
          <w:rFonts w:hint="eastAsia" w:ascii="仿宋_GB2312" w:hAnsi="仿宋_GB2312" w:eastAsia="仿宋_GB2312" w:cs="仿宋_GB2312"/>
          <w:sz w:val="32"/>
          <w:szCs w:val="32"/>
          <w:lang w:val="en-US" w:eastAsia="zh-CN"/>
        </w:rPr>
        <w:t>0%，偏差原因：</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；指标</w:t>
      </w:r>
      <w:r>
        <w:rPr>
          <w:rFonts w:hint="eastAsia" w:ascii="仿宋_GB2312" w:hAnsi="仿宋_GB2312" w:cs="仿宋_GB2312"/>
          <w:sz w:val="32"/>
          <w:szCs w:val="32"/>
          <w:lang w:val="en-US" w:eastAsia="zh-CN"/>
        </w:rPr>
        <w:t>6</w:t>
      </w:r>
      <w:r>
        <w:rPr>
          <w:rFonts w:hint="eastAsia" w:ascii="仿宋_GB2312" w:hAnsi="仿宋_GB2312" w:eastAsia="仿宋_GB2312" w:cs="仿宋_GB2312"/>
          <w:sz w:val="32"/>
          <w:szCs w:val="32"/>
          <w:lang w:val="en-US" w:eastAsia="zh-CN"/>
        </w:rPr>
        <w:t>：药品检验正常运转经费，指标值：≤4.0万元，实际完成4.12万元，指标完成率</w:t>
      </w:r>
      <w:r>
        <w:rPr>
          <w:rFonts w:hint="eastAsia" w:ascii="仿宋_GB2312" w:hAnsi="仿宋_GB2312" w:cs="仿宋_GB2312"/>
          <w:sz w:val="32"/>
          <w:szCs w:val="32"/>
          <w:lang w:val="en-US" w:eastAsia="zh-CN"/>
        </w:rPr>
        <w:t>0%</w:t>
      </w:r>
      <w:r>
        <w:rPr>
          <w:rFonts w:hint="eastAsia" w:ascii="仿宋_GB2312" w:hAnsi="仿宋_GB2312" w:eastAsia="仿宋_GB2312" w:cs="仿宋_GB2312"/>
          <w:sz w:val="32"/>
          <w:szCs w:val="32"/>
          <w:lang w:val="en-US" w:eastAsia="zh-CN"/>
        </w:rPr>
        <w:t>，偏差原因：</w:t>
      </w:r>
      <w:r>
        <w:rPr>
          <w:rFonts w:hint="eastAsia" w:ascii="仿宋_GB2312" w:hAnsi="仿宋_GB2312" w:cs="仿宋_GB2312"/>
          <w:sz w:val="32"/>
          <w:szCs w:val="32"/>
          <w:lang w:val="en-US" w:eastAsia="zh-CN"/>
        </w:rPr>
        <w:t>检验任务增加，日常办公成本增加</w:t>
      </w:r>
      <w:r>
        <w:rPr>
          <w:rFonts w:hint="eastAsia" w:ascii="仿宋_GB2312" w:hAnsi="仿宋_GB2312" w:eastAsia="仿宋_GB2312" w:cs="仿宋_GB2312"/>
          <w:sz w:val="32"/>
          <w:szCs w:val="32"/>
          <w:lang w:val="en-US" w:eastAsia="zh-CN"/>
        </w:rPr>
        <w:t>；指标</w:t>
      </w:r>
      <w:r>
        <w:rPr>
          <w:rFonts w:hint="eastAsia" w:ascii="仿宋_GB2312" w:hAnsi="仿宋_GB2312" w:cs="仿宋_GB2312"/>
          <w:sz w:val="32"/>
          <w:szCs w:val="32"/>
          <w:lang w:val="en-US" w:eastAsia="zh-CN"/>
        </w:rPr>
        <w:t>7</w:t>
      </w:r>
      <w:r>
        <w:rPr>
          <w:rFonts w:hint="eastAsia" w:ascii="仿宋_GB2312" w:hAnsi="仿宋_GB2312" w:eastAsia="仿宋_GB2312" w:cs="仿宋_GB2312"/>
          <w:sz w:val="32"/>
          <w:szCs w:val="32"/>
          <w:lang w:val="en-US" w:eastAsia="zh-CN"/>
        </w:rPr>
        <w:t>：实验室仪器设备成本控制数，指标值：≤32万元，实际完29.89万元，指标完成率</w:t>
      </w:r>
      <w:r>
        <w:rPr>
          <w:rFonts w:hint="eastAsia" w:ascii="仿宋_GB2312" w:hAnsi="仿宋_GB2312" w:cs="仿宋_GB2312"/>
          <w:sz w:val="32"/>
          <w:szCs w:val="32"/>
          <w:lang w:val="en-US" w:eastAsia="zh-CN"/>
        </w:rPr>
        <w:t>93.41%</w:t>
      </w:r>
      <w:r>
        <w:rPr>
          <w:rFonts w:hint="eastAsia" w:ascii="仿宋_GB2312" w:hAnsi="仿宋_GB2312" w:eastAsia="仿宋_GB2312" w:cs="仿宋_GB2312"/>
          <w:sz w:val="32"/>
          <w:szCs w:val="32"/>
          <w:lang w:val="en-US" w:eastAsia="zh-CN"/>
        </w:rPr>
        <w:t>，偏差原因：</w:t>
      </w:r>
      <w:r>
        <w:rPr>
          <w:rFonts w:hint="eastAsia" w:ascii="仿宋_GB2312" w:hAnsi="仿宋_GB2312" w:cs="仿宋_GB2312"/>
          <w:sz w:val="32"/>
          <w:szCs w:val="32"/>
          <w:lang w:val="en-US" w:eastAsia="zh-CN"/>
        </w:rPr>
        <w:t>由于仪器设备价格存在浮动，导致实际支出与指标值有偏差</w:t>
      </w:r>
      <w:r>
        <w:rPr>
          <w:rFonts w:hint="eastAsia" w:ascii="仿宋_GB2312" w:hAnsi="仿宋_GB2312" w:eastAsia="仿宋_GB2312" w:cs="仿宋_GB2312"/>
          <w:sz w:val="32"/>
          <w:szCs w:val="32"/>
          <w:lang w:val="en-US" w:eastAsia="zh-CN"/>
        </w:rPr>
        <w:t>。</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此项权重分10分，得分6.8</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分。</w:t>
      </w:r>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15" w:name="_Toc68703841"/>
      <w:r>
        <w:rPr>
          <w:rFonts w:hint="eastAsia" w:ascii="Times New Roman" w:hAnsi="Times New Roman" w:eastAsia="楷体_GB2312" w:cs="Times New Roman"/>
          <w:b/>
          <w:bCs/>
          <w:sz w:val="32"/>
          <w:szCs w:val="32"/>
          <w:lang w:val="en-US" w:eastAsia="zh-CN"/>
        </w:rPr>
        <w:t>（四）项目效益情况</w:t>
      </w:r>
      <w:bookmarkEnd w:id="15"/>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cs="Times New Roman"/>
          <w:b/>
          <w:bCs/>
          <w:sz w:val="32"/>
          <w:szCs w:val="32"/>
          <w:lang w:val="en-US" w:eastAsia="zh-CN"/>
        </w:rPr>
        <w:t>1</w:t>
      </w:r>
      <w:r>
        <w:rPr>
          <w:rFonts w:hint="eastAsia" w:ascii="Times New Roman" w:hAnsi="Times New Roman" w:eastAsia="仿宋_GB2312" w:cs="Times New Roman"/>
          <w:b/>
          <w:bCs/>
          <w:sz w:val="32"/>
          <w:szCs w:val="32"/>
          <w:lang w:val="en-US" w:eastAsia="zh-CN"/>
        </w:rPr>
        <w:t>.经济效益指标完成情况：</w:t>
      </w:r>
      <w:r>
        <w:rPr>
          <w:rFonts w:hint="eastAsia" w:ascii="仿宋_GB2312" w:hAnsi="仿宋_GB2312" w:eastAsia="仿宋_GB2312" w:cs="仿宋_GB2312"/>
          <w:sz w:val="32"/>
          <w:szCs w:val="32"/>
          <w:lang w:val="en-US" w:eastAsia="zh-CN"/>
        </w:rPr>
        <w:t>指标1：实验室仪器设备利用率，指标值：≥95%，实际完成值100%，指标完成率105.26%，偏差原因：购置的实验室仪器设备均投入使用。</w:t>
      </w:r>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cs="Times New Roman"/>
          <w:b/>
          <w:bCs/>
          <w:sz w:val="32"/>
          <w:szCs w:val="32"/>
          <w:lang w:val="en-US" w:eastAsia="zh-CN"/>
        </w:rPr>
        <w:t>2</w:t>
      </w:r>
      <w:r>
        <w:rPr>
          <w:rFonts w:hint="eastAsia" w:ascii="Times New Roman" w:hAnsi="Times New Roman" w:eastAsia="仿宋_GB2312" w:cs="Times New Roman"/>
          <w:b/>
          <w:bCs/>
          <w:sz w:val="32"/>
          <w:szCs w:val="32"/>
          <w:lang w:val="en-US" w:eastAsia="zh-CN"/>
        </w:rPr>
        <w:t>.社会效益指标完成情况：</w:t>
      </w:r>
      <w:r>
        <w:rPr>
          <w:rFonts w:hint="eastAsia" w:ascii="仿宋_GB2312" w:hAnsi="仿宋_GB2312" w:eastAsia="仿宋_GB2312" w:cs="仿宋_GB2312"/>
          <w:sz w:val="32"/>
          <w:szCs w:val="32"/>
          <w:lang w:val="en-US" w:eastAsia="zh-CN"/>
        </w:rPr>
        <w:t>指标1：假冒伪劣药品制售，指标值：降低，实际完成值达成目标，指标完成率100%，偏差原因：无。</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此项权重分10分，得分10分。</w:t>
      </w:r>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cs="Times New Roman"/>
          <w:b/>
          <w:bCs/>
          <w:sz w:val="32"/>
          <w:szCs w:val="32"/>
          <w:lang w:val="en-US" w:eastAsia="zh-CN"/>
        </w:rPr>
        <w:t>3</w:t>
      </w:r>
      <w:r>
        <w:rPr>
          <w:rFonts w:hint="eastAsia" w:ascii="Times New Roman" w:hAnsi="Times New Roman" w:eastAsia="仿宋_GB2312" w:cs="Times New Roman"/>
          <w:b/>
          <w:bCs/>
          <w:sz w:val="32"/>
          <w:szCs w:val="32"/>
          <w:lang w:val="en-US" w:eastAsia="zh-CN"/>
        </w:rPr>
        <w:t>.满意度指标完成情况分析：</w:t>
      </w:r>
      <w:r>
        <w:rPr>
          <w:rFonts w:hint="eastAsia" w:ascii="仿宋_GB2312" w:hAnsi="仿宋_GB2312" w:eastAsia="仿宋_GB2312" w:cs="仿宋_GB2312"/>
          <w:sz w:val="32"/>
          <w:szCs w:val="32"/>
          <w:lang w:val="en-US" w:eastAsia="zh-CN"/>
        </w:rPr>
        <w:t>指标1：设备使用人员满意度，指标值：≥95%，实际完成值100%</w:t>
      </w:r>
      <w:bookmarkStart w:id="21" w:name="_GoBack"/>
      <w:bookmarkEnd w:id="21"/>
      <w:r>
        <w:rPr>
          <w:rFonts w:hint="eastAsia" w:ascii="仿宋_GB2312" w:hAnsi="仿宋_GB2312" w:eastAsia="仿宋_GB2312" w:cs="仿宋_GB2312"/>
          <w:sz w:val="32"/>
          <w:szCs w:val="32"/>
          <w:lang w:val="en-US" w:eastAsia="zh-CN"/>
        </w:rPr>
        <w:t>，指标完成率105.26%，偏差原因：设备使用过程中使用人员均满意</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lang w:val="en-US" w:eastAsia="zh-CN"/>
        </w:rPr>
        <w:t>指标</w:t>
      </w:r>
      <w:r>
        <w:rPr>
          <w:rFonts w:hint="eastAsia" w:ascii="仿宋_GB2312" w:hAnsi="仿宋_GB2312" w:cs="仿宋_GB2312"/>
          <w:sz w:val="32"/>
          <w:szCs w:val="32"/>
          <w:lang w:val="en-US" w:eastAsia="zh-CN"/>
        </w:rPr>
        <w:t>2</w:t>
      </w:r>
      <w:r>
        <w:rPr>
          <w:rFonts w:hint="eastAsia" w:ascii="仿宋_GB2312" w:hAnsi="仿宋_GB2312" w:eastAsia="仿宋_GB2312" w:cs="仿宋_GB2312"/>
          <w:sz w:val="32"/>
          <w:szCs w:val="32"/>
          <w:lang w:val="en-US" w:eastAsia="zh-CN"/>
        </w:rPr>
        <w:t>：巴州地区公众对药品监管满意度，指标值：≥95%，实际完成值96.67%，指标完成率101.76%，偏差原因：巴州地区公众对药品监管均达到满意。</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此项权重分10分，得分10分。</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sz w:val="32"/>
          <w:szCs w:val="32"/>
          <w:lang w:val="en-US" w:eastAsia="zh-Hans"/>
        </w:rPr>
      </w:pPr>
      <w:bookmarkStart w:id="16" w:name="_Toc68703842"/>
      <w:r>
        <w:rPr>
          <w:rFonts w:hint="eastAsia" w:ascii="宋体" w:hAnsi="宋体" w:eastAsia="宋体" w:cs="Times New Roman"/>
          <w:sz w:val="32"/>
          <w:szCs w:val="32"/>
          <w:lang w:val="en-US" w:eastAsia="zh-Hans"/>
        </w:rPr>
        <w:t>五、预算执行进度与绩效指标总体完成率偏差</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自治区药品抽检经费项目年初预算</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lang w:val="en-US" w:eastAsia="zh-CN"/>
        </w:rPr>
        <w:t>9万元，全年预算</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lang w:val="en-US" w:eastAsia="zh-CN"/>
        </w:rPr>
        <w:t>9万元，实际支出</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lang w:val="en-US" w:eastAsia="zh-CN"/>
        </w:rPr>
        <w:t>9万元，预算执行率为100%，项目绩效指标总体完成率为</w:t>
      </w:r>
      <w:r>
        <w:rPr>
          <w:rFonts w:hint="eastAsia" w:ascii="仿宋_GB2312" w:hAnsi="仿宋_GB2312" w:cs="仿宋_GB2312"/>
          <w:sz w:val="32"/>
          <w:szCs w:val="32"/>
          <w:lang w:val="en-US" w:eastAsia="zh-CN"/>
        </w:rPr>
        <w:t>94.85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Hans"/>
        </w:rPr>
        <w:t>总体</w:t>
      </w:r>
      <w:r>
        <w:rPr>
          <w:rFonts w:hint="eastAsia" w:ascii="仿宋_GB2312" w:hAnsi="仿宋_GB2312" w:eastAsia="仿宋_GB2312" w:cs="仿宋_GB2312"/>
          <w:sz w:val="32"/>
          <w:szCs w:val="32"/>
          <w:lang w:val="en-US" w:eastAsia="zh-CN"/>
        </w:rPr>
        <w:t>偏差率为</w:t>
      </w:r>
      <w:r>
        <w:rPr>
          <w:rFonts w:hint="eastAsia" w:ascii="仿宋_GB2312" w:hAnsi="仿宋_GB2312" w:cs="仿宋_GB2312"/>
          <w:sz w:val="32"/>
          <w:szCs w:val="32"/>
          <w:lang w:val="en-US" w:eastAsia="zh-CN"/>
        </w:rPr>
        <w:t>5.15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Hans"/>
        </w:rPr>
        <w:t>偏差</w:t>
      </w:r>
      <w:r>
        <w:rPr>
          <w:rFonts w:hint="eastAsia" w:ascii="仿宋_GB2312" w:hAnsi="仿宋_GB2312" w:eastAsia="仿宋_GB2312" w:cs="仿宋_GB2312"/>
          <w:sz w:val="32"/>
          <w:szCs w:val="32"/>
          <w:lang w:val="en-US" w:eastAsia="zh-CN"/>
        </w:rPr>
        <w:t>原因一是由于检测任务增加，且化玻试剂价格存在浮动，导致购置化玻试剂成本超出指标值，完成率为0%，导致项目绩效指标总体完成率下降。</w:t>
      </w:r>
      <w:r>
        <w:rPr>
          <w:rFonts w:hint="eastAsia" w:ascii="仿宋_GB2312" w:hAnsi="仿宋_GB2312" w:eastAsia="仿宋_GB2312" w:cs="仿宋_GB2312"/>
          <w:sz w:val="32"/>
          <w:szCs w:val="32"/>
          <w:lang w:val="en-US" w:eastAsia="zh-Hans"/>
        </w:rPr>
        <w:t>改进</w:t>
      </w:r>
      <w:r>
        <w:rPr>
          <w:rFonts w:hint="eastAsia" w:ascii="仿宋_GB2312" w:hAnsi="仿宋_GB2312" w:eastAsia="仿宋_GB2312" w:cs="仿宋_GB2312"/>
          <w:sz w:val="32"/>
          <w:szCs w:val="32"/>
          <w:lang w:val="en-US" w:eastAsia="zh-CN"/>
        </w:rPr>
        <w:t>措施加强预算编制严谨性，进一步提高</w:t>
      </w:r>
      <w:r>
        <w:rPr>
          <w:rFonts w:hint="eastAsia" w:ascii="仿宋_GB2312" w:hAnsi="仿宋_GB2312" w:cs="仿宋_GB2312"/>
          <w:sz w:val="32"/>
          <w:szCs w:val="32"/>
          <w:lang w:val="en-US" w:eastAsia="zh-CN"/>
        </w:rPr>
        <w:t>项目指标设置</w:t>
      </w:r>
      <w:r>
        <w:rPr>
          <w:rFonts w:hint="eastAsia" w:ascii="仿宋_GB2312" w:hAnsi="仿宋_GB2312" w:eastAsia="仿宋_GB2312" w:cs="仿宋_GB2312"/>
          <w:sz w:val="32"/>
          <w:szCs w:val="32"/>
          <w:lang w:val="en-US" w:eastAsia="zh-CN"/>
        </w:rPr>
        <w:t>的准确性，加强各科室间项目实施的衔接，对本单位当年度的工作开展做到心中有数，统筹安排，精准安排预算，避免项目实施偏差过大。</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17" w:name="_Toc68703843"/>
      <w:r>
        <w:rPr>
          <w:rFonts w:hint="eastAsia" w:ascii="Times New Roman" w:hAnsi="Times New Roman" w:eastAsia="楷体_GB2312" w:cs="Times New Roman"/>
          <w:b/>
          <w:bCs/>
          <w:sz w:val="32"/>
          <w:szCs w:val="32"/>
          <w:lang w:val="en-US" w:eastAsia="zh-CN"/>
        </w:rPr>
        <w:t>（一）主要经验及做法</w:t>
      </w:r>
      <w:bookmarkEnd w:id="17"/>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实施过程中做好定期监督检查，严格按照项目管理规范进行，在项目资金使用过程中，严格落实把关。在监督环节上，实行关口前移，从事后监督管理转向事前审核，形成多环节全过程的监督管理格局，尽量早发现问题，早解决问题。</w:t>
      </w:r>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18" w:name="_Toc68703844"/>
      <w:r>
        <w:rPr>
          <w:rFonts w:hint="eastAsia" w:ascii="Times New Roman" w:hAnsi="Times New Roman" w:eastAsia="楷体_GB2312" w:cs="Times New Roman"/>
          <w:b/>
          <w:bCs/>
          <w:sz w:val="32"/>
          <w:szCs w:val="32"/>
          <w:lang w:val="en-US" w:eastAsia="zh-CN"/>
        </w:rPr>
        <w:t>（二）存在的问题及原因分析</w:t>
      </w:r>
      <w:bookmarkEnd w:id="18"/>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存在的主要问题：</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实际购置药品对照品、药品监督抽检购样检测批次</w:t>
      </w:r>
      <w:r>
        <w:rPr>
          <w:rFonts w:hint="eastAsia" w:ascii="仿宋_GB2312" w:hAnsi="仿宋_GB2312" w:cs="仿宋_GB2312"/>
          <w:sz w:val="32"/>
          <w:szCs w:val="32"/>
          <w:lang w:val="en-US" w:eastAsia="zh-CN"/>
        </w:rPr>
        <w:t>、实验室仪器设备器具检定数量、实验室仪器设备购置数量、</w:t>
      </w:r>
      <w:r>
        <w:rPr>
          <w:rFonts w:hint="eastAsia" w:ascii="仿宋_GB2312" w:hAnsi="仿宋_GB2312" w:eastAsia="仿宋_GB2312" w:cs="仿宋_GB2312"/>
          <w:sz w:val="32"/>
          <w:szCs w:val="32"/>
          <w:lang w:val="en-US" w:eastAsia="zh-CN"/>
        </w:rPr>
        <w:t>购置药品检验检测化玻试剂耗材成本</w:t>
      </w:r>
      <w:r>
        <w:rPr>
          <w:rFonts w:hint="eastAsia" w:ascii="仿宋_GB2312" w:hAnsi="仿宋_GB2312" w:cs="仿宋_GB2312"/>
          <w:sz w:val="32"/>
          <w:szCs w:val="32"/>
          <w:lang w:val="en-US" w:eastAsia="zh-CN"/>
        </w:rPr>
        <w:t>、药品检验正常运转经费</w:t>
      </w:r>
      <w:r>
        <w:rPr>
          <w:rFonts w:hint="eastAsia" w:ascii="仿宋_GB2312" w:hAnsi="仿宋_GB2312" w:eastAsia="仿宋_GB2312" w:cs="仿宋_GB2312"/>
          <w:sz w:val="32"/>
          <w:szCs w:val="32"/>
          <w:lang w:val="en-US" w:eastAsia="zh-CN"/>
        </w:rPr>
        <w:t>与年初设置指标值存在偏差，不能很好的按照年初制定的指标值去完成。</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原因分析：</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一是指标值</w:t>
      </w:r>
      <w:r>
        <w:rPr>
          <w:rFonts w:hint="eastAsia" w:ascii="仿宋_GB2312" w:hAnsi="仿宋_GB2312" w:cs="仿宋_GB2312"/>
          <w:sz w:val="32"/>
          <w:szCs w:val="32"/>
          <w:lang w:val="en-US" w:eastAsia="zh-CN"/>
        </w:rPr>
        <w:t>是根据单位年度工作计划和自治区药监局下达的药品检验任务来设置</w:t>
      </w:r>
      <w:r>
        <w:rPr>
          <w:rFonts w:hint="eastAsia" w:ascii="仿宋_GB2312" w:hAnsi="仿宋_GB2312" w:eastAsia="仿宋_GB2312" w:cs="仿宋_GB2312"/>
          <w:sz w:val="32"/>
          <w:szCs w:val="32"/>
          <w:lang w:val="en-US" w:eastAsia="zh-CN"/>
        </w:rPr>
        <w:t>，但</w:t>
      </w:r>
      <w:r>
        <w:rPr>
          <w:rFonts w:hint="eastAsia" w:ascii="仿宋_GB2312" w:hAnsi="仿宋_GB2312" w:cs="仿宋_GB2312"/>
          <w:sz w:val="32"/>
          <w:szCs w:val="32"/>
          <w:lang w:val="en-US" w:eastAsia="zh-CN"/>
        </w:rPr>
        <w:t>实施过程中根据检验任务临时增加及实际工作需求，完成情况存在变动</w:t>
      </w:r>
      <w:r>
        <w:rPr>
          <w:rFonts w:hint="eastAsia" w:ascii="仿宋_GB2312" w:hAnsi="仿宋_GB2312" w:eastAsia="仿宋_GB2312" w:cs="仿宋_GB2312"/>
          <w:sz w:val="32"/>
          <w:szCs w:val="32"/>
          <w:lang w:val="en-US" w:eastAsia="zh-CN"/>
        </w:rPr>
        <w:t>；二是由于标准品对照品价格</w:t>
      </w:r>
      <w:r>
        <w:rPr>
          <w:rFonts w:hint="eastAsia" w:ascii="仿宋_GB2312" w:hAnsi="仿宋_GB2312" w:cs="仿宋_GB2312"/>
          <w:sz w:val="32"/>
          <w:szCs w:val="32"/>
          <w:lang w:val="en-US" w:eastAsia="zh-CN"/>
        </w:rPr>
        <w:t>、玻试剂价格、仪器设备价格等</w:t>
      </w:r>
      <w:r>
        <w:rPr>
          <w:rFonts w:hint="eastAsia" w:ascii="仿宋_GB2312" w:hAnsi="仿宋_GB2312" w:eastAsia="仿宋_GB2312" w:cs="仿宋_GB2312"/>
          <w:sz w:val="32"/>
          <w:szCs w:val="32"/>
          <w:lang w:val="en-US" w:eastAsia="zh-CN"/>
        </w:rPr>
        <w:t>存在浮动，导致购置标准品对照品成本与指标值有偏差。</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sz w:val="32"/>
          <w:szCs w:val="32"/>
          <w:lang w:val="en-US" w:eastAsia="zh-CN"/>
        </w:rPr>
      </w:pPr>
      <w:bookmarkStart w:id="19" w:name="_Toc68703845"/>
      <w:r>
        <w:rPr>
          <w:rFonts w:hint="eastAsia" w:ascii="宋体" w:hAnsi="宋体" w:eastAsia="宋体" w:cs="Times New Roman"/>
          <w:sz w:val="32"/>
          <w:szCs w:val="32"/>
          <w:lang w:val="en-US" w:eastAsia="zh-CN"/>
        </w:rPr>
        <w:t>七、有关建议</w:t>
      </w:r>
      <w:bookmarkEnd w:id="19"/>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项目计划的实施具有不可预测性，单位及时调整计划，并调整资金使用方向，按照正规的审批流程科学、合理的使用资金。不断完善支出结构，优化资金使用率，进一步完善项目预算管理体制。</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pPr>
    </w:p>
    <w:p>
      <w:pPr>
        <w:pageBreakBefore w:val="0"/>
        <w:kinsoku/>
        <w:wordWrap/>
        <w:overflowPunct/>
        <w:topLinePunct w:val="0"/>
        <w:autoSpaceDE/>
        <w:autoSpaceDN/>
        <w:bidi w:val="0"/>
        <w:adjustRightInd/>
        <w:snapToGrid/>
        <w:spacing w:line="560" w:lineRule="exact"/>
        <w:ind w:firstLine="600" w:firstLineChars="200"/>
        <w:textAlignment w:val="auto"/>
        <w:sectPr>
          <w:pgSz w:w="11906" w:h="16838"/>
          <w:pgMar w:top="1928" w:right="1531" w:bottom="1701" w:left="1531" w:header="737" w:footer="851" w:gutter="0"/>
          <w:cols w:space="720" w:num="1"/>
          <w:docGrid w:type="lines" w:linePitch="408" w:charSpace="0"/>
        </w:sectPr>
      </w:pPr>
    </w:p>
    <w:p>
      <w:pPr>
        <w:pStyle w:val="2"/>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w:t>
      </w:r>
    </w:p>
    <w:tbl>
      <w:tblPr>
        <w:tblStyle w:val="11"/>
        <w:tblW w:w="5458" w:type="pct"/>
        <w:tblInd w:w="-5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02"/>
        <w:gridCol w:w="843"/>
        <w:gridCol w:w="776"/>
        <w:gridCol w:w="3522"/>
        <w:gridCol w:w="7014"/>
        <w:gridCol w:w="877"/>
        <w:gridCol w:w="8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自治区药品抽检经费项目支出绩效评价指标体系框架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8" w:hRule="atLeast"/>
        </w:trPr>
        <w:tc>
          <w:tcPr>
            <w:tcW w:w="274"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一级指标</w:t>
            </w:r>
          </w:p>
        </w:tc>
        <w:tc>
          <w:tcPr>
            <w:tcW w:w="288" w:type="pct"/>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二级指标</w:t>
            </w:r>
          </w:p>
        </w:tc>
        <w:tc>
          <w:tcPr>
            <w:tcW w:w="265" w:type="pct"/>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三级指标</w:t>
            </w:r>
          </w:p>
        </w:tc>
        <w:tc>
          <w:tcPr>
            <w:tcW w:w="1202" w:type="pct"/>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指标解释</w:t>
            </w:r>
          </w:p>
        </w:tc>
        <w:tc>
          <w:tcPr>
            <w:tcW w:w="2393" w:type="pct"/>
            <w:tcBorders>
              <w:top w:val="single" w:color="000000" w:sz="8" w:space="0"/>
              <w:left w:val="nil"/>
              <w:bottom w:val="single" w:color="000000" w:sz="8"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指标说明</w:t>
            </w:r>
          </w:p>
        </w:tc>
        <w:tc>
          <w:tcPr>
            <w:tcW w:w="298" w:type="pct"/>
            <w:tcBorders>
              <w:top w:val="single" w:color="000000" w:sz="8" w:space="0"/>
              <w:left w:val="single" w:color="000000" w:sz="8" w:space="0"/>
              <w:bottom w:val="nil"/>
              <w:right w:val="single" w:color="000000" w:sz="8" w:space="0"/>
            </w:tcBorders>
            <w:shd w:val="clear" w:color="auto" w:fill="auto"/>
            <w:noWrap/>
            <w:vAlign w:val="center"/>
          </w:tcPr>
          <w:p>
            <w:pPr>
              <w:keepNext w:val="0"/>
              <w:keepLines w:val="0"/>
              <w:widowControl/>
              <w:suppressLineNumbers w:val="0"/>
              <w:jc w:val="left"/>
              <w:textAlignment w:val="center"/>
              <w:rPr>
                <w:rFonts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权重分</w:t>
            </w:r>
          </w:p>
        </w:tc>
        <w:tc>
          <w:tcPr>
            <w:tcW w:w="276" w:type="pct"/>
            <w:tcBorders>
              <w:top w:val="single" w:color="000000" w:sz="8" w:space="0"/>
              <w:left w:val="nil"/>
              <w:bottom w:val="nil"/>
              <w:right w:val="single" w:color="000000" w:sz="8"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决策　</w:t>
            </w:r>
          </w:p>
        </w:tc>
        <w:tc>
          <w:tcPr>
            <w:tcW w:w="288"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项目立项　</w:t>
            </w:r>
          </w:p>
        </w:tc>
        <w:tc>
          <w:tcPr>
            <w:tcW w:w="265"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立项依据充分性</w:t>
            </w:r>
          </w:p>
        </w:tc>
        <w:tc>
          <w:tcPr>
            <w:tcW w:w="1202"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项目立项是否符合法律法规、相关政策、发展规划以及部门职责，用以反映和考核项目立项依据情况。</w:t>
            </w:r>
          </w:p>
        </w:tc>
        <w:tc>
          <w:tcPr>
            <w:tcW w:w="2393"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298" w:type="pct"/>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c>
          <w:tcPr>
            <w:tcW w:w="276" w:type="pct"/>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①项目立项是否符合国家法律法规、国民经济发展规划和相关政策；</w:t>
            </w:r>
          </w:p>
        </w:tc>
        <w:tc>
          <w:tcPr>
            <w:tcW w:w="298"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②项目立项是否符合行业发展规划和政策要求；</w:t>
            </w:r>
          </w:p>
        </w:tc>
        <w:tc>
          <w:tcPr>
            <w:tcW w:w="298"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③项目立项是否与部门职责范围相符，属于部门履职所需；</w:t>
            </w:r>
          </w:p>
        </w:tc>
        <w:tc>
          <w:tcPr>
            <w:tcW w:w="298"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④项目是否属于公共财政支持范围，是否符合中央、地方事权支出责任划分原则；</w:t>
            </w:r>
          </w:p>
        </w:tc>
        <w:tc>
          <w:tcPr>
            <w:tcW w:w="298"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single" w:color="000000" w:sz="8"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⑤项目是否与相关部门同类项目或部门内部相关项目重复。</w:t>
            </w:r>
          </w:p>
        </w:tc>
        <w:tc>
          <w:tcPr>
            <w:tcW w:w="298"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立项程序规范性</w:t>
            </w:r>
          </w:p>
        </w:tc>
        <w:tc>
          <w:tcPr>
            <w:tcW w:w="1202"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项目申请、设立过程是否符合相关要求，用以反映和考核项目立项的规范情况。</w:t>
            </w:r>
          </w:p>
        </w:tc>
        <w:tc>
          <w:tcPr>
            <w:tcW w:w="2393"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298" w:type="pct"/>
            <w:vMerge w:val="restart"/>
            <w:tcBorders>
              <w:top w:val="nil"/>
              <w:left w:val="single" w:color="000000" w:sz="8" w:space="0"/>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c>
          <w:tcPr>
            <w:tcW w:w="276" w:type="pct"/>
            <w:vMerge w:val="restart"/>
            <w:tcBorders>
              <w:top w:val="nil"/>
              <w:left w:val="single" w:color="000000" w:sz="8" w:space="0"/>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①项目是否按照规定的程序申请设立；</w:t>
            </w:r>
          </w:p>
        </w:tc>
        <w:tc>
          <w:tcPr>
            <w:tcW w:w="298"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②审批文件、材料是否符合相关要求；</w:t>
            </w:r>
          </w:p>
        </w:tc>
        <w:tc>
          <w:tcPr>
            <w:tcW w:w="298"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single" w:color="000000" w:sz="8"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③事前是否已经过必要的可行性研究、专家论证、风险评估、绩效评估、集体决策。</w:t>
            </w:r>
          </w:p>
        </w:tc>
        <w:tc>
          <w:tcPr>
            <w:tcW w:w="298"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　</w:t>
            </w:r>
          </w:p>
        </w:tc>
        <w:tc>
          <w:tcPr>
            <w:tcW w:w="265"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绩效目标合理性</w:t>
            </w:r>
          </w:p>
        </w:tc>
        <w:tc>
          <w:tcPr>
            <w:tcW w:w="1202"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项目所设定的绩效目标是否依据充分，是否符合客观实际，用以反映和考核项目绩效目标与项目实施的相符情况。</w:t>
            </w:r>
          </w:p>
        </w:tc>
        <w:tc>
          <w:tcPr>
            <w:tcW w:w="2393"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298" w:type="pct"/>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c>
          <w:tcPr>
            <w:tcW w:w="276" w:type="pct"/>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（如未设定预算绩效目标，也可考核其他工作任务目标）</w:t>
            </w:r>
          </w:p>
        </w:tc>
        <w:tc>
          <w:tcPr>
            <w:tcW w:w="298"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①项目是否有绩效目标；</w:t>
            </w:r>
          </w:p>
        </w:tc>
        <w:tc>
          <w:tcPr>
            <w:tcW w:w="298"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②项目绩效目标与实际工作内容是否具有相关性；</w:t>
            </w:r>
          </w:p>
        </w:tc>
        <w:tc>
          <w:tcPr>
            <w:tcW w:w="298"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③项目预期产出效益和效果是否符合正常的业绩水平；</w:t>
            </w:r>
          </w:p>
        </w:tc>
        <w:tc>
          <w:tcPr>
            <w:tcW w:w="298"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single" w:color="000000" w:sz="8"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④是否与预算确定的项目投资额或资金量相匹配。</w:t>
            </w:r>
          </w:p>
        </w:tc>
        <w:tc>
          <w:tcPr>
            <w:tcW w:w="298"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w:t>
            </w:r>
          </w:p>
        </w:tc>
        <w:tc>
          <w:tcPr>
            <w:tcW w:w="265"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绩效指标明确性</w:t>
            </w:r>
          </w:p>
        </w:tc>
        <w:tc>
          <w:tcPr>
            <w:tcW w:w="1202"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依据绩效目标设定的绩效指标是否清晰、细化、可衡量等，用以反映和考核项目绩效目标的明细化情况。</w:t>
            </w:r>
          </w:p>
        </w:tc>
        <w:tc>
          <w:tcPr>
            <w:tcW w:w="2393"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298" w:type="pct"/>
            <w:vMerge w:val="restart"/>
            <w:tcBorders>
              <w:top w:val="nil"/>
              <w:left w:val="single" w:color="000000" w:sz="8" w:space="0"/>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c>
          <w:tcPr>
            <w:tcW w:w="276" w:type="pct"/>
            <w:vMerge w:val="restart"/>
            <w:tcBorders>
              <w:top w:val="nil"/>
              <w:left w:val="single" w:color="000000" w:sz="8" w:space="0"/>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①是否将项目绩效目标细化分解为具体的绩效指标；</w:t>
            </w:r>
          </w:p>
        </w:tc>
        <w:tc>
          <w:tcPr>
            <w:tcW w:w="298"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②是否通过清晰、可衡量的指标值予以体现；</w:t>
            </w:r>
          </w:p>
        </w:tc>
        <w:tc>
          <w:tcPr>
            <w:tcW w:w="298"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③是否与项目目标任务数或计划数相对应。</w:t>
            </w:r>
          </w:p>
        </w:tc>
        <w:tc>
          <w:tcPr>
            <w:tcW w:w="298"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资金投入</w:t>
            </w:r>
          </w:p>
        </w:tc>
        <w:tc>
          <w:tcPr>
            <w:tcW w:w="265"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预算编制科学性</w:t>
            </w:r>
          </w:p>
        </w:tc>
        <w:tc>
          <w:tcPr>
            <w:tcW w:w="1202"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项目预算编制是否经过科学论证、有明确标准，资金额度与年度目标是否相适应，用以反映和考核项目预算编制的科学性、合理性情况。</w:t>
            </w:r>
          </w:p>
        </w:tc>
        <w:tc>
          <w:tcPr>
            <w:tcW w:w="2393"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298" w:type="pct"/>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c>
          <w:tcPr>
            <w:tcW w:w="276" w:type="pct"/>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①预算编制是否经过科学论证；</w:t>
            </w:r>
          </w:p>
        </w:tc>
        <w:tc>
          <w:tcPr>
            <w:tcW w:w="298"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②预算内容与项目内容是否匹配；</w:t>
            </w:r>
          </w:p>
        </w:tc>
        <w:tc>
          <w:tcPr>
            <w:tcW w:w="298"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③预算额度测算依据是否充分，是否按照标准编制；</w:t>
            </w:r>
          </w:p>
        </w:tc>
        <w:tc>
          <w:tcPr>
            <w:tcW w:w="298"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④预算确定的项目投资额或资金量是否与工作任务相匹配。</w:t>
            </w:r>
          </w:p>
        </w:tc>
        <w:tc>
          <w:tcPr>
            <w:tcW w:w="298"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资金分配合理性</w:t>
            </w:r>
          </w:p>
        </w:tc>
        <w:tc>
          <w:tcPr>
            <w:tcW w:w="1202"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项目预算资金分配是否有测算依据，与补助单位或地方实际是否相适应，用以反映和考核项目预算资金分配的科学性、合理性情况。</w:t>
            </w:r>
          </w:p>
        </w:tc>
        <w:tc>
          <w:tcPr>
            <w:tcW w:w="2393"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298" w:type="pct"/>
            <w:vMerge w:val="restart"/>
            <w:tcBorders>
              <w:top w:val="nil"/>
              <w:left w:val="single" w:color="000000" w:sz="8" w:space="0"/>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c>
          <w:tcPr>
            <w:tcW w:w="276" w:type="pct"/>
            <w:vMerge w:val="restart"/>
            <w:tcBorders>
              <w:top w:val="nil"/>
              <w:left w:val="single" w:color="000000" w:sz="8" w:space="0"/>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①预算资金分配依据是否充分；</w:t>
            </w:r>
          </w:p>
        </w:tc>
        <w:tc>
          <w:tcPr>
            <w:tcW w:w="298"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②资金分配额度是否合理，与项目单位或地方实际是否相适应。</w:t>
            </w:r>
          </w:p>
        </w:tc>
        <w:tc>
          <w:tcPr>
            <w:tcW w:w="298"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过程</w:t>
            </w:r>
          </w:p>
        </w:tc>
        <w:tc>
          <w:tcPr>
            <w:tcW w:w="288"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资金管理</w:t>
            </w:r>
          </w:p>
        </w:tc>
        <w:tc>
          <w:tcPr>
            <w:tcW w:w="265"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资金到位率</w:t>
            </w:r>
          </w:p>
        </w:tc>
        <w:tc>
          <w:tcPr>
            <w:tcW w:w="1202"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实际到位资金与预算资金的比率，用以反映和考核资金落实情况对项目实施的总体保障程度。</w:t>
            </w:r>
          </w:p>
        </w:tc>
        <w:tc>
          <w:tcPr>
            <w:tcW w:w="2393"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资金到位率=（实际到位资金/预算资金）×100%。</w:t>
            </w:r>
          </w:p>
        </w:tc>
        <w:tc>
          <w:tcPr>
            <w:tcW w:w="298" w:type="pct"/>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c>
          <w:tcPr>
            <w:tcW w:w="276" w:type="pct"/>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实际到位资金：一定时期（本年度或项目期）内落实到具体项目的资金。</w:t>
            </w:r>
          </w:p>
        </w:tc>
        <w:tc>
          <w:tcPr>
            <w:tcW w:w="298"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预算资金：一定时期（本年度或项目期）内预算安排到具体项目的资金。</w:t>
            </w:r>
          </w:p>
        </w:tc>
        <w:tc>
          <w:tcPr>
            <w:tcW w:w="298"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预算执行率</w:t>
            </w:r>
          </w:p>
        </w:tc>
        <w:tc>
          <w:tcPr>
            <w:tcW w:w="1202"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项目预算资金是否按照计划执行，用以反映或考核项目预算执行情况。</w:t>
            </w:r>
          </w:p>
        </w:tc>
        <w:tc>
          <w:tcPr>
            <w:tcW w:w="2393"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预算执行率=（实际支出资金/实际到位资金）×100%。</w:t>
            </w:r>
          </w:p>
        </w:tc>
        <w:tc>
          <w:tcPr>
            <w:tcW w:w="298" w:type="pct"/>
            <w:vMerge w:val="restart"/>
            <w:tcBorders>
              <w:top w:val="nil"/>
              <w:left w:val="single" w:color="000000" w:sz="8" w:space="0"/>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c>
          <w:tcPr>
            <w:tcW w:w="276" w:type="pct"/>
            <w:vMerge w:val="restart"/>
            <w:tcBorders>
              <w:top w:val="nil"/>
              <w:left w:val="single" w:color="000000" w:sz="8" w:space="0"/>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实际支出资金：一定时期（本年度或项目期）内项目实际拨付的资金。</w:t>
            </w:r>
          </w:p>
        </w:tc>
        <w:tc>
          <w:tcPr>
            <w:tcW w:w="298"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资金管理</w:t>
            </w:r>
          </w:p>
        </w:tc>
        <w:tc>
          <w:tcPr>
            <w:tcW w:w="265"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资金使用合规性</w:t>
            </w:r>
          </w:p>
        </w:tc>
        <w:tc>
          <w:tcPr>
            <w:tcW w:w="1202"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项目资金使用是否符合相关的财务管理制度规定，用以反映和考核项目资金的规范运行情况。</w:t>
            </w:r>
          </w:p>
        </w:tc>
        <w:tc>
          <w:tcPr>
            <w:tcW w:w="2393"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298" w:type="pct"/>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c>
          <w:tcPr>
            <w:tcW w:w="276" w:type="pct"/>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①是否符合国家财经法规和财务管理制度以及有关专项资金管理办法的规定；</w:t>
            </w:r>
          </w:p>
        </w:tc>
        <w:tc>
          <w:tcPr>
            <w:tcW w:w="298"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②资金的拨付是否有完整的审批程序和手续；</w:t>
            </w:r>
          </w:p>
        </w:tc>
        <w:tc>
          <w:tcPr>
            <w:tcW w:w="298"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③是否符合项目预算批复或合同规定的用途；</w:t>
            </w:r>
          </w:p>
        </w:tc>
        <w:tc>
          <w:tcPr>
            <w:tcW w:w="298"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④是否存在截留、挤占、挪用、虚列支出等情况。</w:t>
            </w:r>
          </w:p>
        </w:tc>
        <w:tc>
          <w:tcPr>
            <w:tcW w:w="298"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组织实施</w:t>
            </w:r>
          </w:p>
        </w:tc>
        <w:tc>
          <w:tcPr>
            <w:tcW w:w="265"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管理制度健全性</w:t>
            </w:r>
          </w:p>
        </w:tc>
        <w:tc>
          <w:tcPr>
            <w:tcW w:w="1202"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项目实施单位的财务和业务管理制度是否健全，用以反映和考核财务和业务管理制度对项目顺利实施的保障情况。</w:t>
            </w:r>
          </w:p>
        </w:tc>
        <w:tc>
          <w:tcPr>
            <w:tcW w:w="2393"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298" w:type="pct"/>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c>
          <w:tcPr>
            <w:tcW w:w="276" w:type="pct"/>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①是否已制定或具有相应的财务和业务管理制度；</w:t>
            </w:r>
          </w:p>
        </w:tc>
        <w:tc>
          <w:tcPr>
            <w:tcW w:w="298"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②财务和业务管理制度是否合法、合规、完整。</w:t>
            </w:r>
          </w:p>
        </w:tc>
        <w:tc>
          <w:tcPr>
            <w:tcW w:w="298"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制度执行有效性</w:t>
            </w:r>
          </w:p>
        </w:tc>
        <w:tc>
          <w:tcPr>
            <w:tcW w:w="1202"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项目实施是否符合相关管理规定，用以反映和考核相关管理制度的有效执行情况。</w:t>
            </w:r>
          </w:p>
        </w:tc>
        <w:tc>
          <w:tcPr>
            <w:tcW w:w="2393"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298" w:type="pct"/>
            <w:vMerge w:val="restart"/>
            <w:tcBorders>
              <w:top w:val="nil"/>
              <w:left w:val="single" w:color="000000" w:sz="8" w:space="0"/>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c>
          <w:tcPr>
            <w:tcW w:w="276" w:type="pct"/>
            <w:vMerge w:val="restart"/>
            <w:tcBorders>
              <w:top w:val="nil"/>
              <w:left w:val="single" w:color="000000" w:sz="8" w:space="0"/>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①是否遵守相关法律法规和相关管理规定；</w:t>
            </w:r>
          </w:p>
        </w:tc>
        <w:tc>
          <w:tcPr>
            <w:tcW w:w="298"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②项目调整及支出调整手续是否完备；</w:t>
            </w:r>
          </w:p>
        </w:tc>
        <w:tc>
          <w:tcPr>
            <w:tcW w:w="298"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③项目合同书、验收报告、技术鉴定等资料是否齐全并及时归档；</w:t>
            </w:r>
          </w:p>
        </w:tc>
        <w:tc>
          <w:tcPr>
            <w:tcW w:w="298"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④项目实施的人员条件、场地设备、信息支撑等是否落实到位。</w:t>
            </w:r>
          </w:p>
        </w:tc>
        <w:tc>
          <w:tcPr>
            <w:tcW w:w="298"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w:t>
            </w:r>
          </w:p>
        </w:tc>
        <w:tc>
          <w:tcPr>
            <w:tcW w:w="288"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产出数量</w:t>
            </w:r>
          </w:p>
        </w:tc>
        <w:tc>
          <w:tcPr>
            <w:tcW w:w="265"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实际完成率</w:t>
            </w:r>
          </w:p>
        </w:tc>
        <w:tc>
          <w:tcPr>
            <w:tcW w:w="1202"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项目实施的实际产出数与计划产出数的比率，用以反映和考核项目产出数量目标的实现程度。</w:t>
            </w:r>
          </w:p>
        </w:tc>
        <w:tc>
          <w:tcPr>
            <w:tcW w:w="2393"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实际完成率=（实际产出数/计划产出数）×100%。</w:t>
            </w:r>
          </w:p>
        </w:tc>
        <w:tc>
          <w:tcPr>
            <w:tcW w:w="298" w:type="pct"/>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c>
          <w:tcPr>
            <w:tcW w:w="276" w:type="pct"/>
            <w:vMerge w:val="restar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实际产出数：一定时期（本年度或项目期）内项目实际产出的产品或提供的服务数量。</w:t>
            </w:r>
          </w:p>
        </w:tc>
        <w:tc>
          <w:tcPr>
            <w:tcW w:w="298"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274" w:type="pct"/>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计划产出数：项目绩效目标确定的在一定时期（本年度或项目期）内计划产出的产品或提供的服务数量。</w:t>
            </w:r>
          </w:p>
        </w:tc>
        <w:tc>
          <w:tcPr>
            <w:tcW w:w="298"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产出质量</w:t>
            </w:r>
          </w:p>
        </w:tc>
        <w:tc>
          <w:tcPr>
            <w:tcW w:w="265"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质量达标率</w:t>
            </w:r>
          </w:p>
        </w:tc>
        <w:tc>
          <w:tcPr>
            <w:tcW w:w="1202"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项目完成的质量达标产出数与实际产出数的比率，用以反映和考核项目产出质量目标的实现程度。</w:t>
            </w:r>
          </w:p>
        </w:tc>
        <w:tc>
          <w:tcPr>
            <w:tcW w:w="2393"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质量达标率=（质量达标产出数/实际产出数）×100%。</w:t>
            </w:r>
          </w:p>
        </w:tc>
        <w:tc>
          <w:tcPr>
            <w:tcW w:w="298" w:type="pct"/>
            <w:vMerge w:val="restart"/>
            <w:tcBorders>
              <w:top w:val="nil"/>
              <w:left w:val="single" w:color="000000" w:sz="8" w:space="0"/>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c>
          <w:tcPr>
            <w:tcW w:w="276" w:type="pct"/>
            <w:vMerge w:val="restart"/>
            <w:tcBorders>
              <w:top w:val="nil"/>
              <w:left w:val="nil"/>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274" w:type="pct"/>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298"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nil"/>
              <w:left w:val="nil"/>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产出时效</w:t>
            </w:r>
          </w:p>
        </w:tc>
        <w:tc>
          <w:tcPr>
            <w:tcW w:w="265" w:type="pct"/>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完成及时性</w:t>
            </w:r>
          </w:p>
        </w:tc>
        <w:tc>
          <w:tcPr>
            <w:tcW w:w="1202" w:type="pct"/>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项目实际完成时间与计划完成时间的比较，用以反映和考核项目产出时效目标的实现程度。</w:t>
            </w:r>
          </w:p>
        </w:tc>
        <w:tc>
          <w:tcPr>
            <w:tcW w:w="2393"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实际完成时间：项目实施单位完成该项目实际所耗用的时间。</w:t>
            </w:r>
          </w:p>
        </w:tc>
        <w:tc>
          <w:tcPr>
            <w:tcW w:w="298" w:type="pct"/>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c>
          <w:tcPr>
            <w:tcW w:w="276" w:type="pct"/>
            <w:vMerge w:val="restar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nil"/>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计划完成时间：按照项目实施计划或相关规定完成该项目所需的时间。</w:t>
            </w:r>
          </w:p>
        </w:tc>
        <w:tc>
          <w:tcPr>
            <w:tcW w:w="298"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产出成本</w:t>
            </w:r>
          </w:p>
        </w:tc>
        <w:tc>
          <w:tcPr>
            <w:tcW w:w="265"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成本节约率</w:t>
            </w:r>
          </w:p>
        </w:tc>
        <w:tc>
          <w:tcPr>
            <w:tcW w:w="1202"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完成项目计划工作目标的实际节约成本与计划成本的比率，用以反映和考核项目的成本节约程度。</w:t>
            </w:r>
          </w:p>
        </w:tc>
        <w:tc>
          <w:tcPr>
            <w:tcW w:w="2393" w:type="pct"/>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成本节约率=[（计划成本-实际成本）/计划成本]×100%。</w:t>
            </w:r>
          </w:p>
        </w:tc>
        <w:tc>
          <w:tcPr>
            <w:tcW w:w="298" w:type="pct"/>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c>
          <w:tcPr>
            <w:tcW w:w="276" w:type="pct"/>
            <w:vMerge w:val="restar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6.81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实际成本：项目实施单位如期、保质、保量完成既定工作目标实际所耗费的支出。</w:t>
            </w:r>
          </w:p>
        </w:tc>
        <w:tc>
          <w:tcPr>
            <w:tcW w:w="298"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74" w:type="pct"/>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2"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93" w:type="pct"/>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计划成本：项目实施单位为完成工作目标计划安排的支出，一般以项目预算为参考。</w:t>
            </w:r>
          </w:p>
        </w:tc>
        <w:tc>
          <w:tcPr>
            <w:tcW w:w="298"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276" w:type="pct"/>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274" w:type="pct"/>
            <w:vMerge w:val="restart"/>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效益　</w:t>
            </w:r>
          </w:p>
        </w:tc>
        <w:tc>
          <w:tcPr>
            <w:tcW w:w="288"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项目效益　</w:t>
            </w:r>
          </w:p>
        </w:tc>
        <w:tc>
          <w:tcPr>
            <w:tcW w:w="265"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实施效益</w:t>
            </w:r>
          </w:p>
        </w:tc>
        <w:tc>
          <w:tcPr>
            <w:tcW w:w="1202"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项目实施所产生的效益。</w:t>
            </w:r>
          </w:p>
        </w:tc>
        <w:tc>
          <w:tcPr>
            <w:tcW w:w="2393" w:type="pct"/>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项目实施所产生的社会效益、经济效益、生态效益、可持续影响等。可根据项目实际情况有选择地设置和细化。</w:t>
            </w:r>
          </w:p>
        </w:tc>
        <w:tc>
          <w:tcPr>
            <w:tcW w:w="298"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c>
          <w:tcPr>
            <w:tcW w:w="276" w:type="pc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274" w:type="pct"/>
            <w:vMerge w:val="continue"/>
            <w:tcBorders>
              <w:top w:val="single" w:color="000000" w:sz="8" w:space="0"/>
              <w:left w:val="single" w:color="000000" w:sz="8" w:space="0"/>
              <w:bottom w:val="single" w:color="000000" w:sz="8" w:space="0"/>
              <w:right w:val="nil"/>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8"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w:t>
            </w:r>
          </w:p>
        </w:tc>
        <w:tc>
          <w:tcPr>
            <w:tcW w:w="1202"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社会公众或服务对象对项目实施效果的满意程度。</w:t>
            </w:r>
          </w:p>
        </w:tc>
        <w:tc>
          <w:tcPr>
            <w:tcW w:w="2393" w:type="pct"/>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社会公众或服务对象是指因该项目实施而受到影响的部门（单位）、群体或个人。一般采取社会调查的方式。</w:t>
            </w:r>
          </w:p>
        </w:tc>
        <w:tc>
          <w:tcPr>
            <w:tcW w:w="298" w:type="pct"/>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c>
          <w:tcPr>
            <w:tcW w:w="276"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r>
    </w:tbl>
    <w:p>
      <w:pPr>
        <w:shd w:val="clear"/>
        <w:spacing w:line="600" w:lineRule="exact"/>
        <w:outlineLvl w:val="0"/>
        <w:rPr>
          <w:rFonts w:hint="eastAsia" w:ascii="仿宋_GB2312" w:hAnsi="仿宋_GB2312" w:eastAsia="仿宋_GB2312" w:cs="仿宋_GB2312"/>
          <w:sz w:val="32"/>
          <w:szCs w:val="32"/>
          <w:lang w:val="en-US" w:eastAsia="zh-CN"/>
        </w:rPr>
      </w:pPr>
    </w:p>
    <w:sectPr>
      <w:pgSz w:w="16838" w:h="11906" w:orient="landscape"/>
      <w:pgMar w:top="1531" w:right="1928" w:bottom="1531" w:left="170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3CF74CD0-F028-425E-A5F8-F7E056B55DC8}"/>
  </w:font>
  <w:font w:name="黑体">
    <w:panose1 w:val="02010609060101010101"/>
    <w:charset w:val="86"/>
    <w:family w:val="auto"/>
    <w:pitch w:val="default"/>
    <w:sig w:usb0="800002BF" w:usb1="38CF7CFA" w:usb2="00000016" w:usb3="00000000" w:csb0="00040001" w:csb1="00000000"/>
    <w:embedRegular r:id="rId2" w:fontKey="{05A6AFE0-83F4-412A-9811-1A5D3424208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3" w:fontKey="{934579D0-2451-4563-9FF5-26CFFCDF9341}"/>
  </w:font>
  <w:font w:name="等线 Light">
    <w:altName w:val="宋体"/>
    <w:panose1 w:val="02010600030101010101"/>
    <w:charset w:val="86"/>
    <w:family w:val="auto"/>
    <w:pitch w:val="default"/>
    <w:sig w:usb0="00000000" w:usb1="00000000" w:usb2="00000016" w:usb3="00000000" w:csb0="0004000F" w:csb1="00000000"/>
  </w:font>
  <w:font w:name="等线">
    <w:panose1 w:val="02010600030101010101"/>
    <w:charset w:val="86"/>
    <w:family w:val="auto"/>
    <w:pitch w:val="default"/>
    <w:sig w:usb0="A00002BF" w:usb1="38CF7CFA" w:usb2="00000016" w:usb3="00000000" w:csb0="0004000F" w:csb1="00000000"/>
    <w:embedRegular r:id="rId4" w:fontKey="{77EA13D9-156F-4D60-B6F4-E4A8DB2DF3AF}"/>
  </w:font>
  <w:font w:name="兰米小标宋简体">
    <w:panose1 w:val="02000503000000000000"/>
    <w:charset w:val="86"/>
    <w:family w:val="auto"/>
    <w:pitch w:val="default"/>
    <w:sig w:usb0="8000002F" w:usb1="084164F8" w:usb2="00000012" w:usb3="00000000" w:csb0="00040001" w:csb1="00000000"/>
    <w:embedRegular r:id="rId5" w:fontKey="{E9A68DD7-D647-4F17-8A4A-86E56C4E134E}"/>
  </w:font>
  <w:font w:name="楷体_GB2312">
    <w:panose1 w:val="02010609030101010101"/>
    <w:charset w:val="86"/>
    <w:family w:val="auto"/>
    <w:pitch w:val="default"/>
    <w:sig w:usb0="00000001" w:usb1="080E0000" w:usb2="00000000" w:usb3="00000000" w:csb0="00040000" w:csb1="00000000"/>
    <w:embedRegular r:id="rId6" w:fontKey="{DE027E84-8007-4E88-B7D8-291D754CEBD4}"/>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kwOTEwMzZhZjVmMTgwYjk4N2E1MWVhYzRjMmU5NTUifQ=="/>
    <w:docVar w:name="KSO_WPS_MARK_KEY" w:val="b3fc2acd-51a9-45ce-8d80-18e6d2738da8"/>
  </w:docVars>
  <w:rsids>
    <w:rsidRoot w:val="007D49C5"/>
    <w:rsid w:val="000D63FA"/>
    <w:rsid w:val="00292BAB"/>
    <w:rsid w:val="005B64E8"/>
    <w:rsid w:val="00614288"/>
    <w:rsid w:val="00792CFE"/>
    <w:rsid w:val="007D49C5"/>
    <w:rsid w:val="008175E0"/>
    <w:rsid w:val="008C631D"/>
    <w:rsid w:val="00A114ED"/>
    <w:rsid w:val="00B24331"/>
    <w:rsid w:val="00EB3433"/>
    <w:rsid w:val="01B21A28"/>
    <w:rsid w:val="01DC3BC3"/>
    <w:rsid w:val="021D68EB"/>
    <w:rsid w:val="02384BD8"/>
    <w:rsid w:val="024E23CC"/>
    <w:rsid w:val="02B20E25"/>
    <w:rsid w:val="031A7868"/>
    <w:rsid w:val="040B4250"/>
    <w:rsid w:val="041D6583"/>
    <w:rsid w:val="05227DA5"/>
    <w:rsid w:val="05D73090"/>
    <w:rsid w:val="060914B4"/>
    <w:rsid w:val="07195382"/>
    <w:rsid w:val="08005BE4"/>
    <w:rsid w:val="08D20D13"/>
    <w:rsid w:val="092D32CF"/>
    <w:rsid w:val="0AED26C2"/>
    <w:rsid w:val="0B9C051D"/>
    <w:rsid w:val="0C4D0F1B"/>
    <w:rsid w:val="0CBA24AD"/>
    <w:rsid w:val="0CF461D8"/>
    <w:rsid w:val="0F0C5B71"/>
    <w:rsid w:val="0F2A6BF7"/>
    <w:rsid w:val="105B31DD"/>
    <w:rsid w:val="10CA5CE4"/>
    <w:rsid w:val="10E55A71"/>
    <w:rsid w:val="12B10F0A"/>
    <w:rsid w:val="145F04F1"/>
    <w:rsid w:val="157D4E69"/>
    <w:rsid w:val="16F07A9E"/>
    <w:rsid w:val="182B52BA"/>
    <w:rsid w:val="1A442663"/>
    <w:rsid w:val="1A8B19D1"/>
    <w:rsid w:val="1BE834C2"/>
    <w:rsid w:val="1C09514D"/>
    <w:rsid w:val="1D723F37"/>
    <w:rsid w:val="1D753110"/>
    <w:rsid w:val="1D785367"/>
    <w:rsid w:val="1D930EE7"/>
    <w:rsid w:val="1E934127"/>
    <w:rsid w:val="1F6B0692"/>
    <w:rsid w:val="23BD17E3"/>
    <w:rsid w:val="23C92190"/>
    <w:rsid w:val="254E31EA"/>
    <w:rsid w:val="26527EB6"/>
    <w:rsid w:val="26797966"/>
    <w:rsid w:val="269B2927"/>
    <w:rsid w:val="28576450"/>
    <w:rsid w:val="286B525F"/>
    <w:rsid w:val="29351FBE"/>
    <w:rsid w:val="29EE1913"/>
    <w:rsid w:val="2C4B48D3"/>
    <w:rsid w:val="2CA77D06"/>
    <w:rsid w:val="2F183292"/>
    <w:rsid w:val="2FD27F5F"/>
    <w:rsid w:val="302047AB"/>
    <w:rsid w:val="31091B67"/>
    <w:rsid w:val="32AE0DEC"/>
    <w:rsid w:val="34835E1C"/>
    <w:rsid w:val="35DE3AC9"/>
    <w:rsid w:val="36845202"/>
    <w:rsid w:val="36B72533"/>
    <w:rsid w:val="380F20AB"/>
    <w:rsid w:val="383350B8"/>
    <w:rsid w:val="383C2774"/>
    <w:rsid w:val="384563E9"/>
    <w:rsid w:val="38570346"/>
    <w:rsid w:val="3923018F"/>
    <w:rsid w:val="3B762A06"/>
    <w:rsid w:val="3C853A0D"/>
    <w:rsid w:val="3CB26B8F"/>
    <w:rsid w:val="3D032279"/>
    <w:rsid w:val="3FD54E02"/>
    <w:rsid w:val="40450B24"/>
    <w:rsid w:val="40456981"/>
    <w:rsid w:val="4057649F"/>
    <w:rsid w:val="419B49AF"/>
    <w:rsid w:val="41B61D1E"/>
    <w:rsid w:val="43182414"/>
    <w:rsid w:val="43DF7900"/>
    <w:rsid w:val="445940D8"/>
    <w:rsid w:val="45B47DEE"/>
    <w:rsid w:val="46507BB3"/>
    <w:rsid w:val="468C5A6D"/>
    <w:rsid w:val="478E0372"/>
    <w:rsid w:val="47B02837"/>
    <w:rsid w:val="4A7C25BE"/>
    <w:rsid w:val="4BC418CB"/>
    <w:rsid w:val="4C07336D"/>
    <w:rsid w:val="4C22332E"/>
    <w:rsid w:val="4DCB2C88"/>
    <w:rsid w:val="4E0D2619"/>
    <w:rsid w:val="4FB15075"/>
    <w:rsid w:val="516E5521"/>
    <w:rsid w:val="531C5353"/>
    <w:rsid w:val="53B82FE0"/>
    <w:rsid w:val="54BB72C1"/>
    <w:rsid w:val="55140079"/>
    <w:rsid w:val="56466840"/>
    <w:rsid w:val="56796849"/>
    <w:rsid w:val="57032983"/>
    <w:rsid w:val="589D6B35"/>
    <w:rsid w:val="5A5D05FC"/>
    <w:rsid w:val="5A841D95"/>
    <w:rsid w:val="5AFD12A8"/>
    <w:rsid w:val="5CD728E8"/>
    <w:rsid w:val="5DA95371"/>
    <w:rsid w:val="5E1A769E"/>
    <w:rsid w:val="5EB443B6"/>
    <w:rsid w:val="5FA36AB1"/>
    <w:rsid w:val="607246D5"/>
    <w:rsid w:val="63A86D8C"/>
    <w:rsid w:val="651B4060"/>
    <w:rsid w:val="65442AE4"/>
    <w:rsid w:val="666425EA"/>
    <w:rsid w:val="674915AC"/>
    <w:rsid w:val="674C6E99"/>
    <w:rsid w:val="67817396"/>
    <w:rsid w:val="68F11999"/>
    <w:rsid w:val="69390486"/>
    <w:rsid w:val="6A0E0A35"/>
    <w:rsid w:val="6AAB4B1B"/>
    <w:rsid w:val="6AED4450"/>
    <w:rsid w:val="6D200CD8"/>
    <w:rsid w:val="6DB90A8B"/>
    <w:rsid w:val="6F8E2CED"/>
    <w:rsid w:val="70432D4E"/>
    <w:rsid w:val="70716A8D"/>
    <w:rsid w:val="719B7F30"/>
    <w:rsid w:val="71FB452B"/>
    <w:rsid w:val="763A0251"/>
    <w:rsid w:val="77D23813"/>
    <w:rsid w:val="78CE5AD8"/>
    <w:rsid w:val="78FA0850"/>
    <w:rsid w:val="79EB757B"/>
    <w:rsid w:val="7A2776A8"/>
    <w:rsid w:val="7AA437D8"/>
    <w:rsid w:val="7ABA1F68"/>
    <w:rsid w:val="7AD41DBD"/>
    <w:rsid w:val="7F314C43"/>
    <w:rsid w:val="7F4339B5"/>
    <w:rsid w:val="7F5E4C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5">
    <w:name w:val="annotation text"/>
    <w:basedOn w:val="1"/>
    <w:qFormat/>
    <w:uiPriority w:val="0"/>
    <w:pPr>
      <w:jc w:val="left"/>
    </w:pPr>
  </w:style>
  <w:style w:type="paragraph" w:styleId="6">
    <w:name w:val="footer"/>
    <w:basedOn w:val="1"/>
    <w:link w:val="19"/>
    <w:semiHidden/>
    <w:unhideWhenUsed/>
    <w:qFormat/>
    <w:uiPriority w:val="99"/>
    <w:pPr>
      <w:tabs>
        <w:tab w:val="center" w:pos="4153"/>
        <w:tab w:val="right" w:pos="8306"/>
      </w:tabs>
      <w:snapToGrid w:val="0"/>
      <w:jc w:val="left"/>
    </w:pPr>
    <w:rPr>
      <w:sz w:val="18"/>
      <w:szCs w:val="18"/>
    </w:rPr>
  </w:style>
  <w:style w:type="paragraph" w:styleId="7">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3">
    <w:name w:val="Strong"/>
    <w:basedOn w:val="12"/>
    <w:qFormat/>
    <w:uiPriority w:val="0"/>
    <w:rPr>
      <w:b/>
      <w:bCs/>
    </w:rPr>
  </w:style>
  <w:style w:type="character" w:styleId="14">
    <w:name w:val="Hyperlink"/>
    <w:basedOn w:val="12"/>
    <w:unhideWhenUsed/>
    <w:qFormat/>
    <w:uiPriority w:val="99"/>
    <w:rPr>
      <w:color w:val="0563C1" w:themeColor="hyperlink"/>
      <w:u w:val="single"/>
    </w:rPr>
  </w:style>
  <w:style w:type="character" w:customStyle="1" w:styleId="15">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6">
    <w:name w:val="标题 2 Char"/>
    <w:basedOn w:val="12"/>
    <w:link w:val="4"/>
    <w:qFormat/>
    <w:uiPriority w:val="9"/>
    <w:rPr>
      <w:rFonts w:asciiTheme="majorHAnsi" w:hAnsiTheme="majorHAnsi" w:eastAsiaTheme="majorEastAsia" w:cstheme="majorBidi"/>
      <w:b/>
      <w:bCs/>
      <w:sz w:val="32"/>
      <w:szCs w:val="32"/>
    </w:rPr>
  </w:style>
  <w:style w:type="paragraph" w:customStyle="1" w:styleId="1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8">
    <w:name w:val="页眉 Char"/>
    <w:basedOn w:val="12"/>
    <w:link w:val="7"/>
    <w:semiHidden/>
    <w:qFormat/>
    <w:uiPriority w:val="99"/>
    <w:rPr>
      <w:rFonts w:ascii="Times New Roman" w:hAnsi="Times New Roman" w:eastAsia="仿宋_GB2312" w:cs="Times New Roman"/>
      <w:sz w:val="18"/>
      <w:szCs w:val="18"/>
    </w:rPr>
  </w:style>
  <w:style w:type="character" w:customStyle="1" w:styleId="19">
    <w:name w:val="页脚 Char"/>
    <w:basedOn w:val="12"/>
    <w:link w:val="6"/>
    <w:semiHidden/>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12</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dcterms:modified xsi:type="dcterms:W3CDTF">2024-05-08T10:19:11Z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