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7562C8">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2680132E">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7CAAE3CD">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46CE8FB4">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14:paraId="090AD47C">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30B6CFE1">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14:paraId="2158E7A6">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1A58343A">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74DC839B">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5766D0B1">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6A5E6486">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224B923A">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仿宋_GB2312"/>
          <w:b/>
          <w:bCs/>
          <w:color w:val="000000"/>
          <w:kern w:val="0"/>
          <w:sz w:val="32"/>
          <w:szCs w:val="32"/>
        </w:rPr>
      </w:pPr>
      <w:r>
        <w:rPr>
          <w:rFonts w:hint="eastAsia" w:ascii="宋体" w:hAnsi="宋体" w:eastAsia="宋体" w:cs="仿宋_GB2312"/>
          <w:b/>
          <w:bCs/>
          <w:color w:val="000000"/>
          <w:kern w:val="0"/>
          <w:sz w:val="32"/>
          <w:szCs w:val="32"/>
        </w:rPr>
        <w:t>项目名称：</w:t>
      </w:r>
      <w:r>
        <w:rPr>
          <w:rFonts w:hint="eastAsia" w:ascii="宋体" w:hAnsi="宋体" w:eastAsia="宋体" w:cs="仿宋_GB2312"/>
          <w:b/>
          <w:bCs/>
          <w:color w:val="000000"/>
          <w:kern w:val="0"/>
          <w:sz w:val="32"/>
          <w:szCs w:val="32"/>
          <w:lang w:eastAsia="zh-CN"/>
        </w:rPr>
        <w:t>全国两会</w:t>
      </w:r>
      <w:r>
        <w:rPr>
          <w:rFonts w:hint="eastAsia" w:ascii="宋体" w:hAnsi="宋体" w:eastAsia="宋体" w:cs="仿宋_GB2312"/>
          <w:b/>
          <w:bCs/>
          <w:color w:val="000000"/>
          <w:kern w:val="0"/>
          <w:sz w:val="32"/>
          <w:szCs w:val="32"/>
        </w:rPr>
        <w:t>期间信访安全保障专项工作经费</w:t>
      </w:r>
    </w:p>
    <w:p w14:paraId="5E1BDCB9">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bCs/>
          <w:color w:val="000000"/>
          <w:kern w:val="0"/>
          <w:sz w:val="32"/>
          <w:szCs w:val="32"/>
          <w:lang w:eastAsia="zh-CN"/>
        </w:rPr>
        <w:t>新疆巴音郭楞蒙古自治州信访局</w:t>
      </w:r>
    </w:p>
    <w:p w14:paraId="4ECA9D63">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b/>
          <w:bCs/>
          <w:color w:val="000000"/>
          <w:kern w:val="0"/>
          <w:sz w:val="32"/>
          <w:szCs w:val="32"/>
          <w:lang w:eastAsia="zh-CN"/>
        </w:rPr>
        <w:t>新疆巴音郭楞蒙古自治州信访局</w:t>
      </w:r>
    </w:p>
    <w:p w14:paraId="22305FC1">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kern w:val="0"/>
          <w:sz w:val="32"/>
          <w:szCs w:val="32"/>
          <w:lang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eastAsia="zh-CN"/>
        </w:rPr>
        <w:t>依仁且</w:t>
      </w:r>
    </w:p>
    <w:p w14:paraId="14240CCD">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 xml:space="preserve">4 </w:t>
      </w:r>
      <w:r>
        <w:rPr>
          <w:rFonts w:hint="eastAsia" w:ascii="宋体" w:hAnsi="宋体" w:eastAsia="宋体" w:cs="仿宋_GB2312"/>
          <w:color w:val="000000"/>
          <w:kern w:val="0"/>
          <w:sz w:val="32"/>
          <w:szCs w:val="32"/>
        </w:rPr>
        <w:t xml:space="preserve">年 </w:t>
      </w:r>
      <w:r>
        <w:rPr>
          <w:rFonts w:hint="eastAsia" w:ascii="宋体" w:hAnsi="宋体" w:eastAsia="宋体" w:cs="仿宋_GB2312"/>
          <w:color w:val="000000"/>
          <w:kern w:val="0"/>
          <w:sz w:val="32"/>
          <w:szCs w:val="32"/>
          <w:lang w:val="en-US" w:eastAsia="zh-CN"/>
        </w:rPr>
        <w:t>5</w:t>
      </w:r>
      <w:r>
        <w:rPr>
          <w:rFonts w:hint="eastAsia" w:ascii="宋体" w:hAnsi="宋体" w:eastAsia="宋体" w:cs="仿宋_GB2312"/>
          <w:color w:val="000000"/>
          <w:kern w:val="0"/>
          <w:sz w:val="32"/>
          <w:szCs w:val="32"/>
        </w:rPr>
        <w:t>月</w:t>
      </w:r>
      <w:r>
        <w:rPr>
          <w:rFonts w:hint="eastAsia" w:ascii="宋体" w:hAnsi="宋体" w:eastAsia="宋体" w:cs="仿宋_GB2312"/>
          <w:color w:val="000000"/>
          <w:kern w:val="0"/>
          <w:sz w:val="32"/>
          <w:szCs w:val="32"/>
          <w:lang w:val="en-US" w:eastAsia="zh-CN"/>
        </w:rPr>
        <w:t>13</w:t>
      </w:r>
      <w:r>
        <w:rPr>
          <w:rFonts w:hint="eastAsia" w:ascii="宋体" w:hAnsi="宋体" w:eastAsia="宋体" w:cs="仿宋_GB2312"/>
          <w:color w:val="000000"/>
          <w:kern w:val="0"/>
          <w:sz w:val="32"/>
          <w:szCs w:val="32"/>
        </w:rPr>
        <w:t>日</w:t>
      </w:r>
    </w:p>
    <w:p w14:paraId="7897D99E">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14:paraId="262120C2">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1A094636">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rPr>
      </w:pPr>
      <w:r>
        <w:rPr>
          <w:rFonts w:hint="eastAsia" w:ascii="仿宋_GB2312"/>
        </w:rPr>
        <w:t>（参考提纲）</w:t>
      </w:r>
    </w:p>
    <w:p w14:paraId="1B1DA4FB">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14:paraId="0FF22ABF">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14:paraId="6DADA127">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 w:name="_Toc68703828"/>
      <w:r>
        <w:rPr>
          <w:rFonts w:hint="eastAsia" w:ascii="仿宋_GB2312" w:eastAsia="仿宋_GB2312"/>
          <w:b w:val="0"/>
          <w:bCs w:val="0"/>
        </w:rPr>
        <w:t>（一）项目概况。</w:t>
      </w:r>
      <w:bookmarkEnd w:id="1"/>
    </w:p>
    <w:p w14:paraId="254788C4">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sz w:val="32"/>
          <w:szCs w:val="32"/>
          <w:highlight w:val="none"/>
        </w:rPr>
      </w:pPr>
      <w:r>
        <w:rPr>
          <w:rFonts w:hint="eastAsia" w:ascii="仿宋_GB2312"/>
          <w:sz w:val="32"/>
          <w:szCs w:val="32"/>
          <w:highlight w:val="none"/>
          <w:lang w:val="en-US" w:eastAsia="zh-CN"/>
        </w:rPr>
        <w:t>1.</w:t>
      </w:r>
      <w:r>
        <w:rPr>
          <w:rFonts w:hint="eastAsia" w:ascii="仿宋_GB2312"/>
          <w:sz w:val="32"/>
          <w:szCs w:val="32"/>
          <w:highlight w:val="none"/>
        </w:rPr>
        <w:t>项目背景，主要内容及实施情况</w:t>
      </w:r>
    </w:p>
    <w:p w14:paraId="0E96534B">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sz w:val="30"/>
          <w:szCs w:val="30"/>
          <w:highlight w:val="none"/>
        </w:rPr>
      </w:pPr>
      <w:r>
        <w:rPr>
          <w:rFonts w:hint="eastAsia" w:ascii="仿宋_GB2312"/>
          <w:sz w:val="30"/>
          <w:szCs w:val="30"/>
          <w:highlight w:val="none"/>
        </w:rPr>
        <w:t>（1）项目背景</w:t>
      </w:r>
    </w:p>
    <w:p w14:paraId="4F3046B0">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sz w:val="30"/>
          <w:szCs w:val="30"/>
          <w:highlight w:val="none"/>
          <w:lang w:val="en-US" w:eastAsia="zh-CN"/>
        </w:rPr>
      </w:pPr>
      <w:r>
        <w:rPr>
          <w:rFonts w:hint="eastAsia" w:ascii="仿宋_GB2312"/>
          <w:sz w:val="30"/>
          <w:szCs w:val="30"/>
          <w:highlight w:val="none"/>
          <w:lang w:val="en-US" w:eastAsia="zh-CN"/>
        </w:rPr>
        <w:t>根据《自治区党委办公厅 自治区人民政府办公厅印发&lt;关于贯彻落实习近平总书记重要批示精神、进一步加强新时代新疆信访工作的意见&gt;的通知》（新党办发〔2018〕44号）要求。</w:t>
      </w:r>
    </w:p>
    <w:p w14:paraId="36549BF3">
      <w:pPr>
        <w:pageBreakBefore w:val="0"/>
        <w:kinsoku/>
        <w:wordWrap/>
        <w:overflowPunct/>
        <w:topLinePunct w:val="0"/>
        <w:autoSpaceDE/>
        <w:autoSpaceDN/>
        <w:bidi w:val="0"/>
        <w:adjustRightInd/>
        <w:snapToGrid/>
        <w:spacing w:line="560" w:lineRule="exact"/>
        <w:ind w:firstLine="600" w:firstLineChars="200"/>
        <w:textAlignment w:val="auto"/>
        <w:rPr>
          <w:rFonts w:ascii="仿宋_GB2312"/>
          <w:sz w:val="30"/>
          <w:szCs w:val="30"/>
          <w:highlight w:val="none"/>
        </w:rPr>
      </w:pPr>
      <w:r>
        <w:rPr>
          <w:rFonts w:hint="eastAsia" w:ascii="仿宋_GB2312"/>
          <w:sz w:val="30"/>
          <w:szCs w:val="30"/>
          <w:highlight w:val="none"/>
        </w:rPr>
        <w:t>（</w:t>
      </w:r>
      <w:r>
        <w:rPr>
          <w:rFonts w:hint="eastAsia" w:ascii="仿宋_GB2312"/>
          <w:sz w:val="30"/>
          <w:szCs w:val="30"/>
          <w:highlight w:val="none"/>
          <w:lang w:val="en-US" w:eastAsia="zh-CN"/>
        </w:rPr>
        <w:t>2</w:t>
      </w:r>
      <w:r>
        <w:rPr>
          <w:rFonts w:hint="eastAsia" w:ascii="仿宋_GB2312"/>
          <w:sz w:val="30"/>
          <w:szCs w:val="30"/>
          <w:highlight w:val="none"/>
        </w:rPr>
        <w:t>）主要内容</w:t>
      </w:r>
      <w:r>
        <w:rPr>
          <w:rFonts w:hint="eastAsia"/>
          <w:sz w:val="30"/>
          <w:szCs w:val="30"/>
          <w:highlight w:val="none"/>
        </w:rPr>
        <w:t>及</w:t>
      </w:r>
      <w:r>
        <w:rPr>
          <w:rFonts w:hint="eastAsia" w:ascii="仿宋_GB2312"/>
          <w:sz w:val="30"/>
          <w:szCs w:val="30"/>
          <w:highlight w:val="none"/>
        </w:rPr>
        <w:t>实施情况</w:t>
      </w:r>
    </w:p>
    <w:p w14:paraId="6496CA6D">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sz w:val="30"/>
          <w:szCs w:val="30"/>
          <w:highlight w:val="none"/>
        </w:rPr>
      </w:pPr>
      <w:r>
        <w:rPr>
          <w:rFonts w:hint="eastAsia" w:ascii="仿宋_GB2312"/>
          <w:sz w:val="30"/>
          <w:szCs w:val="30"/>
          <w:highlight w:val="none"/>
        </w:rPr>
        <w:t>主要内容：做好</w:t>
      </w:r>
      <w:r>
        <w:rPr>
          <w:rFonts w:hint="eastAsia" w:ascii="仿宋_GB2312"/>
          <w:sz w:val="30"/>
          <w:szCs w:val="30"/>
          <w:highlight w:val="none"/>
          <w:lang w:eastAsia="zh-CN"/>
        </w:rPr>
        <w:t>全国两会</w:t>
      </w:r>
      <w:r>
        <w:rPr>
          <w:rFonts w:hint="eastAsia" w:ascii="仿宋_GB2312"/>
          <w:sz w:val="30"/>
          <w:szCs w:val="30"/>
          <w:highlight w:val="none"/>
        </w:rPr>
        <w:t>期间信访安全保障工作</w:t>
      </w:r>
      <w:r>
        <w:rPr>
          <w:rFonts w:hint="eastAsia" w:ascii="仿宋_GB2312"/>
          <w:sz w:val="30"/>
          <w:szCs w:val="30"/>
          <w:highlight w:val="none"/>
          <w:lang w:eastAsia="zh-CN"/>
        </w:rPr>
        <w:t>，</w:t>
      </w:r>
      <w:r>
        <w:rPr>
          <w:rFonts w:hint="eastAsia" w:ascii="仿宋_GB2312"/>
          <w:sz w:val="30"/>
          <w:szCs w:val="30"/>
          <w:highlight w:val="none"/>
        </w:rPr>
        <w:t>实现“两会”期间“北京不去、疆内不聚、跨地不窜、网上不炒”“不发生大规模的聚集上访，不发生涉访的个人极端行为，不发生于信访问题引发的负面影响”目标</w:t>
      </w:r>
      <w:r>
        <w:rPr>
          <w:rFonts w:hint="eastAsia" w:ascii="仿宋_GB2312"/>
          <w:sz w:val="30"/>
          <w:szCs w:val="30"/>
          <w:highlight w:val="none"/>
          <w:lang w:eastAsia="zh-CN"/>
        </w:rPr>
        <w:t>，</w:t>
      </w:r>
      <w:r>
        <w:rPr>
          <w:rFonts w:hint="eastAsia" w:ascii="仿宋_GB2312"/>
          <w:sz w:val="30"/>
          <w:szCs w:val="30"/>
          <w:highlight w:val="none"/>
        </w:rPr>
        <w:t>保障赴河北、北京及乌鲁木齐开展信访安全保障工作经费，以及上访人员寻找、劝返产生的相关经费。持续深入各县市、自治州重点部门单位实地督查，推动落实信访安全保障各有措施。切实维护群众合法权益，促进社会和谐稳定。</w:t>
      </w:r>
    </w:p>
    <w:p w14:paraId="28582FE4">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sz w:val="30"/>
          <w:szCs w:val="30"/>
          <w:highlight w:val="none"/>
        </w:rPr>
      </w:pPr>
      <w:r>
        <w:rPr>
          <w:rFonts w:hint="eastAsia" w:ascii="仿宋_GB2312"/>
          <w:sz w:val="30"/>
          <w:szCs w:val="30"/>
          <w:highlight w:val="none"/>
        </w:rPr>
        <w:t>实施情况：2023年我局保障</w:t>
      </w:r>
      <w:r>
        <w:rPr>
          <w:rFonts w:hint="eastAsia" w:ascii="仿宋_GB2312"/>
          <w:sz w:val="30"/>
          <w:szCs w:val="30"/>
          <w:highlight w:val="none"/>
          <w:lang w:eastAsia="zh-CN"/>
        </w:rPr>
        <w:t>全国两会</w:t>
      </w:r>
      <w:r>
        <w:rPr>
          <w:rFonts w:hint="eastAsia" w:ascii="仿宋_GB2312"/>
          <w:sz w:val="30"/>
          <w:szCs w:val="30"/>
          <w:highlight w:val="none"/>
        </w:rPr>
        <w:t>期间信访安全工作5次，保障赴河北、北京及乌鲁木齐开展信访安全保障工作经费，以及上访人员寻找、劝返产生的相关经费，发放12人差旅费，2023年1-10月，我州信访总量3644件次，同比上升55.99%。从信访形式看，网上投诉1990件次，占54.61%，来访1559批次、1656人次，占42.78%，来信95件次，占2.6%，检查任务安时完成率达到99.76%，实现“两会”期间“北京不去、疆内不聚、跨地不窜、网上不炒”“不发生大规模的聚集上访，不发生涉访的个人极端行为，不发生于信访问题引发的负面影响”目标要求，持续深入各县市、自治州重点部门单位实地督查，推动落实信访安全保障各有措施。</w:t>
      </w:r>
    </w:p>
    <w:p w14:paraId="015F89FE">
      <w:pPr>
        <w:pageBreakBefore w:val="0"/>
        <w:kinsoku/>
        <w:wordWrap/>
        <w:overflowPunct/>
        <w:topLinePunct w:val="0"/>
        <w:autoSpaceDE/>
        <w:autoSpaceDN/>
        <w:bidi w:val="0"/>
        <w:adjustRightInd/>
        <w:snapToGrid/>
        <w:spacing w:line="560" w:lineRule="exact"/>
        <w:ind w:firstLine="640" w:firstLineChars="200"/>
        <w:textAlignment w:val="auto"/>
        <w:rPr>
          <w:rFonts w:ascii="仿宋_GB2312"/>
          <w:sz w:val="32"/>
          <w:szCs w:val="32"/>
          <w:highlight w:val="none"/>
        </w:rPr>
      </w:pPr>
      <w:r>
        <w:rPr>
          <w:rFonts w:hint="eastAsia" w:ascii="仿宋_GB2312"/>
          <w:sz w:val="32"/>
          <w:szCs w:val="32"/>
          <w:highlight w:val="none"/>
          <w:lang w:val="en-US" w:eastAsia="zh-CN"/>
        </w:rPr>
        <w:t>2.</w:t>
      </w:r>
      <w:r>
        <w:rPr>
          <w:rFonts w:hint="eastAsia" w:ascii="仿宋_GB2312"/>
          <w:sz w:val="32"/>
          <w:szCs w:val="32"/>
          <w:highlight w:val="none"/>
        </w:rPr>
        <w:t>资金投入和使用情况</w:t>
      </w:r>
    </w:p>
    <w:p w14:paraId="4D0A592C">
      <w:pPr>
        <w:pageBreakBefore w:val="0"/>
        <w:kinsoku/>
        <w:wordWrap/>
        <w:overflowPunct/>
        <w:topLinePunct w:val="0"/>
        <w:autoSpaceDE/>
        <w:autoSpaceDN/>
        <w:bidi w:val="0"/>
        <w:adjustRightInd/>
        <w:snapToGrid/>
        <w:spacing w:line="560" w:lineRule="exact"/>
        <w:ind w:firstLine="600" w:firstLineChars="200"/>
        <w:textAlignment w:val="auto"/>
        <w:rPr>
          <w:color w:val="FF0000"/>
        </w:rPr>
      </w:pPr>
      <w:r>
        <w:rPr>
          <w:rFonts w:hint="eastAsia"/>
          <w:lang w:eastAsia="zh-CN"/>
        </w:rPr>
        <w:t>（</w:t>
      </w:r>
      <w:r>
        <w:rPr>
          <w:rFonts w:hint="eastAsia"/>
          <w:lang w:val="en-US" w:eastAsia="zh-CN"/>
        </w:rPr>
        <w:t>1</w:t>
      </w:r>
      <w:r>
        <w:rPr>
          <w:rFonts w:hint="eastAsia"/>
          <w:lang w:eastAsia="zh-CN"/>
        </w:rPr>
        <w:t>）</w:t>
      </w:r>
      <w:r>
        <w:rPr>
          <w:rFonts w:hint="eastAsia"/>
        </w:rPr>
        <w:t>资金投入情况：</w:t>
      </w:r>
      <w:r>
        <w:rPr>
          <w:rFonts w:hint="eastAsia"/>
          <w:color w:val="auto"/>
        </w:rPr>
        <w:t>该项目年初预算数</w:t>
      </w:r>
      <w:r>
        <w:rPr>
          <w:rFonts w:hint="eastAsia"/>
          <w:color w:val="auto"/>
          <w:lang w:val="en-US" w:eastAsia="zh-CN"/>
        </w:rPr>
        <w:t>20</w:t>
      </w:r>
      <w:r>
        <w:rPr>
          <w:rFonts w:hint="eastAsia"/>
          <w:color w:val="auto"/>
        </w:rPr>
        <w:t>万元，全年预算数</w:t>
      </w:r>
      <w:r>
        <w:rPr>
          <w:rFonts w:hint="eastAsia"/>
          <w:color w:val="auto"/>
          <w:lang w:val="en-US" w:eastAsia="zh-CN"/>
        </w:rPr>
        <w:t>20</w:t>
      </w:r>
      <w:r>
        <w:rPr>
          <w:rFonts w:hint="eastAsia"/>
          <w:color w:val="auto"/>
        </w:rPr>
        <w:t>万元，实际总投入</w:t>
      </w:r>
      <w:r>
        <w:rPr>
          <w:rFonts w:hint="eastAsia"/>
          <w:color w:val="auto"/>
          <w:lang w:val="en-US" w:eastAsia="zh-CN"/>
        </w:rPr>
        <w:t>20</w:t>
      </w:r>
      <w:r>
        <w:rPr>
          <w:rFonts w:hint="eastAsia"/>
          <w:color w:val="auto"/>
        </w:rPr>
        <w:t>万元，该项目资金已全部落实到位，资金来源为</w:t>
      </w:r>
      <w:r>
        <w:rPr>
          <w:rFonts w:hint="eastAsia"/>
          <w:color w:val="auto"/>
          <w:lang w:eastAsia="zh-CN"/>
        </w:rPr>
        <w:t>本级财政拨款</w:t>
      </w:r>
      <w:r>
        <w:rPr>
          <w:rFonts w:hint="eastAsia"/>
          <w:color w:val="auto"/>
        </w:rPr>
        <w:t>。</w:t>
      </w:r>
    </w:p>
    <w:p w14:paraId="79F924D7">
      <w:pPr>
        <w:pageBreakBefore w:val="0"/>
        <w:kinsoku/>
        <w:wordWrap/>
        <w:overflowPunct/>
        <w:topLinePunct w:val="0"/>
        <w:autoSpaceDE/>
        <w:autoSpaceDN/>
        <w:bidi w:val="0"/>
        <w:adjustRightInd/>
        <w:snapToGrid/>
        <w:spacing w:line="560" w:lineRule="exact"/>
        <w:ind w:firstLine="600" w:firstLineChars="200"/>
        <w:textAlignment w:val="auto"/>
        <w:rPr>
          <w:color w:val="FF0000"/>
        </w:rPr>
      </w:pPr>
      <w:r>
        <w:rPr>
          <w:rFonts w:hint="eastAsia"/>
          <w:lang w:eastAsia="zh-CN"/>
        </w:rPr>
        <w:t>（</w:t>
      </w:r>
      <w:r>
        <w:rPr>
          <w:rFonts w:hint="eastAsia"/>
          <w:lang w:val="en-US" w:eastAsia="zh-CN"/>
        </w:rPr>
        <w:t>2</w:t>
      </w:r>
      <w:r>
        <w:rPr>
          <w:rFonts w:hint="eastAsia"/>
          <w:lang w:eastAsia="zh-CN"/>
        </w:rPr>
        <w:t>）</w:t>
      </w:r>
      <w:r>
        <w:rPr>
          <w:rFonts w:hint="eastAsia"/>
        </w:rPr>
        <w:t>资金使用情况：</w:t>
      </w:r>
      <w:bookmarkStart w:id="2" w:name="_Toc68703829"/>
      <w:r>
        <w:rPr>
          <w:rFonts w:hint="eastAsia"/>
          <w:color w:val="auto"/>
        </w:rPr>
        <w:t>该项目年初预算数</w:t>
      </w:r>
      <w:r>
        <w:rPr>
          <w:rFonts w:hint="eastAsia"/>
          <w:color w:val="auto"/>
          <w:lang w:val="en-US" w:eastAsia="zh-CN"/>
        </w:rPr>
        <w:t>20</w:t>
      </w:r>
      <w:r>
        <w:rPr>
          <w:rFonts w:hint="eastAsia"/>
          <w:color w:val="auto"/>
        </w:rPr>
        <w:t>万元，全年预算数</w:t>
      </w:r>
      <w:r>
        <w:rPr>
          <w:rFonts w:hint="eastAsia"/>
          <w:color w:val="auto"/>
          <w:lang w:val="en-US" w:eastAsia="zh-CN"/>
        </w:rPr>
        <w:t>20</w:t>
      </w:r>
      <w:r>
        <w:rPr>
          <w:rFonts w:hint="eastAsia"/>
          <w:color w:val="auto"/>
        </w:rPr>
        <w:t>万元，全年执行数</w:t>
      </w:r>
      <w:r>
        <w:rPr>
          <w:rFonts w:hint="eastAsia"/>
          <w:color w:val="auto"/>
          <w:lang w:val="en-US" w:eastAsia="zh-CN"/>
        </w:rPr>
        <w:t>20</w:t>
      </w:r>
      <w:r>
        <w:rPr>
          <w:rFonts w:hint="eastAsia"/>
          <w:color w:val="auto"/>
        </w:rPr>
        <w:t>万元，预算执行率为</w:t>
      </w:r>
      <w:r>
        <w:rPr>
          <w:rFonts w:hint="eastAsia"/>
          <w:color w:val="auto"/>
          <w:lang w:val="en-US" w:eastAsia="zh-CN"/>
        </w:rPr>
        <w:t>100</w:t>
      </w:r>
      <w:r>
        <w:rPr>
          <w:rFonts w:hint="eastAsia"/>
          <w:color w:val="auto"/>
        </w:rPr>
        <w:t>%，用于：</w:t>
      </w:r>
      <w:r>
        <w:rPr>
          <w:rFonts w:hint="eastAsia"/>
          <w:color w:val="auto"/>
          <w:lang w:val="en-US" w:eastAsia="zh-CN"/>
        </w:rPr>
        <w:t>开展“两会”期间信访保障次数5次，4万元/次，合计20万元</w:t>
      </w:r>
      <w:r>
        <w:rPr>
          <w:rFonts w:hint="eastAsia"/>
          <w:color w:val="auto"/>
        </w:rPr>
        <w:t>。</w:t>
      </w:r>
    </w:p>
    <w:p w14:paraId="542E95D6">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b w:val="0"/>
          <w:bCs w:val="0"/>
          <w:sz w:val="32"/>
          <w:szCs w:val="32"/>
          <w:lang w:val="en-US" w:eastAsia="zh-CN"/>
        </w:rPr>
      </w:pPr>
      <w:r>
        <w:rPr>
          <w:rFonts w:hint="eastAsia" w:ascii="仿宋_GB2312" w:eastAsia="仿宋_GB2312"/>
          <w:b w:val="0"/>
          <w:bCs w:val="0"/>
          <w:sz w:val="32"/>
          <w:szCs w:val="32"/>
        </w:rPr>
        <w:t>（二）项目绩效目标</w:t>
      </w:r>
      <w:bookmarkEnd w:id="2"/>
      <w:r>
        <w:rPr>
          <w:rFonts w:hint="eastAsia" w:ascii="仿宋_GB2312" w:eastAsia="仿宋_GB2312"/>
          <w:b w:val="0"/>
          <w:bCs w:val="0"/>
          <w:color w:val="000000" w:themeColor="text1"/>
          <w:sz w:val="32"/>
          <w:szCs w:val="32"/>
          <w:lang w:eastAsia="zh-CN"/>
        </w:rPr>
        <w:t>，</w:t>
      </w:r>
      <w:r>
        <w:rPr>
          <w:rFonts w:hint="eastAsia"/>
          <w:color w:val="000000" w:themeColor="text1"/>
          <w:sz w:val="32"/>
          <w:szCs w:val="32"/>
        </w:rPr>
        <w:t>包括总体目标和阶段性目标。</w:t>
      </w:r>
    </w:p>
    <w:p w14:paraId="119B8F57">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rPr>
      </w:pPr>
      <w:r>
        <w:rPr>
          <w:rFonts w:hint="eastAsia"/>
        </w:rPr>
        <w:t>1</w:t>
      </w:r>
      <w:r>
        <w:rPr>
          <w:rFonts w:hint="eastAsia"/>
          <w:lang w:val="en-US" w:eastAsia="zh-CN"/>
        </w:rPr>
        <w:t>.</w:t>
      </w:r>
      <w:r>
        <w:rPr>
          <w:rFonts w:hint="eastAsia"/>
        </w:rPr>
        <w:t>总体目标：</w:t>
      </w:r>
      <w:r>
        <w:rPr>
          <w:rFonts w:hint="eastAsia" w:ascii="仿宋_GB2312" w:eastAsia="仿宋_GB2312"/>
          <w:b w:val="0"/>
          <w:bCs w:val="0"/>
        </w:rPr>
        <w:t>目标1：做好</w:t>
      </w:r>
      <w:r>
        <w:rPr>
          <w:rFonts w:hint="eastAsia" w:ascii="仿宋_GB2312"/>
          <w:b w:val="0"/>
          <w:bCs w:val="0"/>
          <w:lang w:eastAsia="zh-CN"/>
        </w:rPr>
        <w:t>全国两会</w:t>
      </w:r>
      <w:r>
        <w:rPr>
          <w:rFonts w:hint="eastAsia" w:ascii="仿宋_GB2312" w:eastAsia="仿宋_GB2312"/>
          <w:b w:val="0"/>
          <w:bCs w:val="0"/>
        </w:rPr>
        <w:t>期间信访安全保障工作4次； 目标2：实现“两会”期间“北京不去、疆内不聚、跨地不窜、网上不炒”“不发生大规模的聚集上访，不发生涉访的个人极端行为，不发生于信访问题引发的负面影响”目标要求； 目标3：保障赴河北、北京及乌鲁木齐开展信访安全保障工作经费，以及上访人员寻找、劝返产生的相关经费。 目标4：持续深入各县市、自治州重点部门单位实地督查，推动落实信访安全保障各有措施。 目标5：切实维护群众合法权益，促进社会和谐稳定。</w:t>
      </w:r>
    </w:p>
    <w:p w14:paraId="7DF4D955">
      <w:pPr>
        <w:pageBreakBefore w:val="0"/>
        <w:kinsoku/>
        <w:wordWrap/>
        <w:overflowPunct/>
        <w:topLinePunct w:val="0"/>
        <w:autoSpaceDE/>
        <w:autoSpaceDN/>
        <w:bidi w:val="0"/>
        <w:adjustRightInd/>
        <w:snapToGrid/>
        <w:spacing w:line="560" w:lineRule="exact"/>
        <w:ind w:firstLine="600" w:firstLineChars="200"/>
        <w:textAlignment w:val="auto"/>
        <w:rPr>
          <w:rFonts w:hint="eastAsia"/>
          <w:highlight w:val="none"/>
          <w:lang w:val="en-US" w:eastAsia="zh-CN"/>
        </w:rPr>
      </w:pPr>
      <w:r>
        <w:t>2</w:t>
      </w:r>
      <w:r>
        <w:rPr>
          <w:rFonts w:hint="eastAsia"/>
          <w:lang w:val="en-US" w:eastAsia="zh-CN"/>
        </w:rPr>
        <w:t>.</w:t>
      </w:r>
      <w:r>
        <w:rPr>
          <w:rFonts w:hint="eastAsia"/>
        </w:rPr>
        <w:t>阶段性目标：</w:t>
      </w:r>
      <w:r>
        <w:rPr>
          <w:rFonts w:hint="eastAsia"/>
          <w:highlight w:val="none"/>
          <w:lang w:eastAsia="zh-CN"/>
        </w:rPr>
        <w:t>（</w:t>
      </w:r>
      <w:r>
        <w:rPr>
          <w:rFonts w:hint="eastAsia"/>
          <w:highlight w:val="none"/>
          <w:lang w:val="en-US" w:eastAsia="zh-CN"/>
        </w:rPr>
        <w:t>1）2023年上半年：我局保障全国两会期间信访安全工作2次，保障赴河北、北京及乌鲁木齐开展信访安全保障工作经费，以及上访人员寻找、劝返产生的相关经费，发放7人差旅费，专项检查任务安时完成率达到99.53%，实现“两会”期间“北京不去、疆内不聚、跨地不窜、网上不炒”“不发生大规模的聚集上访，不发生涉访的个人极端行为，不发生于信访问题引发的负面影响”目标要求，持续深入各县市、自治州重点部门单位实地督查，推动落实信访安全保障各有措施。（2）2023年下半年：开展2023年我局保障全国两会期间信访安全工作5次，保障赴河北、北京及乌鲁木齐开展信访安全保障工作经费，以及上访人员寻找、劝返产生的相关经费，发放12人差旅费，2023年1-10月，我州信访总量3644件次，同比上升55.99%。从信访形式看，网上投诉1990件次，占54.61%，来访1559批次、1656人次，占42.78%，来信95件次，占2.6%，检查任务安时完成率达到99.76%，实现“两会”期间“北京不去、疆内不聚、跨地不窜、网上不炒”“不发生大规模的聚集上访，不发生涉访的个人极端行为，不发生于信访问题引发的负面影响”目标要求，持续深入各县市、自治州重点部门单位实地督查，推动落实信访安全保障各有措施。</w:t>
      </w:r>
    </w:p>
    <w:p w14:paraId="06269178">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14:paraId="21ED2613">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lang w:val="en-US" w:eastAsia="zh-CN"/>
        </w:rPr>
      </w:pPr>
      <w:bookmarkStart w:id="4" w:name="_Toc68703831"/>
      <w:r>
        <w:rPr>
          <w:rFonts w:hint="eastAsia" w:ascii="仿宋_GB2312" w:eastAsia="仿宋_GB2312"/>
          <w:b w:val="0"/>
          <w:bCs w:val="0"/>
        </w:rPr>
        <w:t>（一）绩效评价目的、对象和范围。</w:t>
      </w:r>
      <w:bookmarkEnd w:id="4"/>
    </w:p>
    <w:p w14:paraId="0795DF57">
      <w:pPr>
        <w:pageBreakBefore w:val="0"/>
        <w:kinsoku/>
        <w:wordWrap/>
        <w:overflowPunct/>
        <w:topLinePunct w:val="0"/>
        <w:autoSpaceDE/>
        <w:autoSpaceDN/>
        <w:bidi w:val="0"/>
        <w:adjustRightInd/>
        <w:snapToGrid/>
        <w:spacing w:line="560" w:lineRule="exact"/>
        <w:ind w:firstLine="600" w:firstLineChars="200"/>
        <w:textAlignment w:val="auto"/>
        <w:rPr>
          <w:sz w:val="30"/>
          <w:szCs w:val="30"/>
        </w:rPr>
      </w:pPr>
      <w:r>
        <w:rPr>
          <w:rFonts w:hint="eastAsia"/>
          <w:sz w:val="30"/>
          <w:szCs w:val="30"/>
          <w:lang w:val="en-US" w:eastAsia="zh-CN"/>
        </w:rPr>
        <w:t>1.</w:t>
      </w:r>
      <w:r>
        <w:rPr>
          <w:rFonts w:hint="eastAsia"/>
          <w:sz w:val="30"/>
          <w:szCs w:val="30"/>
        </w:rPr>
        <w:t>绩效评价目的：</w:t>
      </w:r>
    </w:p>
    <w:p w14:paraId="64F87F03">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bCs/>
          <w:color w:val="FF0000"/>
          <w:sz w:val="30"/>
          <w:szCs w:val="30"/>
        </w:rPr>
      </w:pPr>
      <w:r>
        <w:rPr>
          <w:rFonts w:hint="eastAsia" w:ascii="仿宋_GB2312"/>
          <w:bCs/>
          <w:color w:val="auto"/>
          <w:sz w:val="30"/>
          <w:szCs w:val="30"/>
        </w:rPr>
        <w:t>通过绩效评价，客观地评判项目的管理绩效，了解和掌握</w:t>
      </w:r>
      <w:r>
        <w:rPr>
          <w:rFonts w:hint="eastAsia" w:ascii="仿宋_GB2312"/>
          <w:bCs/>
          <w:color w:val="auto"/>
          <w:sz w:val="30"/>
          <w:szCs w:val="30"/>
          <w:lang w:eastAsia="zh-CN"/>
        </w:rPr>
        <w:t>信访</w:t>
      </w:r>
      <w:r>
        <w:rPr>
          <w:rFonts w:hint="eastAsia" w:ascii="仿宋_GB2312"/>
          <w:bCs/>
          <w:color w:val="auto"/>
          <w:sz w:val="30"/>
          <w:szCs w:val="30"/>
        </w:rPr>
        <w:t>业务工作经费的具体情况，评价该项目资金安排的科学性、合理性、规范性和资金的使用成效，及时总结项目管理经验，完善项目管理办法，提高项目管理水平和资金使用效益。促使我</w:t>
      </w:r>
      <w:r>
        <w:rPr>
          <w:rFonts w:hint="eastAsia" w:ascii="仿宋_GB2312"/>
          <w:bCs/>
          <w:color w:val="auto"/>
          <w:sz w:val="30"/>
          <w:szCs w:val="30"/>
          <w:lang w:val="en-US" w:eastAsia="zh-CN"/>
        </w:rPr>
        <w:t>单位</w:t>
      </w:r>
      <w:r>
        <w:rPr>
          <w:rFonts w:hint="eastAsia" w:ascii="仿宋_GB2312"/>
          <w:bCs/>
          <w:color w:val="auto"/>
          <w:sz w:val="30"/>
          <w:szCs w:val="30"/>
        </w:rPr>
        <w:t>根据绩效评价中发现的问题，认真加以整改，及时调整和完善单位的工作计划并加强项目</w:t>
      </w:r>
      <w:r>
        <w:rPr>
          <w:rFonts w:hint="eastAsia" w:ascii="仿宋_GB2312"/>
          <w:bCs/>
          <w:color w:val="auto"/>
          <w:sz w:val="30"/>
          <w:szCs w:val="30"/>
          <w:lang w:val="en-US" w:eastAsia="zh-CN"/>
        </w:rPr>
        <w:t>绩效</w:t>
      </w:r>
      <w:r>
        <w:rPr>
          <w:rFonts w:hint="eastAsia" w:ascii="仿宋_GB2312"/>
          <w:bCs/>
          <w:color w:val="auto"/>
          <w:sz w:val="30"/>
          <w:szCs w:val="30"/>
        </w:rPr>
        <w:t>管理，同时为项目后续资金投入、分配和管理提供决策依据。</w:t>
      </w:r>
    </w:p>
    <w:p w14:paraId="4366D4C5">
      <w:pPr>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lang w:val="en-US" w:eastAsia="zh-CN"/>
        </w:rPr>
        <w:t>2.</w:t>
      </w:r>
      <w:r>
        <w:rPr>
          <w:rFonts w:hint="eastAsia"/>
        </w:rPr>
        <w:t>绩效评价对象：</w:t>
      </w:r>
    </w:p>
    <w:p w14:paraId="6C165141">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lang w:eastAsia="zh-CN"/>
        </w:rPr>
        <w:t>全国两会</w:t>
      </w:r>
      <w:r>
        <w:rPr>
          <w:rFonts w:hint="eastAsia"/>
        </w:rPr>
        <w:t>期间信访安全保障专项工作经费</w:t>
      </w:r>
    </w:p>
    <w:p w14:paraId="233E533C">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3.</w:t>
      </w:r>
      <w:r>
        <w:rPr>
          <w:rFonts w:hint="eastAsia"/>
        </w:rPr>
        <w:t>绩效评价范围：</w:t>
      </w:r>
    </w:p>
    <w:p w14:paraId="50457B2D">
      <w:pPr>
        <w:pageBreakBefore w:val="0"/>
        <w:kinsoku/>
        <w:wordWrap/>
        <w:overflowPunct/>
        <w:topLinePunct w:val="0"/>
        <w:autoSpaceDE/>
        <w:autoSpaceDN/>
        <w:bidi w:val="0"/>
        <w:adjustRightInd/>
        <w:snapToGrid/>
        <w:spacing w:line="560" w:lineRule="exact"/>
        <w:ind w:firstLine="600" w:firstLineChars="200"/>
        <w:textAlignment w:val="auto"/>
        <w:rPr>
          <w:color w:val="auto"/>
        </w:rPr>
      </w:pPr>
      <w:bookmarkStart w:id="5" w:name="_Toc68703832"/>
      <w:r>
        <w:rPr>
          <w:rFonts w:hint="eastAsia"/>
          <w:color w:val="auto"/>
        </w:rPr>
        <w:t>本次评价从项目决策（包括绩效目标、决策过程）、项目管理（包括项目资金、项目实施）、项目产出（包括项目产出数量、产出质量、产出时效和产出成本）项目效益四个维度进行</w:t>
      </w:r>
      <w:r>
        <w:rPr>
          <w:rFonts w:hint="eastAsia"/>
          <w:color w:val="auto"/>
          <w:lang w:eastAsia="zh-CN"/>
        </w:rPr>
        <w:t>信访</w:t>
      </w:r>
      <w:r>
        <w:rPr>
          <w:rFonts w:hint="eastAsia"/>
          <w:color w:val="auto"/>
        </w:rPr>
        <w:t>业务工作经费评价，评价核心为资金的支出完成情况和效果。</w:t>
      </w:r>
    </w:p>
    <w:p w14:paraId="77A7F44C">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（二）绩效评价原则、评价指标体系</w:t>
      </w:r>
      <w:r>
        <w:rPr>
          <w:rFonts w:hint="eastAsia" w:ascii="仿宋_GB2312" w:eastAsia="仿宋_GB2312"/>
          <w:b w:val="0"/>
          <w:bCs w:val="0"/>
          <w:lang w:eastAsia="zh-CN"/>
        </w:rPr>
        <w:t>（附表说明）</w:t>
      </w:r>
      <w:r>
        <w:rPr>
          <w:rFonts w:hint="eastAsia" w:ascii="仿宋_GB2312" w:eastAsia="仿宋_GB2312"/>
          <w:b w:val="0"/>
          <w:bCs w:val="0"/>
        </w:rPr>
        <w:t>、评价方法、评价标准等。</w:t>
      </w:r>
      <w:bookmarkEnd w:id="5"/>
    </w:p>
    <w:p w14:paraId="047521C3">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sz w:val="30"/>
          <w:szCs w:val="30"/>
        </w:rPr>
      </w:pPr>
      <w:r>
        <w:rPr>
          <w:rFonts w:hint="eastAsia"/>
          <w:sz w:val="30"/>
          <w:szCs w:val="30"/>
        </w:rPr>
        <w:t>1</w:t>
      </w:r>
      <w:r>
        <w:rPr>
          <w:rFonts w:hint="eastAsia"/>
          <w:sz w:val="30"/>
          <w:szCs w:val="30"/>
          <w:lang w:val="en-US" w:eastAsia="zh-CN"/>
        </w:rPr>
        <w:t>.</w:t>
      </w:r>
      <w:r>
        <w:rPr>
          <w:rFonts w:hint="eastAsia"/>
          <w:sz w:val="30"/>
          <w:szCs w:val="30"/>
        </w:rPr>
        <w:t>绩效评价原则</w:t>
      </w:r>
    </w:p>
    <w:p w14:paraId="63364A26">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bCs/>
          <w:color w:val="FF0000"/>
          <w:sz w:val="30"/>
          <w:szCs w:val="30"/>
        </w:rPr>
      </w:pPr>
      <w:r>
        <w:rPr>
          <w:rFonts w:eastAsia="仿宋_GB2312"/>
          <w:color w:val="000000"/>
          <w:sz w:val="30"/>
          <w:szCs w:val="30"/>
        </w:rPr>
        <w:t>本次项目绩效评价遵循以下基本原则：</w:t>
      </w:r>
    </w:p>
    <w:p w14:paraId="3C0756EB">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bCs/>
          <w:color w:val="auto"/>
          <w:sz w:val="30"/>
          <w:szCs w:val="30"/>
        </w:rPr>
      </w:pPr>
      <w:r>
        <w:rPr>
          <w:rFonts w:hint="eastAsia" w:ascii="仿宋_GB2312"/>
          <w:bCs/>
          <w:color w:val="auto"/>
          <w:sz w:val="30"/>
          <w:szCs w:val="30"/>
        </w:rPr>
        <w:t>（一）科学公正。</w:t>
      </w:r>
      <w:r>
        <w:rPr>
          <w:rFonts w:hint="eastAsia" w:ascii="仿宋_GB2312"/>
          <w:bCs/>
          <w:color w:val="auto"/>
          <w:sz w:val="30"/>
          <w:szCs w:val="30"/>
          <w:lang w:eastAsia="zh-CN"/>
        </w:rPr>
        <w:t>巴州信访局</w:t>
      </w:r>
      <w:r>
        <w:rPr>
          <w:rFonts w:hint="eastAsia"/>
          <w:sz w:val="30"/>
          <w:szCs w:val="30"/>
          <w:lang w:eastAsia="zh-CN"/>
        </w:rPr>
        <w:t>全国两会</w:t>
      </w:r>
      <w:r>
        <w:rPr>
          <w:rFonts w:hint="eastAsia"/>
          <w:sz w:val="30"/>
          <w:szCs w:val="30"/>
        </w:rPr>
        <w:t>期间信访安全保障专项工作经费</w:t>
      </w:r>
      <w:r>
        <w:rPr>
          <w:rFonts w:hint="eastAsia" w:ascii="仿宋_GB2312"/>
          <w:bCs/>
          <w:color w:val="auto"/>
          <w:sz w:val="30"/>
          <w:szCs w:val="30"/>
        </w:rPr>
        <w:t>项目支出绩效评价运用科学合理的方法，按照规范的程序，对项目绩效进行客观、公正的反映。</w:t>
      </w:r>
      <w:r>
        <w:rPr>
          <w:rFonts w:hint="eastAsia" w:ascii="仿宋_GB2312"/>
          <w:bCs/>
          <w:color w:val="auto"/>
          <w:sz w:val="30"/>
          <w:szCs w:val="30"/>
          <w:lang w:eastAsia="zh-CN"/>
        </w:rPr>
        <w:t>本次项目支出绩效使用定性和定量的指标对项目进行评价，确保评价方法的科学性，并依据项目实施前后的对比数据，来评估项目的实际影响。</w:t>
      </w:r>
    </w:p>
    <w:p w14:paraId="57865818">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bCs/>
          <w:color w:val="auto"/>
          <w:sz w:val="30"/>
          <w:szCs w:val="30"/>
        </w:rPr>
      </w:pPr>
      <w:r>
        <w:rPr>
          <w:rFonts w:hint="eastAsia" w:ascii="仿宋_GB2312"/>
          <w:bCs/>
          <w:color w:val="auto"/>
          <w:sz w:val="30"/>
          <w:szCs w:val="30"/>
        </w:rPr>
        <w:t>（二）统筹兼顾。</w:t>
      </w:r>
      <w:r>
        <w:rPr>
          <w:rFonts w:hint="eastAsia" w:ascii="仿宋_GB2312"/>
          <w:bCs/>
          <w:color w:val="auto"/>
          <w:sz w:val="30"/>
          <w:szCs w:val="30"/>
          <w:lang w:eastAsia="zh-CN"/>
        </w:rPr>
        <w:t>巴州信访局</w:t>
      </w:r>
      <w:r>
        <w:rPr>
          <w:rFonts w:hint="eastAsia"/>
          <w:sz w:val="30"/>
          <w:szCs w:val="30"/>
          <w:lang w:eastAsia="zh-CN"/>
        </w:rPr>
        <w:t>全国两会</w:t>
      </w:r>
      <w:r>
        <w:rPr>
          <w:rFonts w:hint="eastAsia"/>
          <w:sz w:val="30"/>
          <w:szCs w:val="30"/>
        </w:rPr>
        <w:t>期间信访安全保障专项工作经费</w:t>
      </w:r>
      <w:r>
        <w:rPr>
          <w:rFonts w:hint="eastAsia" w:ascii="仿宋_GB2312"/>
          <w:bCs/>
          <w:color w:val="auto"/>
          <w:sz w:val="30"/>
          <w:szCs w:val="30"/>
        </w:rPr>
        <w:t>项目支出绩效评价由本单位自主实施，即“谁支出、谁自评”</w:t>
      </w:r>
      <w:r>
        <w:rPr>
          <w:rFonts w:hint="eastAsia" w:ascii="仿宋_GB2312"/>
          <w:bCs/>
          <w:color w:val="auto"/>
          <w:sz w:val="30"/>
          <w:szCs w:val="30"/>
          <w:lang w:eastAsia="zh-CN"/>
        </w:rPr>
        <w:t>，</w:t>
      </w:r>
      <w:r>
        <w:rPr>
          <w:rFonts w:hint="eastAsia" w:ascii="仿宋_GB2312"/>
          <w:bCs/>
          <w:color w:val="auto"/>
          <w:sz w:val="30"/>
          <w:szCs w:val="30"/>
        </w:rPr>
        <w:t>单位自评、部门评价和财政评价职责明确，各有侧重，相互衔接</w:t>
      </w:r>
      <w:r>
        <w:rPr>
          <w:rFonts w:hint="eastAsia" w:ascii="仿宋_GB2312"/>
          <w:bCs/>
          <w:color w:val="auto"/>
          <w:sz w:val="30"/>
          <w:szCs w:val="30"/>
          <w:lang w:eastAsia="zh-CN"/>
        </w:rPr>
        <w:t>，在项目的各个阶段和方面，如规划、实施、监督和结果由本单位进行统筹，关注项目对资源利用效率、经济成本以及满意度等各个方面的影响。</w:t>
      </w:r>
    </w:p>
    <w:p w14:paraId="154E2186">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bCs/>
          <w:color w:val="auto"/>
          <w:sz w:val="30"/>
          <w:szCs w:val="30"/>
          <w:lang w:eastAsia="zh-CN"/>
        </w:rPr>
      </w:pPr>
      <w:r>
        <w:rPr>
          <w:rFonts w:hint="eastAsia" w:ascii="仿宋_GB2312"/>
          <w:bCs/>
          <w:color w:val="auto"/>
          <w:sz w:val="30"/>
          <w:szCs w:val="30"/>
        </w:rPr>
        <w:t>（三）激励约束。</w:t>
      </w:r>
      <w:r>
        <w:rPr>
          <w:rFonts w:hint="eastAsia" w:ascii="仿宋_GB2312"/>
          <w:bCs/>
          <w:color w:val="auto"/>
          <w:sz w:val="30"/>
          <w:szCs w:val="30"/>
          <w:lang w:eastAsia="zh-CN"/>
        </w:rPr>
        <w:t>巴州信访局</w:t>
      </w:r>
      <w:r>
        <w:rPr>
          <w:rFonts w:hint="eastAsia"/>
          <w:sz w:val="30"/>
          <w:szCs w:val="30"/>
          <w:lang w:eastAsia="zh-CN"/>
        </w:rPr>
        <w:t>全国两会</w:t>
      </w:r>
      <w:r>
        <w:rPr>
          <w:rFonts w:hint="eastAsia"/>
          <w:sz w:val="30"/>
          <w:szCs w:val="30"/>
        </w:rPr>
        <w:t>期间信访安全保障专项工作经费</w:t>
      </w:r>
      <w:r>
        <w:rPr>
          <w:rFonts w:hint="eastAsia" w:ascii="仿宋_GB2312"/>
          <w:bCs/>
          <w:color w:val="auto"/>
          <w:sz w:val="30"/>
          <w:szCs w:val="30"/>
        </w:rPr>
        <w:t>项目支出绩效评价结果与预算安排、政策调整、改进管理实质性挂钩，体现奖优罚劣和激励相容导向，有效要安排、低效要压减、无效要问责</w:t>
      </w:r>
      <w:r>
        <w:rPr>
          <w:rFonts w:hint="eastAsia" w:ascii="仿宋_GB2312"/>
          <w:bCs/>
          <w:color w:val="auto"/>
          <w:sz w:val="30"/>
          <w:szCs w:val="30"/>
          <w:lang w:eastAsia="zh-CN"/>
        </w:rPr>
        <w:t>。</w:t>
      </w:r>
    </w:p>
    <w:p w14:paraId="7284BA94">
      <w:pPr>
        <w:pageBreakBefore w:val="0"/>
        <w:kinsoku/>
        <w:wordWrap/>
        <w:overflowPunct/>
        <w:topLinePunct w:val="0"/>
        <w:autoSpaceDE/>
        <w:autoSpaceDN/>
        <w:bidi w:val="0"/>
        <w:adjustRightInd/>
        <w:snapToGrid/>
        <w:spacing w:line="560" w:lineRule="exact"/>
        <w:ind w:firstLine="600" w:firstLineChars="200"/>
        <w:jc w:val="left"/>
        <w:textAlignment w:val="auto"/>
        <w:rPr>
          <w:sz w:val="30"/>
          <w:szCs w:val="30"/>
        </w:rPr>
      </w:pPr>
      <w:r>
        <w:rPr>
          <w:rFonts w:hint="eastAsia" w:ascii="仿宋_GB2312"/>
          <w:bCs/>
          <w:color w:val="auto"/>
          <w:sz w:val="30"/>
          <w:szCs w:val="30"/>
        </w:rPr>
        <w:t>（四）公开透明。</w:t>
      </w:r>
      <w:r>
        <w:rPr>
          <w:rFonts w:hint="eastAsia" w:ascii="仿宋_GB2312"/>
          <w:bCs/>
          <w:color w:val="auto"/>
          <w:sz w:val="30"/>
          <w:szCs w:val="30"/>
          <w:lang w:eastAsia="zh-CN"/>
        </w:rPr>
        <w:t>巴州信访局</w:t>
      </w:r>
      <w:r>
        <w:rPr>
          <w:rFonts w:hint="eastAsia"/>
          <w:sz w:val="30"/>
          <w:szCs w:val="30"/>
          <w:lang w:eastAsia="zh-CN"/>
        </w:rPr>
        <w:t>全国两会</w:t>
      </w:r>
      <w:r>
        <w:rPr>
          <w:rFonts w:hint="eastAsia"/>
          <w:sz w:val="30"/>
          <w:szCs w:val="30"/>
        </w:rPr>
        <w:t>期间信访安全保障专项工作经费</w:t>
      </w:r>
      <w:r>
        <w:rPr>
          <w:rFonts w:hint="eastAsia" w:ascii="仿宋_GB2312"/>
          <w:bCs/>
          <w:color w:val="auto"/>
          <w:sz w:val="30"/>
          <w:szCs w:val="30"/>
        </w:rPr>
        <w:t>项目支出绩效评价结果</w:t>
      </w:r>
      <w:r>
        <w:rPr>
          <w:rFonts w:hint="eastAsia" w:ascii="仿宋_GB2312"/>
          <w:bCs/>
          <w:color w:val="auto"/>
          <w:sz w:val="30"/>
          <w:szCs w:val="30"/>
          <w:lang w:eastAsia="zh-CN"/>
        </w:rPr>
        <w:t>在巴州人民政府网</w:t>
      </w:r>
      <w:r>
        <w:rPr>
          <w:rFonts w:hint="eastAsia" w:ascii="仿宋_GB2312"/>
          <w:bCs/>
          <w:color w:val="auto"/>
          <w:sz w:val="30"/>
          <w:szCs w:val="30"/>
        </w:rPr>
        <w:t>依法依规公开，并自觉接受社会监督。</w:t>
      </w:r>
    </w:p>
    <w:p w14:paraId="61704B12">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sz w:val="30"/>
          <w:szCs w:val="30"/>
        </w:rPr>
      </w:pPr>
      <w:bookmarkStart w:id="6" w:name="_Toc68703834"/>
      <w:r>
        <w:rPr>
          <w:rFonts w:hint="eastAsia"/>
          <w:sz w:val="30"/>
          <w:szCs w:val="30"/>
        </w:rPr>
        <w:t>2、评价指标体系（附表说明）</w:t>
      </w:r>
    </w:p>
    <w:p w14:paraId="6B00E124">
      <w:pPr>
        <w:pageBreakBefore w:val="0"/>
        <w:kinsoku/>
        <w:wordWrap/>
        <w:overflowPunct/>
        <w:topLinePunct w:val="0"/>
        <w:autoSpaceDE/>
        <w:autoSpaceDN/>
        <w:bidi w:val="0"/>
        <w:adjustRightInd/>
        <w:snapToGrid/>
        <w:spacing w:line="560" w:lineRule="exact"/>
        <w:ind w:firstLine="668" w:firstLineChars="200"/>
        <w:textAlignment w:val="auto"/>
        <w:rPr>
          <w:color w:val="000000"/>
          <w:spacing w:val="17"/>
          <w:sz w:val="30"/>
          <w:szCs w:val="30"/>
        </w:rPr>
      </w:pPr>
      <w:r>
        <w:rPr>
          <w:rFonts w:eastAsia="仿宋_GB2312"/>
          <w:color w:val="000000"/>
          <w:spacing w:val="17"/>
          <w:sz w:val="30"/>
          <w:szCs w:val="30"/>
        </w:rPr>
        <w:t>绩效评价框架是开展绩效评价的核心。绩效评价框架包括评价准则、关键评价问题、评价指标、数据来源、数据收集方法等。指标体系建立过程如下：</w:t>
      </w:r>
    </w:p>
    <w:p w14:paraId="30C2EE72">
      <w:pPr>
        <w:pageBreakBefore w:val="0"/>
        <w:kinsoku/>
        <w:wordWrap/>
        <w:overflowPunct/>
        <w:topLinePunct w:val="0"/>
        <w:autoSpaceDE/>
        <w:autoSpaceDN/>
        <w:bidi w:val="0"/>
        <w:adjustRightInd/>
        <w:snapToGrid/>
        <w:spacing w:line="560" w:lineRule="exact"/>
        <w:ind w:firstLine="668" w:firstLineChars="200"/>
        <w:textAlignment w:val="auto"/>
        <w:rPr>
          <w:rFonts w:eastAsia="仿宋_GB2312"/>
          <w:color w:val="000000"/>
          <w:spacing w:val="17"/>
          <w:sz w:val="30"/>
          <w:szCs w:val="30"/>
        </w:rPr>
      </w:pPr>
      <w:r>
        <w:rPr>
          <w:rFonts w:eastAsia="仿宋_GB2312"/>
          <w:color w:val="000000"/>
          <w:spacing w:val="17"/>
          <w:sz w:val="30"/>
          <w:szCs w:val="30"/>
        </w:rPr>
        <w:t>（1）确定评价指标</w:t>
      </w:r>
    </w:p>
    <w:p w14:paraId="2950C7C9">
      <w:pPr>
        <w:pageBreakBefore w:val="0"/>
        <w:kinsoku/>
        <w:wordWrap/>
        <w:overflowPunct/>
        <w:topLinePunct w:val="0"/>
        <w:autoSpaceDE/>
        <w:autoSpaceDN/>
        <w:bidi w:val="0"/>
        <w:adjustRightInd/>
        <w:snapToGrid/>
        <w:spacing w:line="560" w:lineRule="exact"/>
        <w:ind w:firstLine="668" w:firstLineChars="200"/>
        <w:textAlignment w:val="auto"/>
        <w:rPr>
          <w:rFonts w:eastAsia="仿宋_GB2312"/>
          <w:color w:val="000000"/>
          <w:spacing w:val="17"/>
          <w:sz w:val="30"/>
          <w:szCs w:val="30"/>
        </w:rPr>
      </w:pPr>
      <w:r>
        <w:rPr>
          <w:rFonts w:eastAsia="仿宋_GB2312"/>
          <w:color w:val="000000"/>
          <w:spacing w:val="17"/>
          <w:sz w:val="30"/>
          <w:szCs w:val="30"/>
        </w:rPr>
        <w:t>采用层次分析法，建立评价指标体系。绩效评价将指标分为项目决策指标、项目过程指标、项目产出指标、项目效益指标四个维度，最终形成一个由多个相互联系的指标组成的多层次指标体系。</w:t>
      </w:r>
    </w:p>
    <w:p w14:paraId="3DCD4F8D">
      <w:pPr>
        <w:pageBreakBefore w:val="0"/>
        <w:kinsoku/>
        <w:wordWrap/>
        <w:overflowPunct/>
        <w:topLinePunct w:val="0"/>
        <w:autoSpaceDE/>
        <w:autoSpaceDN/>
        <w:bidi w:val="0"/>
        <w:adjustRightInd/>
        <w:snapToGrid/>
        <w:spacing w:line="560" w:lineRule="exact"/>
        <w:ind w:firstLine="668" w:firstLineChars="200"/>
        <w:textAlignment w:val="auto"/>
        <w:rPr>
          <w:rFonts w:eastAsia="仿宋_GB2312"/>
          <w:color w:val="000000"/>
          <w:spacing w:val="17"/>
          <w:sz w:val="30"/>
          <w:szCs w:val="30"/>
        </w:rPr>
      </w:pPr>
      <w:r>
        <w:rPr>
          <w:rFonts w:eastAsia="仿宋_GB2312"/>
          <w:color w:val="000000"/>
          <w:spacing w:val="17"/>
          <w:sz w:val="30"/>
          <w:szCs w:val="30"/>
        </w:rPr>
        <w:t>（2）确定权重</w:t>
      </w:r>
    </w:p>
    <w:p w14:paraId="1B8D7AFD">
      <w:pPr>
        <w:pageBreakBefore w:val="0"/>
        <w:kinsoku/>
        <w:wordWrap/>
        <w:overflowPunct/>
        <w:topLinePunct w:val="0"/>
        <w:autoSpaceDE/>
        <w:autoSpaceDN/>
        <w:bidi w:val="0"/>
        <w:adjustRightInd/>
        <w:snapToGrid/>
        <w:spacing w:line="560" w:lineRule="exact"/>
        <w:ind w:firstLine="668" w:firstLineChars="200"/>
        <w:textAlignment w:val="auto"/>
        <w:rPr>
          <w:rFonts w:hint="eastAsia" w:eastAsia="仿宋_GB2312"/>
          <w:color w:val="0000FF"/>
          <w:spacing w:val="17"/>
          <w:sz w:val="30"/>
          <w:szCs w:val="30"/>
          <w:lang w:eastAsia="zh-CN"/>
        </w:rPr>
      </w:pPr>
      <w:r>
        <w:rPr>
          <w:rFonts w:eastAsia="仿宋_GB2312"/>
          <w:color w:val="000000"/>
          <w:spacing w:val="17"/>
          <w:sz w:val="30"/>
          <w:szCs w:val="30"/>
        </w:rPr>
        <w:t>确定各个指标相对于项目总体绩效的权重分值。在绩</w:t>
      </w:r>
      <w:r>
        <w:rPr>
          <w:rFonts w:eastAsia="仿宋_GB2312"/>
          <w:color w:val="auto"/>
          <w:spacing w:val="17"/>
          <w:sz w:val="30"/>
          <w:szCs w:val="30"/>
        </w:rPr>
        <w:t>效评价指标体系中，项目决策权重为20分，项目过程权重为20分，项目产出权重为40分，项目效益权重为20分。</w:t>
      </w:r>
    </w:p>
    <w:p w14:paraId="40ECB4C0">
      <w:pPr>
        <w:pageBreakBefore w:val="0"/>
        <w:kinsoku/>
        <w:wordWrap/>
        <w:overflowPunct/>
        <w:topLinePunct w:val="0"/>
        <w:autoSpaceDE/>
        <w:autoSpaceDN/>
        <w:bidi w:val="0"/>
        <w:adjustRightInd/>
        <w:snapToGrid/>
        <w:spacing w:line="560" w:lineRule="exact"/>
        <w:ind w:firstLine="668" w:firstLineChars="200"/>
        <w:textAlignment w:val="auto"/>
        <w:rPr>
          <w:rFonts w:eastAsia="仿宋_GB2312"/>
          <w:color w:val="000000"/>
          <w:spacing w:val="17"/>
          <w:sz w:val="30"/>
          <w:szCs w:val="30"/>
        </w:rPr>
      </w:pPr>
      <w:r>
        <w:rPr>
          <w:rFonts w:eastAsia="仿宋_GB2312"/>
          <w:color w:val="000000"/>
          <w:spacing w:val="17"/>
          <w:sz w:val="30"/>
          <w:szCs w:val="30"/>
        </w:rPr>
        <w:t>（3）确定指标标准值</w:t>
      </w:r>
    </w:p>
    <w:p w14:paraId="4B3300BF">
      <w:pPr>
        <w:pageBreakBefore w:val="0"/>
        <w:kinsoku/>
        <w:wordWrap/>
        <w:overflowPunct/>
        <w:topLinePunct w:val="0"/>
        <w:autoSpaceDE/>
        <w:autoSpaceDN/>
        <w:bidi w:val="0"/>
        <w:adjustRightInd/>
        <w:snapToGrid/>
        <w:spacing w:line="560" w:lineRule="exact"/>
        <w:ind w:firstLine="668" w:firstLineChars="200"/>
        <w:textAlignment w:val="auto"/>
        <w:rPr>
          <w:rFonts w:eastAsia="仿宋_GB2312"/>
          <w:color w:val="000000"/>
          <w:spacing w:val="17"/>
          <w:sz w:val="30"/>
          <w:szCs w:val="30"/>
        </w:rPr>
      </w:pPr>
      <w:r>
        <w:rPr>
          <w:rFonts w:eastAsia="仿宋_GB2312"/>
          <w:color w:val="000000"/>
          <w:spacing w:val="17"/>
          <w:sz w:val="30"/>
          <w:szCs w:val="30"/>
        </w:rPr>
        <w:t>指标标准值是绩效评价指标的尺度，既要反映同类项目的先进水平，又要符合项目的实际绩效水平。具体采用计划标准等确定此次绩效评价指标标准值。</w:t>
      </w:r>
    </w:p>
    <w:p w14:paraId="3BB269C0">
      <w:pPr>
        <w:pStyle w:val="2"/>
        <w:pageBreakBefore w:val="0"/>
        <w:kinsoku/>
        <w:wordWrap/>
        <w:overflowPunct/>
        <w:topLinePunct w:val="0"/>
        <w:autoSpaceDE/>
        <w:autoSpaceDN/>
        <w:bidi w:val="0"/>
        <w:adjustRightInd/>
        <w:snapToGrid/>
        <w:spacing w:before="0" w:after="0" w:line="560" w:lineRule="exact"/>
        <w:ind w:firstLine="668" w:firstLineChars="200"/>
        <w:jc w:val="both"/>
        <w:textAlignment w:val="auto"/>
        <w:rPr>
          <w:rFonts w:ascii="Times New Roman" w:hAnsi="Times New Roman" w:eastAsia="仿宋_GB2312"/>
          <w:b w:val="0"/>
          <w:bCs w:val="0"/>
          <w:color w:val="000000"/>
          <w:spacing w:val="17"/>
          <w:kern w:val="2"/>
          <w:sz w:val="30"/>
          <w:szCs w:val="30"/>
        </w:rPr>
      </w:pPr>
      <w:r>
        <w:rPr>
          <w:rFonts w:ascii="Times New Roman" w:hAnsi="Times New Roman" w:eastAsia="仿宋_GB2312"/>
          <w:b w:val="0"/>
          <w:bCs w:val="0"/>
          <w:color w:val="000000"/>
          <w:spacing w:val="17"/>
          <w:kern w:val="2"/>
          <w:sz w:val="30"/>
          <w:szCs w:val="30"/>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4AB1201E">
      <w:pPr>
        <w:pageBreakBefore w:val="0"/>
        <w:kinsoku/>
        <w:wordWrap/>
        <w:overflowPunct/>
        <w:topLinePunct w:val="0"/>
        <w:autoSpaceDE/>
        <w:autoSpaceDN/>
        <w:bidi w:val="0"/>
        <w:adjustRightInd/>
        <w:snapToGrid/>
        <w:spacing w:line="560" w:lineRule="exact"/>
        <w:ind w:firstLine="668" w:firstLineChars="200"/>
        <w:jc w:val="left"/>
        <w:textAlignment w:val="auto"/>
        <w:rPr>
          <w:rFonts w:hint="eastAsia"/>
          <w:b w:val="0"/>
          <w:bCs w:val="0"/>
          <w:color w:val="auto"/>
          <w:spacing w:val="17"/>
          <w:sz w:val="30"/>
          <w:szCs w:val="30"/>
          <w:lang w:val="en-US" w:eastAsia="zh-CN"/>
        </w:rPr>
      </w:pPr>
      <w:r>
        <w:rPr>
          <w:rFonts w:hint="eastAsia"/>
          <w:b w:val="0"/>
          <w:bCs w:val="0"/>
          <w:color w:val="auto"/>
          <w:spacing w:val="17"/>
          <w:sz w:val="30"/>
          <w:szCs w:val="30"/>
          <w:lang w:val="en-US" w:eastAsia="zh-CN"/>
        </w:rPr>
        <w:t>具体评价指标体系详情见附件1。</w:t>
      </w:r>
    </w:p>
    <w:p w14:paraId="2CEEA058">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sz w:val="30"/>
          <w:szCs w:val="30"/>
        </w:rPr>
      </w:pPr>
      <w:r>
        <w:rPr>
          <w:rFonts w:hint="eastAsia"/>
          <w:sz w:val="30"/>
          <w:szCs w:val="30"/>
        </w:rPr>
        <w:t>3、评价方法</w:t>
      </w:r>
    </w:p>
    <w:p w14:paraId="764D16C8">
      <w:pPr>
        <w:pageBreakBefore w:val="0"/>
        <w:kinsoku/>
        <w:wordWrap/>
        <w:overflowPunct/>
        <w:topLinePunct w:val="0"/>
        <w:autoSpaceDE/>
        <w:autoSpaceDN/>
        <w:bidi w:val="0"/>
        <w:adjustRightInd/>
        <w:snapToGrid/>
        <w:spacing w:line="560" w:lineRule="exact"/>
        <w:ind w:firstLine="668" w:firstLineChars="200"/>
        <w:textAlignment w:val="auto"/>
        <w:rPr>
          <w:rFonts w:eastAsia="仿宋_GB2312"/>
          <w:color w:val="000000"/>
          <w:spacing w:val="17"/>
          <w:sz w:val="30"/>
          <w:szCs w:val="30"/>
        </w:rPr>
      </w:pPr>
      <w:r>
        <w:rPr>
          <w:rFonts w:eastAsia="仿宋_GB2312"/>
          <w:color w:val="000000"/>
          <w:spacing w:val="17"/>
          <w:sz w:val="30"/>
          <w:szCs w:val="30"/>
        </w:rPr>
        <w:t>绩效评价从项目决策、项目过程、项目产出、项目效益四个维度进行评价。评价对象为项目目标实施情况，评价核心为资金的支出完成情况和项目的产出效益。</w:t>
      </w:r>
    </w:p>
    <w:p w14:paraId="3E0D2B8A">
      <w:pPr>
        <w:pageBreakBefore w:val="0"/>
        <w:kinsoku/>
        <w:wordWrap/>
        <w:overflowPunct/>
        <w:topLinePunct w:val="0"/>
        <w:autoSpaceDE/>
        <w:autoSpaceDN/>
        <w:bidi w:val="0"/>
        <w:adjustRightInd/>
        <w:snapToGrid/>
        <w:spacing w:line="560" w:lineRule="exact"/>
        <w:ind w:firstLine="668" w:firstLineChars="200"/>
        <w:textAlignment w:val="auto"/>
        <w:rPr>
          <w:rFonts w:eastAsia="仿宋_GB2312"/>
          <w:color w:val="000000"/>
          <w:spacing w:val="17"/>
          <w:sz w:val="30"/>
          <w:szCs w:val="30"/>
        </w:rPr>
      </w:pPr>
      <w:r>
        <w:rPr>
          <w:rFonts w:eastAsia="仿宋_GB2312"/>
          <w:color w:val="000000"/>
          <w:spacing w:val="17"/>
          <w:sz w:val="30"/>
          <w:szCs w:val="30"/>
        </w:rPr>
        <w:t>本次评价指标中，既有定性指标又有定量指标，各类指标因考核内容不同和客观标准不同存在较大差异，因此核定具体指标时采用了不同方法，具体评价方法如下：</w:t>
      </w:r>
    </w:p>
    <w:p w14:paraId="2D2FD80E">
      <w:pPr>
        <w:pageBreakBefore w:val="0"/>
        <w:kinsoku/>
        <w:wordWrap/>
        <w:overflowPunct/>
        <w:topLinePunct w:val="0"/>
        <w:autoSpaceDE/>
        <w:autoSpaceDN/>
        <w:bidi w:val="0"/>
        <w:adjustRightInd/>
        <w:snapToGrid/>
        <w:spacing w:line="560" w:lineRule="exact"/>
        <w:ind w:firstLine="668" w:firstLineChars="200"/>
        <w:textAlignment w:val="auto"/>
        <w:rPr>
          <w:rFonts w:hint="eastAsia" w:ascii="Times New Roman" w:hAnsi="Times New Roman" w:eastAsia="仿宋_GB2312" w:cs="Times New Roman"/>
          <w:b w:val="0"/>
          <w:bCs w:val="0"/>
          <w:color w:val="000000"/>
          <w:spacing w:val="17"/>
          <w:kern w:val="2"/>
          <w:sz w:val="30"/>
          <w:szCs w:val="30"/>
          <w:lang w:val="en-US" w:eastAsia="zh-CN" w:bidi="ar-SA"/>
        </w:rPr>
      </w:pPr>
      <w:r>
        <w:rPr>
          <w:rFonts w:hint="eastAsia" w:ascii="Times New Roman" w:hAnsi="Times New Roman" w:eastAsia="仿宋_GB2312" w:cs="Times New Roman"/>
          <w:b w:val="0"/>
          <w:bCs w:val="0"/>
          <w:color w:val="000000"/>
          <w:spacing w:val="17"/>
          <w:kern w:val="2"/>
          <w:sz w:val="30"/>
          <w:szCs w:val="30"/>
          <w:lang w:val="en-US" w:eastAsia="zh-CN" w:bidi="ar-SA"/>
        </w:rPr>
        <w:t>因素分析法</w:t>
      </w:r>
    </w:p>
    <w:p w14:paraId="588C9BD3">
      <w:pPr>
        <w:pageBreakBefore w:val="0"/>
        <w:kinsoku/>
        <w:wordWrap/>
        <w:overflowPunct/>
        <w:topLinePunct w:val="0"/>
        <w:autoSpaceDE/>
        <w:autoSpaceDN/>
        <w:bidi w:val="0"/>
        <w:adjustRightInd/>
        <w:snapToGrid/>
        <w:spacing w:line="560" w:lineRule="exact"/>
        <w:ind w:firstLine="668" w:firstLineChars="200"/>
        <w:textAlignment w:val="auto"/>
        <w:rPr>
          <w:rFonts w:hint="default" w:eastAsia="宋体"/>
          <w:sz w:val="30"/>
          <w:szCs w:val="30"/>
          <w:lang w:val="en-US" w:eastAsia="zh-CN"/>
        </w:rPr>
      </w:pPr>
      <w:r>
        <w:rPr>
          <w:rFonts w:hint="eastAsia" w:ascii="Times New Roman" w:hAnsi="Times New Roman" w:eastAsia="仿宋_GB2312" w:cs="Times New Roman"/>
          <w:b w:val="0"/>
          <w:bCs w:val="0"/>
          <w:color w:val="000000"/>
          <w:spacing w:val="17"/>
          <w:kern w:val="2"/>
          <w:sz w:val="30"/>
          <w:szCs w:val="30"/>
          <w:lang w:val="en-US" w:eastAsia="zh-CN" w:bidi="ar-SA"/>
        </w:rPr>
        <w:t>巴州信访局</w:t>
      </w:r>
      <w:r>
        <w:rPr>
          <w:rFonts w:hint="eastAsia" w:cs="Times New Roman"/>
          <w:b w:val="0"/>
          <w:bCs w:val="0"/>
          <w:color w:val="000000"/>
          <w:spacing w:val="17"/>
          <w:kern w:val="2"/>
          <w:sz w:val="30"/>
          <w:szCs w:val="30"/>
          <w:lang w:val="en-US" w:eastAsia="zh-CN" w:bidi="ar-SA"/>
        </w:rPr>
        <w:t>全国两会</w:t>
      </w:r>
      <w:r>
        <w:rPr>
          <w:rFonts w:hint="eastAsia" w:ascii="Times New Roman" w:hAnsi="Times New Roman" w:eastAsia="仿宋_GB2312" w:cs="Times New Roman"/>
          <w:b w:val="0"/>
          <w:bCs w:val="0"/>
          <w:color w:val="000000"/>
          <w:spacing w:val="17"/>
          <w:kern w:val="2"/>
          <w:sz w:val="30"/>
          <w:szCs w:val="30"/>
          <w:lang w:val="en-US" w:eastAsia="zh-CN" w:bidi="ar-SA"/>
        </w:rPr>
        <w:t>期间信访安全保障专项工作</w:t>
      </w:r>
      <w:r>
        <w:rPr>
          <w:rFonts w:hint="eastAsia" w:cs="Times New Roman"/>
          <w:b w:val="0"/>
          <w:bCs w:val="0"/>
          <w:color w:val="000000"/>
          <w:spacing w:val="17"/>
          <w:kern w:val="2"/>
          <w:sz w:val="30"/>
          <w:szCs w:val="30"/>
          <w:lang w:val="en-US" w:eastAsia="zh-CN" w:bidi="ar-SA"/>
        </w:rPr>
        <w:t>经费就保障我局信访工作顺利开展，</w:t>
      </w:r>
      <w:r>
        <w:rPr>
          <w:rFonts w:hint="eastAsia" w:ascii="Times New Roman" w:hAnsi="Times New Roman" w:eastAsia="仿宋_GB2312" w:cs="Times New Roman"/>
          <w:b w:val="0"/>
          <w:bCs w:val="0"/>
          <w:color w:val="000000"/>
          <w:spacing w:val="17"/>
          <w:kern w:val="2"/>
          <w:sz w:val="30"/>
          <w:szCs w:val="30"/>
          <w:lang w:val="en-US" w:eastAsia="zh-CN" w:bidi="ar-SA"/>
        </w:rPr>
        <w:t>有不确定性，结合内外部因素分析，便于评价，因此采用因素分析法。</w:t>
      </w:r>
    </w:p>
    <w:p w14:paraId="33EF59BB">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sz w:val="30"/>
          <w:szCs w:val="30"/>
        </w:rPr>
      </w:pPr>
      <w:r>
        <w:rPr>
          <w:rFonts w:hint="eastAsia"/>
          <w:sz w:val="30"/>
          <w:szCs w:val="30"/>
        </w:rPr>
        <w:t>4</w:t>
      </w:r>
      <w:r>
        <w:rPr>
          <w:rFonts w:hint="eastAsia"/>
          <w:sz w:val="30"/>
          <w:szCs w:val="30"/>
          <w:lang w:val="en-US" w:eastAsia="zh-CN"/>
        </w:rPr>
        <w:t>.</w:t>
      </w:r>
      <w:r>
        <w:rPr>
          <w:rFonts w:hint="eastAsia"/>
          <w:sz w:val="30"/>
          <w:szCs w:val="30"/>
        </w:rPr>
        <w:t>评价标准</w:t>
      </w:r>
    </w:p>
    <w:p w14:paraId="01163D85">
      <w:pPr>
        <w:spacing w:line="560" w:lineRule="exact"/>
        <w:ind w:firstLine="668" w:firstLineChars="200"/>
        <w:rPr>
          <w:rFonts w:hint="eastAsia" w:ascii="仿宋" w:hAnsi="仿宋" w:eastAsia="仿宋" w:cs="仿宋"/>
          <w:color w:val="000000"/>
          <w:spacing w:val="17"/>
          <w:sz w:val="30"/>
          <w:szCs w:val="30"/>
          <w:highlight w:val="none"/>
        </w:rPr>
      </w:pPr>
      <w:r>
        <w:rPr>
          <w:rFonts w:hint="eastAsia" w:eastAsia="仿宋_GB2312"/>
          <w:color w:val="000000"/>
          <w:spacing w:val="17"/>
          <w:sz w:val="30"/>
          <w:szCs w:val="30"/>
          <w:highlight w:val="none"/>
        </w:rPr>
        <w:t>绩效评价标准通常包</w:t>
      </w:r>
      <w:r>
        <w:rPr>
          <w:rFonts w:hint="eastAsia" w:eastAsia="仿宋_GB2312"/>
          <w:color w:val="000000"/>
          <w:spacing w:val="17"/>
          <w:sz w:val="30"/>
          <w:szCs w:val="30"/>
        </w:rPr>
        <w:t>括计划标准、行业标准、历史标准等，用于对绩效指标完成情况进行比较、分析、评价。本次评价主要采用了</w:t>
      </w:r>
      <w:bookmarkStart w:id="7" w:name="_Toc68703833"/>
      <w:r>
        <w:rPr>
          <w:rFonts w:hint="eastAsia" w:ascii="仿宋" w:hAnsi="仿宋" w:eastAsia="仿宋" w:cs="仿宋"/>
          <w:b w:val="0"/>
          <w:bCs w:val="0"/>
          <w:color w:val="000000"/>
          <w:sz w:val="30"/>
          <w:szCs w:val="30"/>
          <w:highlight w:val="none"/>
          <w:lang w:val="en-US" w:eastAsia="zh-CN"/>
        </w:rPr>
        <w:t>计划</w:t>
      </w:r>
      <w:r>
        <w:rPr>
          <w:rFonts w:hint="eastAsia" w:ascii="仿宋" w:hAnsi="仿宋" w:eastAsia="仿宋" w:cs="仿宋"/>
          <w:color w:val="000000"/>
          <w:spacing w:val="17"/>
          <w:sz w:val="30"/>
          <w:szCs w:val="30"/>
          <w:highlight w:val="none"/>
        </w:rPr>
        <w:t>标准。</w:t>
      </w:r>
    </w:p>
    <w:p w14:paraId="5F0BD130">
      <w:pPr>
        <w:spacing w:line="560" w:lineRule="exact"/>
        <w:ind w:firstLine="668" w:firstLineChars="200"/>
        <w:rPr>
          <w:rFonts w:hint="eastAsia" w:eastAsia="仿宋_GB2312"/>
          <w:color w:val="000000"/>
          <w:spacing w:val="17"/>
          <w:sz w:val="30"/>
          <w:szCs w:val="30"/>
          <w:lang w:val="en-US" w:eastAsia="zh-CN"/>
        </w:rPr>
      </w:pPr>
      <w:bookmarkStart w:id="8" w:name="_Toc17882"/>
      <w:bookmarkStart w:id="9" w:name="_Toc31464"/>
      <w:r>
        <w:rPr>
          <w:rFonts w:hint="eastAsia" w:eastAsia="仿宋_GB2312"/>
          <w:color w:val="000000"/>
          <w:spacing w:val="17"/>
          <w:sz w:val="30"/>
          <w:szCs w:val="30"/>
          <w:lang w:val="en-US" w:eastAsia="zh-CN"/>
        </w:rPr>
        <w:t>由于我单位在设立此项目时，根据计划设置了多项指标，使用计划标准能够判断和分析项目实际完成情况以及与计划的差距，因此本次评价主要采用了计划标准。</w:t>
      </w:r>
    </w:p>
    <w:bookmarkEnd w:id="8"/>
    <w:bookmarkEnd w:id="9"/>
    <w:p w14:paraId="5CAC44E5">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eastAsia="仿宋_GB2312"/>
          <w:b w:val="0"/>
          <w:bCs w:val="0"/>
          <w:sz w:val="30"/>
          <w:szCs w:val="30"/>
        </w:rPr>
      </w:pPr>
      <w:r>
        <w:rPr>
          <w:rFonts w:hint="eastAsia" w:ascii="仿宋_GB2312" w:eastAsia="仿宋_GB2312"/>
          <w:b w:val="0"/>
          <w:bCs w:val="0"/>
          <w:sz w:val="30"/>
          <w:szCs w:val="30"/>
        </w:rPr>
        <w:t>（三）绩效评价工作过程。</w:t>
      </w:r>
      <w:bookmarkEnd w:id="7"/>
    </w:p>
    <w:p w14:paraId="289EC8CE">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eastAsia="仿宋_GB2312"/>
          <w:b w:val="0"/>
          <w:bCs w:val="0"/>
          <w:sz w:val="30"/>
          <w:szCs w:val="30"/>
        </w:rPr>
      </w:pPr>
      <w:r>
        <w:rPr>
          <w:rFonts w:hint="eastAsia" w:ascii="仿宋_GB2312" w:eastAsia="仿宋_GB2312"/>
          <w:b w:val="0"/>
          <w:bCs w:val="0"/>
          <w:sz w:val="30"/>
          <w:szCs w:val="30"/>
          <w:lang w:val="en-US" w:eastAsia="zh-CN"/>
        </w:rPr>
        <w:t>1.</w:t>
      </w:r>
      <w:r>
        <w:rPr>
          <w:rFonts w:hint="eastAsia" w:ascii="仿宋_GB2312" w:eastAsia="仿宋_GB2312"/>
          <w:b w:val="0"/>
          <w:bCs w:val="0"/>
          <w:sz w:val="30"/>
          <w:szCs w:val="30"/>
        </w:rPr>
        <w:t>前期准备。首先</w:t>
      </w:r>
      <w:r>
        <w:rPr>
          <w:rFonts w:hint="eastAsia" w:ascii="仿宋_GB2312" w:eastAsia="仿宋_GB2312"/>
          <w:b w:val="0"/>
          <w:bCs w:val="0"/>
          <w:sz w:val="30"/>
          <w:szCs w:val="30"/>
          <w:lang w:eastAsia="zh-CN"/>
        </w:rPr>
        <w:t>根据巴州信访局全国两会</w:t>
      </w:r>
      <w:r>
        <w:rPr>
          <w:rFonts w:hint="eastAsia" w:ascii="仿宋_GB2312" w:eastAsia="仿宋_GB2312"/>
          <w:b w:val="0"/>
          <w:bCs w:val="0"/>
          <w:sz w:val="30"/>
          <w:szCs w:val="30"/>
        </w:rPr>
        <w:t>期间信访安全保障专项工作经费</w:t>
      </w:r>
      <w:r>
        <w:rPr>
          <w:rFonts w:hint="eastAsia" w:ascii="仿宋_GB2312" w:eastAsia="仿宋_GB2312"/>
          <w:b w:val="0"/>
          <w:bCs w:val="0"/>
          <w:sz w:val="30"/>
          <w:szCs w:val="30"/>
          <w:lang w:eastAsia="zh-CN"/>
        </w:rPr>
        <w:t>项目的主要内容</w:t>
      </w:r>
      <w:r>
        <w:rPr>
          <w:rFonts w:hint="eastAsia" w:ascii="仿宋_GB2312" w:eastAsia="仿宋_GB2312"/>
          <w:b w:val="0"/>
          <w:bCs w:val="0"/>
          <w:sz w:val="30"/>
          <w:szCs w:val="30"/>
        </w:rPr>
        <w:t>开展前期调研；其次明确项目绩效目标，设计</w:t>
      </w:r>
      <w:r>
        <w:rPr>
          <w:rFonts w:hint="eastAsia" w:ascii="仿宋_GB2312" w:eastAsia="仿宋_GB2312"/>
          <w:b w:val="0"/>
          <w:bCs w:val="0"/>
          <w:sz w:val="30"/>
          <w:szCs w:val="30"/>
          <w:lang w:eastAsia="zh-CN"/>
        </w:rPr>
        <w:t>产出指标、成本指标、效益指标、满意度指标等</w:t>
      </w:r>
      <w:r>
        <w:rPr>
          <w:rFonts w:hint="eastAsia" w:ascii="仿宋_GB2312" w:eastAsia="仿宋_GB2312"/>
          <w:b w:val="0"/>
          <w:bCs w:val="0"/>
          <w:sz w:val="30"/>
          <w:szCs w:val="30"/>
        </w:rPr>
        <w:t>绩效评价指标体系并确定</w:t>
      </w:r>
      <w:r>
        <w:rPr>
          <w:rFonts w:hint="eastAsia" w:ascii="仿宋_GB2312" w:eastAsia="仿宋_GB2312"/>
          <w:b w:val="0"/>
          <w:bCs w:val="0"/>
          <w:sz w:val="30"/>
          <w:szCs w:val="30"/>
          <w:lang w:eastAsia="zh-CN"/>
        </w:rPr>
        <w:t>因素分析法等</w:t>
      </w:r>
      <w:r>
        <w:rPr>
          <w:rFonts w:hint="eastAsia" w:ascii="仿宋_GB2312" w:eastAsia="仿宋_GB2312"/>
          <w:b w:val="0"/>
          <w:bCs w:val="0"/>
          <w:sz w:val="30"/>
          <w:szCs w:val="30"/>
        </w:rPr>
        <w:t>绩效评价方法；接着确定评价范围，设计资料清单；最后制定评价实施方案并进行论证。</w:t>
      </w:r>
    </w:p>
    <w:p w14:paraId="652F8C79">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eastAsia="仿宋_GB2312"/>
          <w:b w:val="0"/>
          <w:bCs w:val="0"/>
          <w:sz w:val="30"/>
          <w:szCs w:val="30"/>
        </w:rPr>
      </w:pPr>
      <w:r>
        <w:rPr>
          <w:rFonts w:hint="eastAsia" w:ascii="仿宋_GB2312" w:eastAsia="仿宋_GB2312"/>
          <w:b w:val="0"/>
          <w:bCs w:val="0"/>
          <w:sz w:val="30"/>
          <w:szCs w:val="30"/>
          <w:lang w:val="en-US" w:eastAsia="zh-CN"/>
        </w:rPr>
        <w:t>2.</w:t>
      </w:r>
      <w:r>
        <w:rPr>
          <w:rFonts w:hint="eastAsia" w:ascii="仿宋_GB2312" w:eastAsia="仿宋_GB2312"/>
          <w:b w:val="0"/>
          <w:bCs w:val="0"/>
          <w:sz w:val="30"/>
          <w:szCs w:val="30"/>
        </w:rPr>
        <w:t>组织实施。制定绩效评价工作方案，具体包括项目概况、评价思路、方法手段、组织实施、进度安排等。收集相关会议纪要、</w:t>
      </w:r>
      <w:r>
        <w:rPr>
          <w:rFonts w:hint="eastAsia" w:ascii="仿宋_GB2312" w:eastAsia="仿宋_GB2312"/>
          <w:b w:val="0"/>
          <w:bCs w:val="0"/>
          <w:sz w:val="30"/>
          <w:szCs w:val="30"/>
          <w:lang w:eastAsia="zh-CN"/>
        </w:rPr>
        <w:t>满意度情况说明</w:t>
      </w:r>
      <w:r>
        <w:rPr>
          <w:rFonts w:hint="eastAsia" w:ascii="仿宋_GB2312" w:eastAsia="仿宋_GB2312"/>
          <w:b w:val="0"/>
          <w:bCs w:val="0"/>
          <w:sz w:val="30"/>
          <w:szCs w:val="30"/>
        </w:rPr>
        <w:t>等相关评价资料并进行梳理。</w:t>
      </w:r>
    </w:p>
    <w:p w14:paraId="0113F64A">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eastAsia="仿宋_GB2312"/>
          <w:b w:val="0"/>
          <w:bCs w:val="0"/>
          <w:sz w:val="30"/>
          <w:szCs w:val="30"/>
        </w:rPr>
      </w:pPr>
      <w:r>
        <w:rPr>
          <w:rFonts w:hint="eastAsia" w:ascii="仿宋_GB2312" w:eastAsia="仿宋_GB2312"/>
          <w:b w:val="0"/>
          <w:bCs w:val="0"/>
          <w:sz w:val="30"/>
          <w:szCs w:val="30"/>
          <w:lang w:val="en-US" w:eastAsia="zh-CN"/>
        </w:rPr>
        <w:t>3.分析评价。根据收集梳理的资料围绕项目立项、资金落实、业务管理、财务管理、项目产出、项目效益等内容，对照已确定的绩效评价指标对资金到位率、预算执行率、实际完成率、质量达标率、完成及时性、成本节约率、满意度等进行详细全面的分析评价，逐项打分并形成绩效评价最终结果。</w:t>
      </w:r>
    </w:p>
    <w:p w14:paraId="408A143A">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6"/>
    </w:p>
    <w:p w14:paraId="7850AF20">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sz w:val="32"/>
          <w:szCs w:val="32"/>
          <w:lang w:eastAsia="zh-CN"/>
        </w:rPr>
      </w:pPr>
      <w:bookmarkStart w:id="10" w:name="_Toc68703835"/>
      <w:r>
        <w:rPr>
          <w:rFonts w:hint="eastAsia" w:ascii="仿宋_GB2312" w:eastAsia="仿宋_GB2312"/>
          <w:b w:val="0"/>
          <w:bCs w:val="0"/>
          <w:sz w:val="32"/>
          <w:szCs w:val="32"/>
        </w:rPr>
        <w:t>（一）综合评价情况</w:t>
      </w:r>
      <w:bookmarkEnd w:id="10"/>
      <w:r>
        <w:rPr>
          <w:rFonts w:hint="eastAsia" w:ascii="仿宋_GB2312" w:eastAsia="仿宋_GB2312"/>
          <w:b w:val="0"/>
          <w:bCs w:val="0"/>
          <w:sz w:val="32"/>
          <w:szCs w:val="32"/>
          <w:lang w:eastAsia="zh-CN"/>
        </w:rPr>
        <w:t>及评价结论</w:t>
      </w:r>
    </w:p>
    <w:p w14:paraId="639DC3F0">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8"/>
          <w:sz w:val="30"/>
          <w:szCs w:val="30"/>
          <w:lang w:val="en-US" w:eastAsia="zh-CN" w:bidi="ar-SA"/>
        </w:rPr>
      </w:pPr>
      <w:bookmarkStart w:id="11" w:name="_Toc68703836"/>
      <w:r>
        <w:rPr>
          <w:rFonts w:hint="eastAsia" w:ascii="仿宋_GB2312"/>
          <w:b w:val="0"/>
          <w:bCs w:val="0"/>
          <w:sz w:val="30"/>
          <w:szCs w:val="30"/>
          <w:lang w:val="en-US" w:eastAsia="zh-CN"/>
        </w:rPr>
        <w:t>1.</w:t>
      </w:r>
      <w:r>
        <w:rPr>
          <w:rFonts w:hint="eastAsia" w:ascii="仿宋_GB2312" w:eastAsia="仿宋_GB2312"/>
          <w:b w:val="0"/>
          <w:bCs w:val="0"/>
          <w:sz w:val="30"/>
          <w:szCs w:val="30"/>
        </w:rPr>
        <w:t>综合评价情况</w:t>
      </w:r>
      <w:r>
        <w:rPr>
          <w:rFonts w:hint="eastAsia" w:ascii="仿宋_GB2312"/>
          <w:b w:val="0"/>
          <w:bCs w:val="0"/>
          <w:sz w:val="30"/>
          <w:szCs w:val="30"/>
          <w:lang w:eastAsia="zh-CN"/>
        </w:rPr>
        <w:t>：</w:t>
      </w:r>
      <w:r>
        <w:rPr>
          <w:rFonts w:hint="eastAsia" w:ascii="Times New Roman" w:hAnsi="Times New Roman" w:eastAsia="仿宋_GB2312" w:cs="Times New Roman"/>
          <w:b w:val="0"/>
          <w:bCs w:val="0"/>
          <w:kern w:val="28"/>
          <w:sz w:val="30"/>
          <w:szCs w:val="30"/>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6CA710E5">
      <w:pPr>
        <w:pageBreakBefore w:val="0"/>
        <w:kinsoku/>
        <w:wordWrap/>
        <w:overflowPunct/>
        <w:topLinePunct w:val="0"/>
        <w:autoSpaceDE/>
        <w:autoSpaceDN/>
        <w:bidi w:val="0"/>
        <w:adjustRightInd/>
        <w:snapToGrid/>
        <w:spacing w:line="560" w:lineRule="exact"/>
        <w:ind w:firstLine="600" w:firstLineChars="200"/>
        <w:textAlignment w:val="auto"/>
        <w:rPr>
          <w:color w:val="auto"/>
          <w:sz w:val="30"/>
          <w:szCs w:val="30"/>
        </w:rPr>
      </w:pPr>
      <w:r>
        <w:rPr>
          <w:rFonts w:hint="eastAsia"/>
          <w:color w:val="auto"/>
          <w:sz w:val="30"/>
          <w:szCs w:val="30"/>
        </w:rPr>
        <w:t>本项目严格按照</w:t>
      </w:r>
      <w:r>
        <w:rPr>
          <w:rFonts w:hint="eastAsia" w:ascii="仿宋_GB2312"/>
          <w:bCs/>
          <w:color w:val="auto"/>
          <w:kern w:val="0"/>
          <w:sz w:val="30"/>
          <w:szCs w:val="30"/>
        </w:rPr>
        <w:t>科学公正、统筹兼顾、激励约束、公开透明的</w:t>
      </w:r>
      <w:r>
        <w:rPr>
          <w:rFonts w:hint="eastAsia"/>
          <w:color w:val="auto"/>
          <w:sz w:val="30"/>
          <w:szCs w:val="30"/>
        </w:rPr>
        <w:t>绩效评价原则，采用</w:t>
      </w:r>
      <w:r>
        <w:rPr>
          <w:rFonts w:hint="eastAsia"/>
          <w:color w:val="auto"/>
          <w:sz w:val="30"/>
          <w:szCs w:val="30"/>
          <w:lang w:eastAsia="zh-CN"/>
        </w:rPr>
        <w:t>因素分析法</w:t>
      </w:r>
      <w:r>
        <w:rPr>
          <w:rFonts w:hint="eastAsia"/>
          <w:color w:val="auto"/>
          <w:sz w:val="30"/>
          <w:szCs w:val="30"/>
        </w:rPr>
        <w:t>，坚持</w:t>
      </w:r>
      <w:r>
        <w:rPr>
          <w:rFonts w:hint="eastAsia"/>
          <w:color w:val="auto"/>
          <w:sz w:val="30"/>
          <w:szCs w:val="30"/>
          <w:lang w:val="en-US" w:eastAsia="zh-CN"/>
        </w:rPr>
        <w:t>计划</w:t>
      </w:r>
      <w:r>
        <w:rPr>
          <w:rFonts w:hint="eastAsia"/>
          <w:color w:val="auto"/>
          <w:sz w:val="30"/>
          <w:szCs w:val="30"/>
        </w:rPr>
        <w:t>标准对本项目的立项、绩效目标、资金投入、资金管理、组织实施、产出数量、产出质量、产出时效、产出成本、项目效益进行了综合评价。</w:t>
      </w:r>
    </w:p>
    <w:p w14:paraId="3E8F4F85">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eastAsia="仿宋_GB2312"/>
          <w:b w:val="0"/>
          <w:bCs w:val="0"/>
          <w:sz w:val="30"/>
          <w:szCs w:val="30"/>
        </w:rPr>
      </w:pPr>
      <w:r>
        <w:rPr>
          <w:rFonts w:hint="eastAsia" w:ascii="仿宋_GB2312" w:eastAsia="仿宋_GB2312"/>
          <w:b w:val="0"/>
          <w:bCs w:val="0"/>
          <w:sz w:val="30"/>
          <w:szCs w:val="30"/>
          <w:lang w:val="en-US" w:eastAsia="zh-CN"/>
        </w:rPr>
        <w:t>2.</w:t>
      </w:r>
      <w:r>
        <w:rPr>
          <w:rFonts w:hint="eastAsia" w:ascii="仿宋_GB2312" w:eastAsia="仿宋_GB2312"/>
          <w:b w:val="0"/>
          <w:bCs w:val="0"/>
          <w:sz w:val="30"/>
          <w:szCs w:val="30"/>
        </w:rPr>
        <w:t>评价结论</w:t>
      </w:r>
      <w:bookmarkEnd w:id="11"/>
    </w:p>
    <w:p w14:paraId="0C6B02D5">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w:t>
      </w:r>
      <w:r>
        <w:rPr>
          <w:rFonts w:hint="eastAsia" w:ascii="Times New Roman" w:hAnsi="Times New Roman" w:eastAsia="仿宋_GB2312"/>
          <w:b w:val="0"/>
          <w:bCs w:val="0"/>
          <w:color w:val="auto"/>
        </w:rPr>
        <w:t>调查及访谈等方式</w:t>
      </w:r>
      <w:r>
        <w:rPr>
          <w:rFonts w:hint="eastAsia" w:ascii="Times New Roman" w:hAnsi="Times New Roman" w:eastAsia="仿宋_GB2312"/>
          <w:b w:val="0"/>
          <w:bCs w:val="0"/>
        </w:rPr>
        <w:t xml:space="preserve">，对本项目进行客观评价，最终评分结果：总得分为 </w:t>
      </w:r>
      <w:r>
        <w:rPr>
          <w:rFonts w:hint="eastAsia" w:ascii="Times New Roman" w:hAnsi="Times New Roman" w:eastAsia="仿宋_GB2312"/>
          <w:b w:val="0"/>
          <w:bCs w:val="0"/>
          <w:lang w:val="en-US" w:eastAsia="zh-CN"/>
        </w:rPr>
        <w:t>9</w:t>
      </w:r>
      <w:r>
        <w:rPr>
          <w:rFonts w:hint="eastAsia"/>
          <w:b w:val="0"/>
          <w:bCs w:val="0"/>
          <w:lang w:val="en-US" w:eastAsia="zh-CN"/>
        </w:rPr>
        <w:t>7</w:t>
      </w:r>
      <w:r>
        <w:rPr>
          <w:rFonts w:hint="eastAsia" w:ascii="Times New Roman" w:hAnsi="Times New Roman" w:eastAsia="仿宋_GB2312"/>
          <w:b w:val="0"/>
          <w:bCs w:val="0"/>
          <w:lang w:val="en-US" w:eastAsia="zh-CN"/>
        </w:rPr>
        <w:t>.62</w:t>
      </w:r>
      <w:r>
        <w:rPr>
          <w:rFonts w:hint="eastAsia" w:ascii="Times New Roman" w:hAnsi="Times New Roman" w:eastAsia="仿宋_GB2312"/>
          <w:b w:val="0"/>
          <w:bCs w:val="0"/>
        </w:rPr>
        <w:t xml:space="preserve">分，属于“优”。其中，项目决策类指标权重为20分，得分为 </w:t>
      </w:r>
      <w:r>
        <w:rPr>
          <w:rFonts w:hint="eastAsia" w:ascii="Times New Roman" w:hAnsi="Times New Roman" w:eastAsia="仿宋_GB2312"/>
          <w:b w:val="0"/>
          <w:bCs w:val="0"/>
          <w:lang w:val="en-US" w:eastAsia="zh-CN"/>
        </w:rPr>
        <w:t>20</w:t>
      </w:r>
      <w:r>
        <w:rPr>
          <w:rFonts w:hint="eastAsia" w:ascii="Times New Roman" w:hAnsi="Times New Roman" w:eastAsia="仿宋_GB2312"/>
          <w:b w:val="0"/>
          <w:bCs w:val="0"/>
        </w:rPr>
        <w:t xml:space="preserve">分，得分率为 </w:t>
      </w:r>
      <w:r>
        <w:rPr>
          <w:rFonts w:hint="eastAsia" w:ascii="Times New Roman" w:hAnsi="Times New Roman" w:eastAsia="仿宋_GB2312"/>
          <w:b w:val="0"/>
          <w:bCs w:val="0"/>
          <w:lang w:val="en-US" w:eastAsia="zh-CN"/>
        </w:rPr>
        <w:t>100</w:t>
      </w:r>
      <w:r>
        <w:rPr>
          <w:rFonts w:hint="eastAsia" w:ascii="Times New Roman" w:hAnsi="Times New Roman" w:eastAsia="仿宋_GB2312"/>
          <w:b w:val="0"/>
          <w:bCs w:val="0"/>
        </w:rPr>
        <w:t>%。项目过程类指标权重为20分，得分为</w:t>
      </w:r>
      <w:r>
        <w:rPr>
          <w:rFonts w:hint="eastAsia" w:ascii="Times New Roman" w:hAnsi="Times New Roman" w:eastAsia="仿宋_GB2312"/>
          <w:b w:val="0"/>
          <w:bCs w:val="0"/>
          <w:lang w:val="en-US" w:eastAsia="zh-CN"/>
        </w:rPr>
        <w:t>20</w:t>
      </w:r>
      <w:r>
        <w:rPr>
          <w:rFonts w:hint="eastAsia" w:ascii="Times New Roman" w:hAnsi="Times New Roman" w:eastAsia="仿宋_GB2312"/>
          <w:b w:val="0"/>
          <w:bCs w:val="0"/>
        </w:rPr>
        <w:t>分，得分率为</w:t>
      </w:r>
      <w:r>
        <w:rPr>
          <w:rFonts w:hint="eastAsia" w:ascii="Times New Roman" w:hAnsi="Times New Roman" w:eastAsia="仿宋_GB2312"/>
          <w:b w:val="0"/>
          <w:bCs w:val="0"/>
          <w:lang w:val="en-US" w:eastAsia="zh-CN"/>
        </w:rPr>
        <w:t>100</w:t>
      </w:r>
      <w:r>
        <w:rPr>
          <w:rFonts w:hint="eastAsia" w:ascii="Times New Roman" w:hAnsi="Times New Roman" w:eastAsia="仿宋_GB2312"/>
          <w:b w:val="0"/>
          <w:bCs w:val="0"/>
        </w:rPr>
        <w:t>%。项目产出类指标权重为40分，得分为</w:t>
      </w:r>
      <w:r>
        <w:rPr>
          <w:rFonts w:hint="eastAsia"/>
          <w:b w:val="0"/>
          <w:bCs w:val="0"/>
          <w:lang w:val="en-US" w:eastAsia="zh-CN"/>
        </w:rPr>
        <w:t>37</w:t>
      </w:r>
      <w:r>
        <w:rPr>
          <w:rFonts w:hint="eastAsia" w:ascii="Times New Roman" w:hAnsi="Times New Roman" w:eastAsia="仿宋_GB2312"/>
          <w:b w:val="0"/>
          <w:bCs w:val="0"/>
          <w:lang w:val="en-US" w:eastAsia="zh-CN"/>
        </w:rPr>
        <w:t>.62</w:t>
      </w:r>
      <w:r>
        <w:rPr>
          <w:rFonts w:hint="eastAsia" w:ascii="Times New Roman" w:hAnsi="Times New Roman" w:eastAsia="仿宋_GB2312"/>
          <w:b w:val="0"/>
          <w:bCs w:val="0"/>
        </w:rPr>
        <w:t xml:space="preserve">分，得分率为 </w:t>
      </w:r>
      <w:r>
        <w:rPr>
          <w:rFonts w:hint="eastAsia" w:ascii="Times New Roman" w:hAnsi="Times New Roman" w:eastAsia="仿宋_GB2312"/>
          <w:b w:val="0"/>
          <w:bCs w:val="0"/>
          <w:lang w:val="en-US" w:eastAsia="zh-CN"/>
        </w:rPr>
        <w:t>99.05</w:t>
      </w:r>
      <w:r>
        <w:rPr>
          <w:rFonts w:hint="eastAsia" w:ascii="Times New Roman" w:hAnsi="Times New Roman" w:eastAsia="仿宋_GB2312"/>
          <w:b w:val="0"/>
          <w:bCs w:val="0"/>
        </w:rPr>
        <w:t>%。项目效益类指标权重为20分，得分为</w:t>
      </w:r>
      <w:r>
        <w:rPr>
          <w:rFonts w:hint="eastAsia" w:ascii="Times New Roman" w:hAnsi="Times New Roman" w:eastAsia="仿宋_GB2312"/>
          <w:b w:val="0"/>
          <w:bCs w:val="0"/>
          <w:lang w:val="en-US" w:eastAsia="zh-CN"/>
        </w:rPr>
        <w:t>20</w:t>
      </w:r>
      <w:r>
        <w:rPr>
          <w:rFonts w:hint="eastAsia" w:ascii="Times New Roman" w:hAnsi="Times New Roman" w:eastAsia="仿宋_GB2312"/>
          <w:b w:val="0"/>
          <w:bCs w:val="0"/>
        </w:rPr>
        <w:t>分，得分率为</w:t>
      </w:r>
      <w:r>
        <w:rPr>
          <w:rFonts w:hint="eastAsia" w:ascii="Times New Roman" w:hAnsi="Times New Roman" w:eastAsia="仿宋_GB2312"/>
          <w:b w:val="0"/>
          <w:bCs w:val="0"/>
          <w:lang w:val="en-US" w:eastAsia="zh-CN"/>
        </w:rPr>
        <w:t>20</w:t>
      </w:r>
      <w:r>
        <w:rPr>
          <w:rFonts w:hint="eastAsia" w:ascii="Times New Roman" w:hAnsi="Times New Roman" w:eastAsia="仿宋_GB2312"/>
          <w:b w:val="0"/>
          <w:bCs w:val="0"/>
        </w:rPr>
        <w:t>%。</w:t>
      </w:r>
    </w:p>
    <w:p w14:paraId="2331FEC0">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highlight w:val="none"/>
          <w:lang w:eastAsia="zh-CN"/>
        </w:rPr>
      </w:pPr>
      <w:r>
        <w:rPr>
          <w:rFonts w:hint="eastAsia" w:ascii="仿宋_GB2312" w:eastAsia="仿宋_GB2312"/>
          <w:b w:val="0"/>
          <w:bCs w:val="0"/>
          <w:highlight w:val="none"/>
        </w:rPr>
        <w:t>（</w:t>
      </w:r>
      <w:r>
        <w:rPr>
          <w:rFonts w:hint="eastAsia" w:ascii="仿宋_GB2312" w:eastAsia="仿宋_GB2312"/>
          <w:b w:val="0"/>
          <w:bCs w:val="0"/>
          <w:highlight w:val="none"/>
          <w:lang w:eastAsia="zh-CN"/>
        </w:rPr>
        <w:t>二</w:t>
      </w:r>
      <w:r>
        <w:rPr>
          <w:rFonts w:hint="eastAsia" w:ascii="仿宋_GB2312" w:eastAsia="仿宋_GB2312"/>
          <w:b w:val="0"/>
          <w:bCs w:val="0"/>
          <w:highlight w:val="none"/>
        </w:rPr>
        <w:t>）</w:t>
      </w:r>
      <w:r>
        <w:rPr>
          <w:rFonts w:hint="eastAsia" w:ascii="仿宋_GB2312" w:eastAsia="仿宋_GB2312"/>
          <w:b w:val="0"/>
          <w:bCs w:val="0"/>
          <w:highlight w:val="none"/>
          <w:lang w:eastAsia="zh-CN"/>
        </w:rPr>
        <w:t>相关评分表</w:t>
      </w:r>
    </w:p>
    <w:p w14:paraId="2B19F61C">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highlight w:val="none"/>
        </w:rPr>
        <w:t>具体打分情况详见：附件1综合评分表</w:t>
      </w:r>
      <w:r>
        <w:rPr>
          <w:rFonts w:hint="eastAsia" w:ascii="Times New Roman" w:hAnsi="Times New Roman" w:eastAsia="仿宋_GB2312"/>
          <w:b w:val="0"/>
          <w:bCs w:val="0"/>
          <w:highlight w:val="none"/>
          <w:lang w:eastAsia="zh-CN"/>
        </w:rPr>
        <w:t>。</w:t>
      </w:r>
    </w:p>
    <w:p w14:paraId="02BA3A2F">
      <w:pPr>
        <w:pageBreakBefore w:val="0"/>
        <w:kinsoku/>
        <w:wordWrap/>
        <w:overflowPunct/>
        <w:topLinePunct w:val="0"/>
        <w:autoSpaceDE/>
        <w:autoSpaceDN/>
        <w:bidi w:val="0"/>
        <w:adjustRightInd/>
        <w:snapToGrid/>
        <w:spacing w:line="560" w:lineRule="exact"/>
        <w:ind w:firstLine="600" w:firstLineChars="200"/>
        <w:jc w:val="center"/>
        <w:textAlignment w:val="auto"/>
        <w:rPr>
          <w:rFonts w:hint="eastAsia"/>
          <w:color w:val="auto"/>
        </w:rPr>
      </w:pPr>
      <w:r>
        <w:rPr>
          <w:rFonts w:hint="eastAsia"/>
          <w:color w:val="auto"/>
          <w:lang w:eastAsia="zh-CN"/>
        </w:rPr>
        <w:t>全国两会</w:t>
      </w:r>
      <w:r>
        <w:rPr>
          <w:rFonts w:hint="eastAsia"/>
          <w:color w:val="auto"/>
        </w:rPr>
        <w:t>期间信访安全保障专项工作经费</w:t>
      </w:r>
    </w:p>
    <w:p w14:paraId="79DE9DC0">
      <w:pPr>
        <w:pageBreakBefore w:val="0"/>
        <w:kinsoku/>
        <w:wordWrap/>
        <w:overflowPunct/>
        <w:topLinePunct w:val="0"/>
        <w:autoSpaceDE/>
        <w:autoSpaceDN/>
        <w:bidi w:val="0"/>
        <w:adjustRightInd/>
        <w:snapToGrid/>
        <w:spacing w:line="560" w:lineRule="exact"/>
        <w:ind w:firstLine="600" w:firstLineChars="200"/>
        <w:jc w:val="center"/>
        <w:textAlignment w:val="auto"/>
        <w:rPr>
          <w:color w:val="auto"/>
        </w:rPr>
      </w:pPr>
      <w:r>
        <w:rPr>
          <w:rFonts w:hint="eastAsia"/>
          <w:color w:val="auto"/>
        </w:rPr>
        <w:t>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14:paraId="0F58F4A4">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381F3ED5">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6ADA2CFE">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6A5292D7">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14:paraId="551BF94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8D7EB44">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5A340CE1">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9673E92">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6544FE9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14AF33A">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035ADF0E">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251AF834">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55B3CF7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2A410AB">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205DD3F0">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609651EF">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37.62</w:t>
            </w:r>
          </w:p>
        </w:tc>
      </w:tr>
      <w:tr w14:paraId="75FCD4D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9C2FC5D">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70EADA82">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7681A3D">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6B56400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3217E45">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431B1B6C">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17EBFEA2">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97.62</w:t>
            </w:r>
          </w:p>
        </w:tc>
      </w:tr>
    </w:tbl>
    <w:p w14:paraId="15C90178">
      <w:pPr>
        <w:pStyle w:val="2"/>
        <w:pageBreakBefore w:val="0"/>
        <w:kinsoku/>
        <w:wordWrap/>
        <w:overflowPunct/>
        <w:topLinePunct w:val="0"/>
        <w:autoSpaceDE/>
        <w:autoSpaceDN/>
        <w:bidi w:val="0"/>
        <w:adjustRightInd/>
        <w:snapToGrid/>
        <w:spacing w:before="0" w:after="0" w:line="560" w:lineRule="exact"/>
        <w:ind w:firstLine="640" w:firstLineChars="200"/>
        <w:textAlignment w:val="auto"/>
      </w:pPr>
    </w:p>
    <w:p w14:paraId="4F7F1456">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12" w:name="_Toc68703837"/>
      <w:r>
        <w:rPr>
          <w:rFonts w:hint="eastAsia" w:ascii="宋体" w:hAnsi="宋体" w:eastAsia="宋体"/>
          <w:sz w:val="32"/>
          <w:szCs w:val="32"/>
        </w:rPr>
        <w:t>四、绩效评价指标分析</w:t>
      </w:r>
      <w:bookmarkEnd w:id="12"/>
    </w:p>
    <w:p w14:paraId="0B37604F">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3" w:name="_Toc68703838"/>
      <w:r>
        <w:rPr>
          <w:rFonts w:hint="eastAsia" w:ascii="仿宋_GB2312" w:eastAsia="仿宋_GB2312"/>
          <w:b w:val="0"/>
          <w:bCs w:val="0"/>
        </w:rPr>
        <w:t>（一）项目决策情况。</w:t>
      </w:r>
      <w:bookmarkEnd w:id="13"/>
    </w:p>
    <w:p w14:paraId="3DFBF275">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立项依据充分性</w:t>
      </w:r>
    </w:p>
    <w:p w14:paraId="3FC39DCB">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FangSong_GB2312" w:hAnsi="FangSong_GB2312" w:eastAsia="仿宋_GB2312" w:cs="FangSong_GB2312"/>
          <w:color w:val="auto"/>
          <w:sz w:val="32"/>
          <w:szCs w:val="32"/>
          <w:highlight w:val="none"/>
          <w:lang w:val="en-US" w:eastAsia="zh-CN"/>
        </w:rPr>
      </w:pPr>
      <w:r>
        <w:rPr>
          <w:rFonts w:hint="eastAsia"/>
          <w:color w:val="auto"/>
          <w:lang w:val="en-US" w:eastAsia="zh-CN"/>
        </w:rPr>
        <w:t>根据《自治区党委办公厅 自治区人民政府办公厅印发&lt;关于贯彻落实习近平总书记重要批示精神、进一步加强新时代新疆信访工作的意见&gt;的通知》（新党办发〔2018〕44号）要求。</w:t>
      </w:r>
      <w:r>
        <w:rPr>
          <w:rFonts w:hint="eastAsia"/>
        </w:rPr>
        <w:t>贯彻落实自治州党委、人民政府和上级部门关于信访和群众工作的决策部署。协调处理群众进京、赴自治区非正常上访和突发信访事件。坚决实现</w:t>
      </w:r>
      <w:r>
        <w:rPr>
          <w:rFonts w:hint="eastAsia"/>
          <w:lang w:eastAsia="zh-CN"/>
        </w:rPr>
        <w:t>“</w:t>
      </w:r>
      <w:r>
        <w:rPr>
          <w:rFonts w:hint="eastAsia"/>
        </w:rPr>
        <w:t>两会</w:t>
      </w:r>
      <w:r>
        <w:rPr>
          <w:rFonts w:hint="eastAsia"/>
          <w:lang w:eastAsia="zh-CN"/>
        </w:rPr>
        <w:t>”</w:t>
      </w:r>
      <w:r>
        <w:rPr>
          <w:rFonts w:hint="eastAsia"/>
        </w:rPr>
        <w:t>赴乌进京上访“零控制”目标，组织开展信访安全保障各项工作。为来访群众提关法律、法规和政策咨询服务。对重大信访案件实施监督和责任倒查，对损害群众利益的行为提出责任追究的意见和建议</w:t>
      </w:r>
      <w:r>
        <w:rPr>
          <w:rFonts w:hint="eastAsia"/>
          <w:lang w:eastAsia="zh-CN"/>
        </w:rPr>
        <w:t>。</w:t>
      </w:r>
      <w:r>
        <w:rPr>
          <w:rFonts w:hint="eastAsia"/>
          <w:highlight w:val="none"/>
          <w:lang w:eastAsia="zh-CN"/>
        </w:rPr>
        <w:t>该项目与部门职责范围相符，属于部门履职所需。</w:t>
      </w:r>
    </w:p>
    <w:p w14:paraId="34EEAFCA">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此项权重分3分，得分3分</w:t>
      </w:r>
    </w:p>
    <w:p w14:paraId="145E9D3A">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立项程序规范性</w:t>
      </w:r>
    </w:p>
    <w:p w14:paraId="6BAD49D0">
      <w:pPr>
        <w:pStyle w:val="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仿宋_GB2312" w:hAnsi="仿宋_GB2312" w:eastAsia="仿宋_GB2312" w:cs="仿宋_GB2312"/>
          <w:b w:val="0"/>
          <w:bCs w:val="0"/>
          <w:color w:val="auto"/>
          <w:sz w:val="30"/>
          <w:szCs w:val="30"/>
          <w:lang w:val="en-US" w:eastAsia="zh-CN"/>
        </w:rPr>
      </w:pPr>
      <w:r>
        <w:rPr>
          <w:rFonts w:hint="eastAsia" w:ascii="仿宋_GB2312" w:hAnsi="仿宋_GB2312" w:eastAsia="仿宋_GB2312" w:cs="仿宋_GB2312"/>
          <w:b w:val="0"/>
          <w:bCs w:val="0"/>
          <w:color w:val="auto"/>
          <w:sz w:val="30"/>
          <w:szCs w:val="30"/>
          <w:lang w:val="en-US" w:eastAsia="zh-CN"/>
        </w:rPr>
        <w:t>项目申请、设立过程符合相关要求，</w:t>
      </w:r>
      <w:r>
        <w:rPr>
          <w:rFonts w:hint="eastAsia" w:ascii="仿宋_GB2312" w:hAnsi="仿宋_GB2312" w:eastAsia="仿宋_GB2312" w:cs="仿宋_GB2312"/>
          <w:b w:val="0"/>
          <w:bCs w:val="0"/>
          <w:color w:val="auto"/>
          <w:sz w:val="30"/>
          <w:szCs w:val="30"/>
          <w:lang w:val="en-US" w:eastAsia="zh-Hans"/>
        </w:rPr>
        <w:t>严格按照审批流程准备符合要求的文件、材料；</w:t>
      </w:r>
      <w:r>
        <w:rPr>
          <w:rFonts w:hint="eastAsia" w:ascii="仿宋_GB2312" w:hAnsi="仿宋_GB2312" w:eastAsia="仿宋_GB2312" w:cs="仿宋_GB2312"/>
          <w:b w:val="0"/>
          <w:bCs w:val="0"/>
          <w:color w:val="auto"/>
          <w:sz w:val="30"/>
          <w:szCs w:val="30"/>
          <w:lang w:val="en-US" w:eastAsia="zh-CN"/>
        </w:rPr>
        <w:t>根据决算依据编制工作计划和经费预算，经过与部门项目分管领导沟通、筛选确定经费预算计划，确定最终预算方案。项目的审批文件、材料符合相关要求，项目事前经过必要的风险评估、绩效评估、集体决策，保障了程序的规范性。</w:t>
      </w:r>
    </w:p>
    <w:p w14:paraId="631501C5">
      <w:pPr>
        <w:pStyle w:val="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14:paraId="34EB21CB">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绩效目标合理性</w:t>
      </w:r>
    </w:p>
    <w:p w14:paraId="6DA5FE81">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lang w:eastAsia="zh-CN"/>
        </w:rPr>
        <w:t>巴州信访局全国两会</w:t>
      </w:r>
      <w:r>
        <w:rPr>
          <w:rFonts w:hint="eastAsia"/>
          <w:color w:val="auto"/>
        </w:rPr>
        <w:t>期间信访安全保障专项工作经费</w:t>
      </w:r>
      <w:r>
        <w:rPr>
          <w:rFonts w:hint="eastAsia"/>
          <w:color w:val="auto"/>
          <w:lang w:eastAsia="zh-CN"/>
        </w:rPr>
        <w:t>经费</w:t>
      </w:r>
      <w:r>
        <w:rPr>
          <w:rFonts w:hint="eastAsia"/>
          <w:color w:val="auto"/>
        </w:rPr>
        <w:t>项目设立了项目绩效目标，与</w:t>
      </w:r>
      <w:r>
        <w:rPr>
          <w:rFonts w:hint="eastAsia"/>
          <w:color w:val="auto"/>
          <w:lang w:eastAsia="zh-CN"/>
        </w:rPr>
        <w:t>信访实际</w:t>
      </w:r>
      <w:r>
        <w:rPr>
          <w:rFonts w:hint="eastAsia"/>
          <w:color w:val="auto"/>
        </w:rPr>
        <w:t>业务工作具有相关性，项目的预期产出效益和效果也均能符合正常的业绩水平，并且与预算确定的项目资金量相匹配。</w:t>
      </w:r>
    </w:p>
    <w:p w14:paraId="65F89A2B">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此项权重分4分，得分4分。</w:t>
      </w:r>
    </w:p>
    <w:p w14:paraId="3018C256">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绩效指标明确性</w:t>
      </w:r>
    </w:p>
    <w:p w14:paraId="5F287E9A">
      <w:pPr>
        <w:pageBreakBefore w:val="0"/>
        <w:kinsoku/>
        <w:wordWrap/>
        <w:overflowPunct/>
        <w:topLinePunct w:val="0"/>
        <w:autoSpaceDE/>
        <w:autoSpaceDN/>
        <w:bidi w:val="0"/>
        <w:adjustRightInd/>
        <w:snapToGrid/>
        <w:spacing w:line="560" w:lineRule="exact"/>
        <w:ind w:firstLine="600" w:firstLineChars="200"/>
        <w:jc w:val="both"/>
        <w:textAlignment w:val="auto"/>
        <w:rPr>
          <w:rFonts w:hint="eastAsia"/>
          <w:color w:val="auto"/>
        </w:rPr>
      </w:pPr>
      <w:bookmarkStart w:id="14" w:name="_Hlk68699917"/>
      <w:r>
        <w:rPr>
          <w:rFonts w:hint="eastAsia"/>
          <w:color w:val="auto"/>
          <w:lang w:eastAsia="zh-CN"/>
        </w:rPr>
        <w:t>全国两会</w:t>
      </w:r>
      <w:r>
        <w:rPr>
          <w:rFonts w:hint="eastAsia"/>
          <w:color w:val="auto"/>
        </w:rPr>
        <w:t>期间信访安全保障专项工作经费项目将项目绩效目标细化分解为具体的绩效指标，一级指标共</w:t>
      </w:r>
      <w:r>
        <w:rPr>
          <w:rFonts w:hint="eastAsia"/>
          <w:color w:val="auto"/>
          <w:lang w:val="en-US" w:eastAsia="zh-CN"/>
        </w:rPr>
        <w:t>4</w:t>
      </w:r>
      <w:r>
        <w:rPr>
          <w:rFonts w:hint="eastAsia"/>
          <w:color w:val="auto"/>
        </w:rPr>
        <w:t>条，二级指标共</w:t>
      </w:r>
      <w:r>
        <w:rPr>
          <w:rFonts w:hint="eastAsia"/>
          <w:color w:val="auto"/>
          <w:lang w:val="en-US" w:eastAsia="zh-CN"/>
        </w:rPr>
        <w:t>5</w:t>
      </w:r>
      <w:r>
        <w:rPr>
          <w:rFonts w:hint="eastAsia"/>
          <w:color w:val="auto"/>
        </w:rPr>
        <w:t>条，三级指标共</w:t>
      </w:r>
      <w:r>
        <w:rPr>
          <w:rFonts w:hint="eastAsia"/>
          <w:color w:val="auto"/>
          <w:lang w:val="en-US" w:eastAsia="zh-CN"/>
        </w:rPr>
        <w:t>10</w:t>
      </w:r>
      <w:r>
        <w:rPr>
          <w:rFonts w:hint="eastAsia"/>
          <w:color w:val="auto"/>
        </w:rPr>
        <w:t>条，其中量化指标条数共</w:t>
      </w:r>
      <w:r>
        <w:rPr>
          <w:rFonts w:hint="eastAsia"/>
          <w:color w:val="auto"/>
          <w:lang w:val="en-US" w:eastAsia="zh-CN"/>
        </w:rPr>
        <w:t>9</w:t>
      </w:r>
      <w:r>
        <w:rPr>
          <w:rFonts w:hint="eastAsia"/>
          <w:color w:val="auto"/>
        </w:rPr>
        <w:t>条，所有绩效指标均通过清晰、可衡量的指标值予以体现，并且做到了与项目目标计划数相对应。</w:t>
      </w:r>
      <w:bookmarkEnd w:id="14"/>
    </w:p>
    <w:p w14:paraId="57BC286C">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此项权重分3分，得分3分。</w:t>
      </w:r>
    </w:p>
    <w:p w14:paraId="1353D0DD">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bookmarkStart w:id="15" w:name="_Toc68703839"/>
      <w:r>
        <w:rPr>
          <w:rFonts w:hint="eastAsia"/>
        </w:rPr>
        <w:t>5</w:t>
      </w:r>
      <w:r>
        <w:rPr>
          <w:rFonts w:hint="eastAsia"/>
          <w:lang w:val="en-US" w:eastAsia="zh-CN"/>
        </w:rPr>
        <w:t>.</w:t>
      </w:r>
      <w:r>
        <w:rPr>
          <w:rFonts w:hint="eastAsia"/>
        </w:rPr>
        <w:t>预算编制科学性</w:t>
      </w:r>
    </w:p>
    <w:p w14:paraId="543BA95A">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lang w:val="en-US" w:eastAsia="zh-CN"/>
        </w:rPr>
        <w:t>预算编制经过科学论证，首先在明确预算目标的前提下，收集与预算编制相关的所有必要数据，对这些数据进行深入的分析，以了解单位的财务状况。其次，根据单位的具体情况和需求，选择合适的预算编制方法，全面、系统地反映组织的收入和支出情况，无有遗漏。最后，预算编制也遵循统一的财政政策和会计制度，确保预算的可比性和一致性。预算内容与项目内容相匹配，预算额度测算依据充分，按照标准编制，预算确定的项目投资额与工作任务相匹配。</w:t>
      </w:r>
    </w:p>
    <w:p w14:paraId="6B6B539C">
      <w:pPr>
        <w:pStyle w:val="2"/>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此项权重分4分，得分4分。</w:t>
      </w:r>
    </w:p>
    <w:p w14:paraId="54BE31E8">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6</w:t>
      </w:r>
      <w:r>
        <w:rPr>
          <w:rFonts w:hint="eastAsia"/>
          <w:lang w:val="en-US" w:eastAsia="zh-CN"/>
        </w:rPr>
        <w:t>.</w:t>
      </w:r>
      <w:r>
        <w:rPr>
          <w:rFonts w:hint="eastAsia"/>
        </w:rPr>
        <w:t>资金分配合理性</w:t>
      </w:r>
    </w:p>
    <w:p w14:paraId="05CF1ED8">
      <w:pPr>
        <w:shd w:val="clear"/>
        <w:spacing w:line="600" w:lineRule="exact"/>
        <w:ind w:firstLine="640" w:firstLineChars="200"/>
        <w:outlineLvl w:val="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预算资金分配依据充分，资金分配额度合理，与项目单位相适应。本项目清晰定义了项目的总体和阶段性目标，根据目标确定资金使用的优先级，确保关键活动得到优先支持。深入了解单位各部门或活动的实际需求，确保资金分配符合实际需求。加强与相关方的沟通和协调，确保资金分配决策得到广泛认可和支持。</w:t>
      </w:r>
    </w:p>
    <w:p w14:paraId="086285B3">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此项权重分3分，得分3分。</w:t>
      </w:r>
    </w:p>
    <w:p w14:paraId="67550988">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（二）项目过程情况。</w:t>
      </w:r>
      <w:bookmarkEnd w:id="15"/>
    </w:p>
    <w:p w14:paraId="693D915F">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bookmarkStart w:id="16" w:name="_Toc68703840"/>
      <w:r>
        <w:rPr>
          <w:rFonts w:hint="eastAsia"/>
        </w:rPr>
        <w:t>1</w:t>
      </w:r>
      <w:r>
        <w:rPr>
          <w:rFonts w:hint="eastAsia"/>
          <w:lang w:val="en-US" w:eastAsia="zh-CN"/>
        </w:rPr>
        <w:t>.</w:t>
      </w:r>
      <w:r>
        <w:rPr>
          <w:rFonts w:hint="eastAsia"/>
        </w:rPr>
        <w:t>资金到位率：</w:t>
      </w:r>
    </w:p>
    <w:p w14:paraId="5C30A7FF">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预算资金</w:t>
      </w:r>
      <w:r>
        <w:rPr>
          <w:rFonts w:hint="eastAsia"/>
          <w:color w:val="auto"/>
          <w:lang w:val="en-US" w:eastAsia="zh-CN"/>
        </w:rPr>
        <w:t>20</w:t>
      </w:r>
      <w:r>
        <w:rPr>
          <w:rFonts w:hint="eastAsia"/>
          <w:color w:val="auto"/>
        </w:rPr>
        <w:t>万元，实际到位资金</w:t>
      </w:r>
      <w:r>
        <w:rPr>
          <w:rFonts w:hint="eastAsia"/>
          <w:color w:val="auto"/>
          <w:lang w:val="en-US" w:eastAsia="zh-CN"/>
        </w:rPr>
        <w:t>20</w:t>
      </w:r>
      <w:r>
        <w:rPr>
          <w:rFonts w:hint="eastAsia"/>
          <w:color w:val="auto"/>
        </w:rPr>
        <w:t>万元，资金到位率</w:t>
      </w:r>
      <w:r>
        <w:rPr>
          <w:rFonts w:hint="eastAsia"/>
          <w:color w:val="auto"/>
          <w:lang w:val="en-US" w:eastAsia="zh-CN"/>
        </w:rPr>
        <w:t>100</w:t>
      </w:r>
      <w:r>
        <w:rPr>
          <w:rFonts w:hint="eastAsia"/>
          <w:color w:val="auto"/>
        </w:rPr>
        <w:t>%。</w:t>
      </w:r>
    </w:p>
    <w:p w14:paraId="70522F7E">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此项权重分4分，得分4分。</w:t>
      </w:r>
    </w:p>
    <w:p w14:paraId="3E65A6EA">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预算执行率</w:t>
      </w:r>
    </w:p>
    <w:p w14:paraId="7536A2F4">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lang w:eastAsia="zh-CN"/>
        </w:rPr>
      </w:pPr>
      <w:r>
        <w:rPr>
          <w:rFonts w:hint="eastAsia"/>
          <w:color w:val="auto"/>
        </w:rPr>
        <w:t>年初预算数</w:t>
      </w:r>
      <w:r>
        <w:rPr>
          <w:rFonts w:hint="eastAsia"/>
          <w:color w:val="auto"/>
          <w:lang w:val="en-US" w:eastAsia="zh-CN"/>
        </w:rPr>
        <w:t>20</w:t>
      </w:r>
      <w:r>
        <w:rPr>
          <w:rFonts w:hint="eastAsia"/>
          <w:color w:val="auto"/>
        </w:rPr>
        <w:t>万元，全年预算数</w:t>
      </w:r>
      <w:r>
        <w:rPr>
          <w:rFonts w:hint="eastAsia"/>
          <w:color w:val="auto"/>
          <w:lang w:val="en-US" w:eastAsia="zh-CN"/>
        </w:rPr>
        <w:t>20</w:t>
      </w:r>
      <w:r>
        <w:rPr>
          <w:rFonts w:hint="eastAsia"/>
          <w:color w:val="auto"/>
        </w:rPr>
        <w:t>万元，全年执行数</w:t>
      </w:r>
      <w:r>
        <w:rPr>
          <w:rFonts w:hint="eastAsia"/>
          <w:color w:val="auto"/>
          <w:lang w:val="en-US" w:eastAsia="zh-CN"/>
        </w:rPr>
        <w:t>20</w:t>
      </w:r>
      <w:r>
        <w:rPr>
          <w:rFonts w:hint="eastAsia"/>
          <w:color w:val="auto"/>
        </w:rPr>
        <w:t>万元，预算执行率为</w:t>
      </w:r>
      <w:r>
        <w:rPr>
          <w:rFonts w:hint="eastAsia"/>
          <w:color w:val="auto"/>
          <w:lang w:val="en-US" w:eastAsia="zh-CN"/>
        </w:rPr>
        <w:t>100</w:t>
      </w:r>
      <w:r>
        <w:rPr>
          <w:rFonts w:hint="eastAsia"/>
          <w:color w:val="auto"/>
        </w:rPr>
        <w:t>%</w:t>
      </w:r>
      <w:r>
        <w:rPr>
          <w:rFonts w:hint="eastAsia"/>
          <w:color w:val="auto"/>
          <w:lang w:eastAsia="zh-CN"/>
        </w:rPr>
        <w:t>。</w:t>
      </w:r>
    </w:p>
    <w:p w14:paraId="0B1E2B4C">
      <w:pPr>
        <w:pStyle w:val="2"/>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此项权重分4分，得分4分。</w:t>
      </w:r>
    </w:p>
    <w:p w14:paraId="121B29AA">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资金使用合规性</w:t>
      </w:r>
    </w:p>
    <w:p w14:paraId="36BFB184">
      <w:pPr>
        <w:pStyle w:val="2"/>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项目严格按照预期绩效目标执行预算资金。根据《行政单位财务规则》和《事业单位财务规则》制定了《巴州信访局预算管理内部控制制度》和《巴州信访局收支管理内部控制制度》，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27086B46">
      <w:pPr>
        <w:pStyle w:val="2"/>
        <w:ind w:firstLine="600" w:firstLineChars="200"/>
        <w:jc w:val="left"/>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14:paraId="1DC5ED84">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管理制度健全性</w:t>
      </w:r>
    </w:p>
    <w:p w14:paraId="388C66BB">
      <w:pPr>
        <w:pStyle w:val="2"/>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color w:val="0000FF"/>
          <w:sz w:val="32"/>
          <w:szCs w:val="32"/>
          <w:lang w:val="en-US" w:eastAsia="zh-CN"/>
        </w:rPr>
      </w:pPr>
      <w:r>
        <w:rPr>
          <w:rFonts w:hint="eastAsia" w:ascii="仿宋_GB2312" w:hAnsi="仿宋_GB2312" w:eastAsia="仿宋_GB2312" w:cs="仿宋_GB2312"/>
          <w:b w:val="0"/>
          <w:bCs w:val="0"/>
          <w:color w:val="auto"/>
          <w:sz w:val="32"/>
          <w:szCs w:val="32"/>
          <w:lang w:val="en-US" w:eastAsia="zh-CN"/>
        </w:rPr>
        <w:t>根据《巴州信访局预算管理内部控制制度》和《巴州信访局收支管理内部控制制度》，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38CF68FC">
      <w:pPr>
        <w:pStyle w:val="2"/>
        <w:ind w:firstLine="600" w:firstLineChars="200"/>
        <w:jc w:val="left"/>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14:paraId="236E3576">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制度执行有效性</w:t>
      </w:r>
    </w:p>
    <w:p w14:paraId="25935D42">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lang w:eastAsia="zh-CN"/>
        </w:rPr>
        <w:t>项目</w:t>
      </w:r>
      <w:r>
        <w:rPr>
          <w:rFonts w:hint="eastAsia"/>
          <w:color w:val="auto"/>
        </w:rPr>
        <w:t>遵守</w:t>
      </w:r>
      <w:r>
        <w:rPr>
          <w:rFonts w:hint="eastAsia"/>
          <w:color w:val="auto"/>
          <w:lang w:eastAsia="zh-CN"/>
        </w:rPr>
        <w:t>了《行政事业单位内部控制规范(试行) 》以及《政府会计制度》等</w:t>
      </w:r>
      <w:r>
        <w:rPr>
          <w:rFonts w:hint="eastAsia"/>
          <w:color w:val="auto"/>
        </w:rPr>
        <w:t>相关法律法规和相关管理规定</w:t>
      </w:r>
      <w:r>
        <w:rPr>
          <w:rFonts w:hint="eastAsia"/>
          <w:color w:val="auto"/>
          <w:lang w:eastAsia="zh-CN"/>
        </w:rPr>
        <w:t>，严格执行本单位的内控制度，做到</w:t>
      </w:r>
      <w:r>
        <w:rPr>
          <w:rFonts w:hint="eastAsia"/>
          <w:color w:val="auto"/>
        </w:rPr>
        <w:t>项目调整及支出调整手续完备</w:t>
      </w:r>
      <w:r>
        <w:rPr>
          <w:rFonts w:hint="eastAsia"/>
          <w:color w:val="auto"/>
          <w:lang w:eastAsia="zh-CN"/>
        </w:rPr>
        <w:t>，</w:t>
      </w:r>
      <w:r>
        <w:rPr>
          <w:rFonts w:hint="eastAsia"/>
          <w:color w:val="auto"/>
          <w:lang w:val="en-US" w:eastAsia="zh-CN"/>
        </w:rPr>
        <w:t>项目管理、实施人员落实到位，有效按照计划执行。项目执行情况等资料齐全，项目相关手续完备，及时进行归档。</w:t>
      </w:r>
    </w:p>
    <w:p w14:paraId="2737270C">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此项权重分4分，得分4分。</w:t>
      </w:r>
    </w:p>
    <w:p w14:paraId="1677F7FF">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color w:val="auto"/>
          <w:highlight w:val="none"/>
        </w:rPr>
      </w:pPr>
      <w:r>
        <w:rPr>
          <w:rFonts w:hint="eastAsia"/>
          <w:color w:val="auto"/>
          <w:highlight w:val="none"/>
          <w:lang w:val="en-US" w:eastAsia="zh-CN"/>
        </w:rPr>
        <w:t>（三）</w:t>
      </w:r>
      <w:r>
        <w:rPr>
          <w:rFonts w:hint="eastAsia" w:ascii="仿宋_GB2312" w:eastAsia="仿宋_GB2312"/>
          <w:b w:val="0"/>
          <w:bCs w:val="0"/>
          <w:color w:val="auto"/>
          <w:highlight w:val="none"/>
        </w:rPr>
        <w:t>项目产出情况。</w:t>
      </w:r>
      <w:bookmarkEnd w:id="16"/>
    </w:p>
    <w:p w14:paraId="4C4E298B">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FF0000"/>
        </w:rPr>
      </w:pPr>
      <w:r>
        <w:rPr>
          <w:rFonts w:hint="eastAsia"/>
          <w:color w:val="auto"/>
          <w:lang w:val="en-US" w:eastAsia="zh-CN"/>
        </w:rPr>
        <w:t>1.</w:t>
      </w:r>
      <w:r>
        <w:rPr>
          <w:rFonts w:hint="eastAsia"/>
          <w:color w:val="auto"/>
        </w:rPr>
        <w:t>数量指标</w:t>
      </w:r>
      <w:r>
        <w:rPr>
          <w:rFonts w:hint="eastAsia"/>
          <w:color w:val="auto"/>
          <w:lang w:eastAsia="zh-CN"/>
        </w:rPr>
        <w:t>完成情况</w:t>
      </w:r>
      <w:r>
        <w:rPr>
          <w:rFonts w:hint="eastAsia"/>
          <w:color w:val="auto"/>
        </w:rPr>
        <w:t>：</w:t>
      </w:r>
    </w:p>
    <w:p w14:paraId="21ED9B7A">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FF0000"/>
        </w:rPr>
      </w:pPr>
      <w:r>
        <w:rPr>
          <w:rFonts w:hint="eastAsia"/>
          <w:color w:val="auto"/>
        </w:rPr>
        <w:t>指标1：“两会”期间信访保障次数，指标值：&gt;=4次，实际完成值</w:t>
      </w:r>
      <w:r>
        <w:rPr>
          <w:rFonts w:hint="eastAsia"/>
          <w:color w:val="auto"/>
          <w:lang w:eastAsia="zh-CN"/>
        </w:rPr>
        <w:t>：</w:t>
      </w:r>
      <w:r>
        <w:rPr>
          <w:rFonts w:hint="eastAsia"/>
          <w:color w:val="auto"/>
          <w:lang w:val="en-US" w:eastAsia="zh-CN"/>
        </w:rPr>
        <w:t>5次</w:t>
      </w:r>
      <w:r>
        <w:rPr>
          <w:rFonts w:hint="eastAsia"/>
          <w:color w:val="auto"/>
        </w:rPr>
        <w:t>，指标完成率</w:t>
      </w:r>
      <w:r>
        <w:rPr>
          <w:rFonts w:hint="eastAsia"/>
          <w:color w:val="auto"/>
          <w:lang w:val="en-US" w:eastAsia="zh-CN"/>
        </w:rPr>
        <w:t>125</w:t>
      </w:r>
      <w:r>
        <w:rPr>
          <w:rFonts w:hint="eastAsia"/>
          <w:color w:val="auto"/>
        </w:rPr>
        <w:t>%，偏差原因：2023年信访安全保障工作增加，平均差费值降低，引起偏差。在今后的工作中，进一步做细、做实施、做准预算，为预算执行打好基础。</w:t>
      </w:r>
    </w:p>
    <w:p w14:paraId="5F449519">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r>
        <w:rPr>
          <w:rFonts w:hint="eastAsia"/>
          <w:color w:val="auto"/>
          <w:lang w:val="en-US" w:eastAsia="zh-CN"/>
        </w:rPr>
        <w:t>指标2：“两会”期间信访保障人数，指标值：</w:t>
      </w:r>
      <w:r>
        <w:rPr>
          <w:rFonts w:hint="default"/>
          <w:color w:val="auto"/>
          <w:lang w:val="en-US" w:eastAsia="zh-CN"/>
        </w:rPr>
        <w:t>&gt;=13人</w:t>
      </w:r>
      <w:r>
        <w:rPr>
          <w:rFonts w:hint="eastAsia"/>
          <w:color w:val="auto"/>
          <w:lang w:val="en-US" w:eastAsia="zh-CN"/>
        </w:rPr>
        <w:t>，实际完成值12人，指标完成率92.31%，偏差原因：因2023年末有2件信访逾期未办理，使按期办结率降低，从而产生偏差。</w:t>
      </w:r>
    </w:p>
    <w:p w14:paraId="6B156529">
      <w:pPr>
        <w:pStyle w:val="2"/>
        <w:ind w:firstLine="600" w:firstLineChars="200"/>
        <w:jc w:val="left"/>
        <w:rPr>
          <w:rFonts w:hint="default"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此项权重分10</w:t>
      </w:r>
      <w:r>
        <w:rPr>
          <w:rFonts w:hint="eastAsia" w:ascii="Times New Roman" w:hAnsi="Times New Roman" w:eastAsia="仿宋_GB2312" w:cs="Times New Roman"/>
          <w:b w:val="0"/>
          <w:bCs w:val="0"/>
          <w:color w:val="auto"/>
          <w:kern w:val="2"/>
          <w:sz w:val="30"/>
          <w:szCs w:val="24"/>
          <w:lang w:val="en-US" w:eastAsia="zh-CN" w:bidi="ar-SA"/>
        </w:rPr>
        <w:t>分，得分9.62分。</w:t>
      </w:r>
    </w:p>
    <w:p w14:paraId="63EEAB2C">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2.质量指标完成情况：</w:t>
      </w:r>
    </w:p>
    <w:p w14:paraId="79B07E26">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指标1：</w:t>
      </w:r>
      <w:r>
        <w:rPr>
          <w:rFonts w:hint="default" w:ascii="Times New Roman" w:hAnsi="Times New Roman" w:eastAsia="仿宋_GB2312" w:cs="Times New Roman"/>
          <w:b w:val="0"/>
          <w:bCs w:val="0"/>
          <w:kern w:val="2"/>
          <w:sz w:val="30"/>
          <w:szCs w:val="24"/>
          <w:lang w:val="en-US" w:eastAsia="zh-CN" w:bidi="ar-SA"/>
        </w:rPr>
        <w:t>信访事项按期办结率</w:t>
      </w:r>
      <w:r>
        <w:rPr>
          <w:rFonts w:hint="eastAsia" w:ascii="Times New Roman" w:hAnsi="Times New Roman" w:eastAsia="仿宋_GB2312" w:cs="Times New Roman"/>
          <w:b w:val="0"/>
          <w:bCs w:val="0"/>
          <w:kern w:val="2"/>
          <w:sz w:val="30"/>
          <w:szCs w:val="24"/>
          <w:lang w:val="en-US" w:eastAsia="zh-CN" w:bidi="ar-SA"/>
        </w:rPr>
        <w:t>，指标值：&gt;=90%，实际完成值99.76%，指标完成率110.84%，偏差原因：</w:t>
      </w:r>
      <w:r>
        <w:rPr>
          <w:rFonts w:hint="default" w:ascii="Times New Roman" w:hAnsi="Times New Roman" w:eastAsia="仿宋_GB2312" w:cs="Times New Roman"/>
          <w:b w:val="0"/>
          <w:bCs w:val="0"/>
          <w:kern w:val="2"/>
          <w:sz w:val="30"/>
          <w:szCs w:val="24"/>
          <w:lang w:val="en-US" w:eastAsia="zh-CN" w:bidi="ar-SA"/>
        </w:rPr>
        <w:t>因2023年信访安全保障工作增加，</w:t>
      </w:r>
      <w:r>
        <w:rPr>
          <w:rFonts w:hint="eastAsia" w:cs="Times New Roman"/>
          <w:b w:val="0"/>
          <w:bCs w:val="0"/>
          <w:kern w:val="2"/>
          <w:sz w:val="30"/>
          <w:szCs w:val="24"/>
          <w:lang w:val="en-US" w:eastAsia="zh-CN" w:bidi="ar-SA"/>
        </w:rPr>
        <w:t>高额完成</w:t>
      </w:r>
      <w:r>
        <w:rPr>
          <w:rFonts w:hint="default" w:ascii="Times New Roman" w:hAnsi="Times New Roman" w:eastAsia="仿宋_GB2312" w:cs="Times New Roman"/>
          <w:b w:val="0"/>
          <w:bCs w:val="0"/>
          <w:kern w:val="2"/>
          <w:sz w:val="30"/>
          <w:szCs w:val="24"/>
          <w:lang w:val="en-US" w:eastAsia="zh-CN" w:bidi="ar-SA"/>
        </w:rPr>
        <w:t>指标，因此产生偏差</w:t>
      </w:r>
      <w:r>
        <w:rPr>
          <w:rFonts w:hint="eastAsia" w:ascii="Times New Roman" w:hAnsi="Times New Roman" w:eastAsia="仿宋_GB2312" w:cs="Times New Roman"/>
          <w:b w:val="0"/>
          <w:bCs w:val="0"/>
          <w:kern w:val="2"/>
          <w:sz w:val="30"/>
          <w:szCs w:val="24"/>
          <w:lang w:val="en-US" w:eastAsia="zh-CN" w:bidi="ar-SA"/>
        </w:rPr>
        <w:t>。</w:t>
      </w:r>
    </w:p>
    <w:p w14:paraId="43EA5881">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指标2：信访安全保障率，指标值：&gt;=98%，实际完成值99.76%，指标完成率101.79%，偏差原因：无</w:t>
      </w:r>
    </w:p>
    <w:p w14:paraId="7FBCEF5A">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此项权重分10分，得分10分。</w:t>
      </w:r>
    </w:p>
    <w:p w14:paraId="73C5F333">
      <w:pPr>
        <w:pageBreakBefore w:val="0"/>
        <w:numPr>
          <w:ilvl w:val="0"/>
          <w:numId w:val="1"/>
        </w:numPr>
        <w:kinsoku/>
        <w:wordWrap/>
        <w:overflowPunct/>
        <w:topLinePunct w:val="0"/>
        <w:autoSpaceDE/>
        <w:autoSpaceDN/>
        <w:bidi w:val="0"/>
        <w:adjustRightInd/>
        <w:snapToGrid/>
        <w:spacing w:line="560" w:lineRule="exact"/>
        <w:ind w:leftChars="200"/>
        <w:textAlignment w:val="auto"/>
        <w:rPr>
          <w:rFonts w:hint="eastAsia"/>
          <w:lang w:eastAsia="zh-CN"/>
        </w:rPr>
      </w:pPr>
      <w:r>
        <w:rPr>
          <w:rFonts w:hint="eastAsia"/>
          <w:color w:val="auto"/>
        </w:rPr>
        <w:t>时效指标</w:t>
      </w:r>
      <w:r>
        <w:rPr>
          <w:rFonts w:hint="eastAsia"/>
          <w:color w:val="auto"/>
          <w:lang w:eastAsia="zh-CN"/>
        </w:rPr>
        <w:t>完成情况</w:t>
      </w:r>
      <w:r>
        <w:rPr>
          <w:rFonts w:hint="eastAsia"/>
          <w:color w:val="auto"/>
        </w:rPr>
        <w:t>：</w:t>
      </w:r>
    </w:p>
    <w:p w14:paraId="73CAD3E0">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r>
        <w:rPr>
          <w:rFonts w:hint="eastAsia"/>
          <w:color w:val="auto"/>
          <w:lang w:val="en-US" w:eastAsia="zh-CN"/>
        </w:rPr>
        <w:t>指标1：</w:t>
      </w:r>
      <w:r>
        <w:rPr>
          <w:rFonts w:hint="eastAsia"/>
          <w:color w:val="auto"/>
        </w:rPr>
        <w:t>专项检查任务按时完成率</w:t>
      </w:r>
      <w:r>
        <w:rPr>
          <w:rFonts w:hint="eastAsia"/>
          <w:color w:val="auto"/>
          <w:lang w:val="en-US" w:eastAsia="zh-CN"/>
        </w:rPr>
        <w:t>，指标值：</w:t>
      </w:r>
      <w:r>
        <w:rPr>
          <w:rFonts w:hint="eastAsia"/>
          <w:color w:val="auto"/>
        </w:rPr>
        <w:t>&gt;=95%</w:t>
      </w:r>
      <w:r>
        <w:rPr>
          <w:rFonts w:hint="eastAsia"/>
          <w:color w:val="auto"/>
          <w:lang w:val="en-US" w:eastAsia="zh-CN"/>
        </w:rPr>
        <w:t>，实际完成值</w:t>
      </w:r>
      <w:r>
        <w:rPr>
          <w:rFonts w:hint="eastAsia"/>
          <w:color w:val="auto"/>
        </w:rPr>
        <w:t>=99.76%</w:t>
      </w:r>
      <w:r>
        <w:rPr>
          <w:rFonts w:hint="eastAsia"/>
          <w:color w:val="auto"/>
          <w:lang w:val="en-US" w:eastAsia="zh-CN"/>
        </w:rPr>
        <w:t>，指标完成率</w:t>
      </w:r>
      <w:r>
        <w:rPr>
          <w:rFonts w:hint="eastAsia"/>
          <w:color w:val="auto"/>
        </w:rPr>
        <w:t>105.01</w:t>
      </w:r>
      <w:r>
        <w:rPr>
          <w:rFonts w:hint="eastAsia"/>
          <w:color w:val="auto"/>
          <w:lang w:val="en-US" w:eastAsia="zh-CN"/>
        </w:rPr>
        <w:t>%，偏差原因：无。</w:t>
      </w:r>
    </w:p>
    <w:p w14:paraId="25F89B2D">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r>
        <w:rPr>
          <w:rFonts w:hint="eastAsia"/>
          <w:color w:val="auto"/>
          <w:lang w:val="en-US" w:eastAsia="zh-CN"/>
        </w:rPr>
        <w:t>指标2：</w:t>
      </w:r>
      <w:r>
        <w:rPr>
          <w:rFonts w:hint="eastAsia"/>
          <w:color w:val="auto"/>
        </w:rPr>
        <w:t>发放保障经费及时率</w:t>
      </w:r>
      <w:r>
        <w:rPr>
          <w:rFonts w:hint="eastAsia"/>
          <w:color w:val="auto"/>
          <w:lang w:val="en-US" w:eastAsia="zh-CN"/>
        </w:rPr>
        <w:t>，指标值：&gt;=95%，实际完成值100%，指标完成率</w:t>
      </w:r>
      <w:r>
        <w:rPr>
          <w:rFonts w:hint="eastAsia"/>
          <w:color w:val="auto"/>
        </w:rPr>
        <w:t>105.26</w:t>
      </w:r>
      <w:r>
        <w:rPr>
          <w:rFonts w:hint="eastAsia"/>
          <w:color w:val="auto"/>
          <w:lang w:val="en-US" w:eastAsia="zh-CN"/>
        </w:rPr>
        <w:t>%，偏差原因：无</w:t>
      </w:r>
    </w:p>
    <w:p w14:paraId="3A2CF17A">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lang w:val="en-US" w:eastAsia="zh-CN"/>
        </w:rPr>
        <w:t>此项权重分</w:t>
      </w:r>
      <w:r>
        <w:rPr>
          <w:rFonts w:hint="eastAsia" w:ascii="Times New Roman" w:hAnsi="Times New Roman" w:eastAsia="仿宋_GB2312" w:cs="Times New Roman"/>
          <w:b w:val="0"/>
          <w:bCs w:val="0"/>
          <w:kern w:val="2"/>
          <w:sz w:val="30"/>
          <w:szCs w:val="24"/>
          <w:lang w:val="en-US" w:eastAsia="zh-CN" w:bidi="ar-SA"/>
        </w:rPr>
        <w:t>10</w:t>
      </w:r>
      <w:r>
        <w:rPr>
          <w:rFonts w:hint="eastAsia"/>
          <w:color w:val="auto"/>
          <w:lang w:val="en-US" w:eastAsia="zh-CN"/>
        </w:rPr>
        <w:t>分，得分10分。</w:t>
      </w:r>
    </w:p>
    <w:p w14:paraId="71C94688">
      <w:pPr>
        <w:pageBreakBefore w:val="0"/>
        <w:numPr>
          <w:ilvl w:val="0"/>
          <w:numId w:val="1"/>
        </w:numPr>
        <w:kinsoku/>
        <w:wordWrap/>
        <w:overflowPunct/>
        <w:topLinePunct w:val="0"/>
        <w:autoSpaceDE/>
        <w:autoSpaceDN/>
        <w:bidi w:val="0"/>
        <w:adjustRightInd/>
        <w:snapToGrid/>
        <w:spacing w:line="560" w:lineRule="exact"/>
        <w:ind w:left="600" w:leftChars="200" w:firstLine="0" w:firstLineChars="0"/>
        <w:textAlignment w:val="auto"/>
        <w:rPr>
          <w:rFonts w:hint="eastAsia"/>
          <w:color w:val="auto"/>
          <w:highlight w:val="none"/>
          <w:lang w:eastAsia="zh-CN"/>
        </w:rPr>
      </w:pPr>
      <w:r>
        <w:rPr>
          <w:rFonts w:hint="eastAsia"/>
          <w:color w:val="auto"/>
          <w:highlight w:val="none"/>
          <w:lang w:val="en-US" w:eastAsia="zh-CN"/>
        </w:rPr>
        <w:t>经济成本指标完成情况</w:t>
      </w:r>
      <w:r>
        <w:rPr>
          <w:rFonts w:hint="eastAsia"/>
          <w:color w:val="auto"/>
          <w:highlight w:val="none"/>
          <w:lang w:eastAsia="zh-CN"/>
        </w:rPr>
        <w:t>：</w:t>
      </w:r>
    </w:p>
    <w:p w14:paraId="60BF285C">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 xml:space="preserve">指标1：“两会”期间信访安全保障每次经费，指标值：&lt;=50000元/次，实际完成值&lt;=40000元/次，指标完成率80%，偏差原因：2023年度我局信访安全保障工作加重，业务增加，产生偏差。 </w:t>
      </w:r>
    </w:p>
    <w:p w14:paraId="1CCC312E">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color w:val="auto"/>
          <w:lang w:val="en-US" w:eastAsia="zh-CN"/>
        </w:rPr>
        <w:t>此项权重分</w:t>
      </w:r>
      <w:r>
        <w:rPr>
          <w:rFonts w:hint="eastAsia"/>
          <w:color w:val="auto"/>
          <w:highlight w:val="none"/>
          <w:lang w:val="en-US" w:eastAsia="zh-CN"/>
        </w:rPr>
        <w:t>10分</w:t>
      </w:r>
      <w:r>
        <w:rPr>
          <w:rFonts w:hint="eastAsia"/>
          <w:color w:val="auto"/>
          <w:lang w:val="en-US" w:eastAsia="zh-CN"/>
        </w:rPr>
        <w:t>，得分8分。</w:t>
      </w:r>
    </w:p>
    <w:p w14:paraId="73DA6F22">
      <w:pPr>
        <w:pStyle w:val="4"/>
        <w:pageBreakBefore w:val="0"/>
        <w:numPr>
          <w:ilvl w:val="0"/>
          <w:numId w:val="2"/>
        </w:numPr>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highlight w:val="none"/>
        </w:rPr>
      </w:pPr>
      <w:bookmarkStart w:id="17" w:name="_Toc68703841"/>
      <w:r>
        <w:rPr>
          <w:rFonts w:hint="eastAsia" w:ascii="仿宋_GB2312" w:eastAsia="仿宋_GB2312"/>
          <w:b w:val="0"/>
          <w:bCs w:val="0"/>
          <w:color w:val="auto"/>
          <w:highlight w:val="none"/>
        </w:rPr>
        <w:t>项目效益情况。</w:t>
      </w:r>
      <w:bookmarkEnd w:id="17"/>
    </w:p>
    <w:p w14:paraId="228B21B2">
      <w:pPr>
        <w:pageBreakBefore w:val="0"/>
        <w:numPr>
          <w:ilvl w:val="0"/>
          <w:numId w:val="3"/>
        </w:numPr>
        <w:kinsoku/>
        <w:wordWrap/>
        <w:overflowPunct/>
        <w:topLinePunct w:val="0"/>
        <w:autoSpaceDE/>
        <w:autoSpaceDN/>
        <w:bidi w:val="0"/>
        <w:adjustRightInd/>
        <w:snapToGrid/>
        <w:spacing w:line="560" w:lineRule="exact"/>
        <w:ind w:leftChars="200"/>
        <w:textAlignment w:val="auto"/>
        <w:rPr>
          <w:rFonts w:hint="eastAsia"/>
          <w:color w:val="auto"/>
          <w:highlight w:val="none"/>
        </w:rPr>
      </w:pPr>
      <w:r>
        <w:rPr>
          <w:rFonts w:hint="eastAsia"/>
          <w:color w:val="auto"/>
          <w:highlight w:val="none"/>
        </w:rPr>
        <w:t>经济效益指标</w:t>
      </w:r>
      <w:r>
        <w:rPr>
          <w:rFonts w:hint="eastAsia"/>
          <w:color w:val="auto"/>
          <w:highlight w:val="none"/>
          <w:lang w:eastAsia="zh-CN"/>
        </w:rPr>
        <w:t>完成情况</w:t>
      </w:r>
      <w:r>
        <w:rPr>
          <w:rFonts w:hint="eastAsia"/>
          <w:color w:val="auto"/>
          <w:highlight w:val="none"/>
        </w:rPr>
        <w:t>：</w:t>
      </w:r>
    </w:p>
    <w:p w14:paraId="54107FD0">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指标1：维护群众合法权益，指标值：效果显著，实际完成值：</w:t>
      </w:r>
    </w:p>
    <w:p w14:paraId="651BA0D5">
      <w:pPr>
        <w:pageBreakBefore w:val="0"/>
        <w:numPr>
          <w:ilvl w:val="0"/>
          <w:numId w:val="0"/>
        </w:numPr>
        <w:kinsoku/>
        <w:wordWrap/>
        <w:overflowPunct/>
        <w:topLinePunct w:val="0"/>
        <w:autoSpaceDE/>
        <w:autoSpaceDN/>
        <w:bidi w:val="0"/>
        <w:adjustRightInd/>
        <w:snapToGrid/>
        <w:spacing w:line="560" w:lineRule="exact"/>
        <w:textAlignment w:val="auto"/>
        <w:rPr>
          <w:rFonts w:hint="eastAsia"/>
          <w:color w:val="auto"/>
          <w:highlight w:val="none"/>
          <w:lang w:val="en-US" w:eastAsia="zh-CN"/>
        </w:rPr>
      </w:pPr>
      <w:r>
        <w:rPr>
          <w:rFonts w:hint="eastAsia"/>
          <w:color w:val="auto"/>
          <w:highlight w:val="none"/>
          <w:lang w:val="en-US" w:eastAsia="zh-CN"/>
        </w:rPr>
        <w:t>达成目标，指标完成率100%，偏差原因：无。</w:t>
      </w:r>
    </w:p>
    <w:p w14:paraId="2BBA9839">
      <w:pPr>
        <w:numPr>
          <w:ilvl w:val="0"/>
          <w:numId w:val="0"/>
        </w:numPr>
        <w:ind w:firstLine="600" w:firstLineChars="200"/>
        <w:rPr>
          <w:rFonts w:hint="eastAsia"/>
        </w:rPr>
      </w:pPr>
      <w:r>
        <w:rPr>
          <w:rFonts w:hint="eastAsia"/>
          <w:color w:val="auto"/>
          <w:highlight w:val="none"/>
          <w:lang w:val="en-US" w:eastAsia="zh-CN"/>
        </w:rPr>
        <w:t>此项权重分10分，得分10分。</w:t>
      </w:r>
    </w:p>
    <w:p w14:paraId="7F6048D2">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rPr>
      </w:pPr>
      <w:r>
        <w:rPr>
          <w:rFonts w:hint="eastAsia"/>
          <w:color w:val="auto"/>
          <w:highlight w:val="none"/>
          <w:lang w:val="en-US" w:eastAsia="zh-CN"/>
        </w:rPr>
        <w:t>2.</w:t>
      </w:r>
      <w:r>
        <w:rPr>
          <w:rFonts w:hint="eastAsia"/>
          <w:color w:val="auto"/>
          <w:highlight w:val="none"/>
        </w:rPr>
        <w:t>满意度指标</w:t>
      </w:r>
      <w:r>
        <w:rPr>
          <w:rFonts w:hint="eastAsia"/>
          <w:color w:val="auto"/>
          <w:highlight w:val="none"/>
          <w:lang w:eastAsia="zh-CN"/>
        </w:rPr>
        <w:t>完成情况分析</w:t>
      </w:r>
      <w:r>
        <w:rPr>
          <w:rFonts w:hint="eastAsia"/>
          <w:color w:val="auto"/>
          <w:highlight w:val="none"/>
        </w:rPr>
        <w:t>：</w:t>
      </w:r>
    </w:p>
    <w:p w14:paraId="7B7C683F">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指标1：</w:t>
      </w:r>
      <w:r>
        <w:rPr>
          <w:rFonts w:hint="eastAsia"/>
          <w:color w:val="auto"/>
          <w:highlight w:val="none"/>
        </w:rPr>
        <w:t>办公人员满意度</w:t>
      </w:r>
      <w:r>
        <w:rPr>
          <w:rFonts w:hint="eastAsia"/>
          <w:color w:val="auto"/>
          <w:highlight w:val="none"/>
          <w:lang w:val="en-US" w:eastAsia="zh-CN"/>
        </w:rPr>
        <w:t>，指标值：</w:t>
      </w:r>
      <w:r>
        <w:rPr>
          <w:rFonts w:hint="eastAsia"/>
          <w:color w:val="auto"/>
          <w:highlight w:val="none"/>
        </w:rPr>
        <w:t>&gt;=90%</w:t>
      </w:r>
      <w:r>
        <w:rPr>
          <w:rFonts w:hint="eastAsia"/>
          <w:color w:val="auto"/>
          <w:highlight w:val="none"/>
          <w:lang w:val="en-US" w:eastAsia="zh-CN"/>
        </w:rPr>
        <w:t>，实际完成值90</w:t>
      </w:r>
      <w:r>
        <w:rPr>
          <w:rFonts w:hint="eastAsia"/>
          <w:color w:val="auto"/>
          <w:highlight w:val="none"/>
        </w:rPr>
        <w:t>%</w:t>
      </w:r>
      <w:r>
        <w:rPr>
          <w:rFonts w:hint="eastAsia"/>
          <w:color w:val="auto"/>
          <w:highlight w:val="none"/>
          <w:lang w:val="en-US" w:eastAsia="zh-CN"/>
        </w:rPr>
        <w:t>，指标完成率100%，偏差原因：无。</w:t>
      </w:r>
    </w:p>
    <w:p w14:paraId="34133B9D">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指标2：</w:t>
      </w:r>
      <w:r>
        <w:rPr>
          <w:rFonts w:hint="eastAsia"/>
          <w:color w:val="auto"/>
          <w:highlight w:val="none"/>
        </w:rPr>
        <w:t>发放保障经费及时率</w:t>
      </w:r>
      <w:r>
        <w:rPr>
          <w:rFonts w:hint="eastAsia"/>
          <w:color w:val="auto"/>
          <w:highlight w:val="none"/>
          <w:lang w:val="en-US" w:eastAsia="zh-CN"/>
        </w:rPr>
        <w:t>，指标值：</w:t>
      </w:r>
      <w:r>
        <w:rPr>
          <w:rFonts w:hint="eastAsia"/>
          <w:color w:val="auto"/>
          <w:highlight w:val="none"/>
        </w:rPr>
        <w:t>&gt;=90%</w:t>
      </w:r>
      <w:r>
        <w:rPr>
          <w:rFonts w:hint="eastAsia"/>
          <w:color w:val="auto"/>
          <w:highlight w:val="none"/>
          <w:lang w:val="en-US" w:eastAsia="zh-CN"/>
        </w:rPr>
        <w:t>，实际完成值90%，指标完成率100%，偏差原因：无</w:t>
      </w:r>
    </w:p>
    <w:p w14:paraId="4019DADD">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highlight w:val="none"/>
          <w:lang w:val="en-US" w:eastAsia="zh-CN"/>
        </w:rPr>
        <w:t>此项权重分10分，得分10分。</w:t>
      </w:r>
    </w:p>
    <w:p w14:paraId="0096D85E">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sz w:val="32"/>
          <w:szCs w:val="32"/>
          <w:lang w:eastAsia="zh-Hans"/>
        </w:rPr>
      </w:pPr>
      <w:bookmarkStart w:id="18" w:name="_Toc68703842"/>
      <w:r>
        <w:rPr>
          <w:rFonts w:hint="eastAsia" w:ascii="Times New Roman" w:hAnsi="Times New Roman" w:eastAsia="黑体" w:cs="Times New Roman"/>
          <w:sz w:val="32"/>
          <w:szCs w:val="32"/>
          <w:lang w:eastAsia="zh-Hans"/>
        </w:rPr>
        <w:t>五、预算执行进度与绩效指标总体完成率偏差</w:t>
      </w:r>
    </w:p>
    <w:bookmarkEnd w:id="18"/>
    <w:p w14:paraId="1B7AFFE3">
      <w:pPr>
        <w:pageBreakBefore w:val="0"/>
        <w:kinsoku/>
        <w:wordWrap/>
        <w:overflowPunct/>
        <w:topLinePunct w:val="0"/>
        <w:autoSpaceDE/>
        <w:autoSpaceDN/>
        <w:bidi w:val="0"/>
        <w:adjustRightInd/>
        <w:snapToGrid/>
        <w:spacing w:line="560" w:lineRule="exact"/>
        <w:ind w:firstLine="600" w:firstLineChars="200"/>
        <w:jc w:val="both"/>
        <w:textAlignment w:val="auto"/>
        <w:rPr>
          <w:rFonts w:hint="eastAsia" w:ascii="Times New Roman" w:hAnsi="Times New Roman" w:eastAsia="仿宋_GB2312" w:cs="Times New Roman"/>
          <w:color w:val="auto"/>
          <w:kern w:val="2"/>
          <w:sz w:val="30"/>
          <w:szCs w:val="24"/>
          <w:lang w:val="en-US" w:eastAsia="zh-CN" w:bidi="ar-SA"/>
        </w:rPr>
      </w:pPr>
      <w:r>
        <w:rPr>
          <w:rFonts w:hint="eastAsia"/>
          <w:color w:val="auto"/>
          <w:lang w:eastAsia="zh-CN"/>
        </w:rPr>
        <w:t>全国两会</w:t>
      </w:r>
      <w:bookmarkStart w:id="23" w:name="_GoBack"/>
      <w:bookmarkEnd w:id="23"/>
      <w:r>
        <w:rPr>
          <w:rFonts w:hint="eastAsia"/>
          <w:color w:val="auto"/>
        </w:rPr>
        <w:t>期间信访安全保障专项工作</w:t>
      </w:r>
      <w:r>
        <w:rPr>
          <w:rFonts w:hint="eastAsia" w:ascii="Times New Roman" w:hAnsi="Times New Roman" w:eastAsia="仿宋_GB2312" w:cs="Times New Roman"/>
          <w:color w:val="auto"/>
          <w:kern w:val="2"/>
          <w:sz w:val="30"/>
          <w:szCs w:val="24"/>
          <w:lang w:val="en-US" w:eastAsia="zh-CN" w:bidi="ar-SA"/>
        </w:rPr>
        <w:t>经费项目年初预算</w:t>
      </w:r>
      <w:r>
        <w:rPr>
          <w:rFonts w:hint="eastAsia" w:cs="Times New Roman"/>
          <w:color w:val="auto"/>
          <w:kern w:val="2"/>
          <w:sz w:val="30"/>
          <w:szCs w:val="24"/>
          <w:lang w:val="en-US" w:eastAsia="zh-CN" w:bidi="ar-SA"/>
        </w:rPr>
        <w:t>20</w:t>
      </w:r>
      <w:r>
        <w:rPr>
          <w:rFonts w:hint="eastAsia" w:ascii="Times New Roman" w:hAnsi="Times New Roman" w:eastAsia="仿宋_GB2312" w:cs="Times New Roman"/>
          <w:color w:val="auto"/>
          <w:kern w:val="2"/>
          <w:sz w:val="30"/>
          <w:szCs w:val="24"/>
          <w:lang w:val="en-US" w:eastAsia="zh-CN" w:bidi="ar-SA"/>
        </w:rPr>
        <w:t>万元，全年预算</w:t>
      </w:r>
      <w:r>
        <w:rPr>
          <w:rFonts w:hint="eastAsia" w:cs="Times New Roman"/>
          <w:color w:val="auto"/>
          <w:kern w:val="2"/>
          <w:sz w:val="30"/>
          <w:szCs w:val="24"/>
          <w:lang w:val="en-US" w:eastAsia="zh-CN" w:bidi="ar-SA"/>
        </w:rPr>
        <w:t>20</w:t>
      </w:r>
      <w:r>
        <w:rPr>
          <w:rFonts w:hint="eastAsia" w:ascii="Times New Roman" w:hAnsi="Times New Roman" w:eastAsia="仿宋_GB2312" w:cs="Times New Roman"/>
          <w:color w:val="auto"/>
          <w:kern w:val="2"/>
          <w:sz w:val="30"/>
          <w:szCs w:val="24"/>
          <w:lang w:val="en-US" w:eastAsia="zh-CN" w:bidi="ar-SA"/>
        </w:rPr>
        <w:t>万元，实际支出</w:t>
      </w:r>
      <w:r>
        <w:rPr>
          <w:rFonts w:hint="eastAsia" w:cs="Times New Roman"/>
          <w:color w:val="auto"/>
          <w:kern w:val="2"/>
          <w:sz w:val="30"/>
          <w:szCs w:val="24"/>
          <w:lang w:val="en-US" w:eastAsia="zh-CN" w:bidi="ar-SA"/>
        </w:rPr>
        <w:t>20</w:t>
      </w:r>
      <w:r>
        <w:rPr>
          <w:rFonts w:hint="eastAsia" w:ascii="Times New Roman" w:hAnsi="Times New Roman" w:eastAsia="仿宋_GB2312" w:cs="Times New Roman"/>
          <w:color w:val="auto"/>
          <w:kern w:val="2"/>
          <w:sz w:val="30"/>
          <w:szCs w:val="24"/>
          <w:lang w:val="en-US" w:eastAsia="zh-CN" w:bidi="ar-SA"/>
        </w:rPr>
        <w:t>万元，预算执行率为</w:t>
      </w:r>
      <w:r>
        <w:rPr>
          <w:rFonts w:hint="eastAsia" w:cs="Times New Roman"/>
          <w:color w:val="auto"/>
          <w:kern w:val="2"/>
          <w:sz w:val="30"/>
          <w:szCs w:val="24"/>
          <w:lang w:val="en-US" w:eastAsia="zh-CN" w:bidi="ar-SA"/>
        </w:rPr>
        <w:t>100</w:t>
      </w:r>
      <w:r>
        <w:rPr>
          <w:rFonts w:hint="eastAsia" w:ascii="Times New Roman" w:hAnsi="Times New Roman" w:eastAsia="仿宋_GB2312" w:cs="Times New Roman"/>
          <w:color w:val="auto"/>
          <w:kern w:val="2"/>
          <w:sz w:val="30"/>
          <w:szCs w:val="24"/>
          <w:lang w:val="en-US" w:eastAsia="zh-CN" w:bidi="ar-SA"/>
        </w:rPr>
        <w:t>%，项目绩效指标总体完成率为</w:t>
      </w:r>
      <w:r>
        <w:rPr>
          <w:rFonts w:hint="eastAsia" w:cs="Times New Roman"/>
          <w:color w:val="auto"/>
          <w:kern w:val="2"/>
          <w:sz w:val="30"/>
          <w:szCs w:val="24"/>
          <w:lang w:val="en-US" w:eastAsia="zh-CN" w:bidi="ar-SA"/>
        </w:rPr>
        <w:t>102.02</w:t>
      </w:r>
      <w:r>
        <w:rPr>
          <w:rFonts w:hint="eastAsia" w:ascii="Times New Roman" w:hAnsi="Times New Roman" w:eastAsia="仿宋_GB2312" w:cs="Times New Roman"/>
          <w:color w:val="auto"/>
          <w:kern w:val="2"/>
          <w:sz w:val="30"/>
          <w:szCs w:val="24"/>
          <w:lang w:val="en-US" w:eastAsia="zh-CN" w:bidi="ar-SA"/>
        </w:rPr>
        <w:t>%，</w:t>
      </w:r>
      <w:r>
        <w:rPr>
          <w:rFonts w:hint="eastAsia" w:ascii="Times New Roman" w:hAnsi="Times New Roman" w:eastAsia="仿宋_GB2312" w:cs="Times New Roman"/>
          <w:color w:val="auto"/>
          <w:kern w:val="2"/>
          <w:sz w:val="30"/>
          <w:szCs w:val="24"/>
          <w:lang w:val="en-US" w:eastAsia="zh-Hans" w:bidi="ar-SA"/>
        </w:rPr>
        <w:t>总体</w:t>
      </w:r>
      <w:r>
        <w:rPr>
          <w:rFonts w:hint="eastAsia" w:ascii="Times New Roman" w:hAnsi="Times New Roman" w:eastAsia="仿宋_GB2312" w:cs="Times New Roman"/>
          <w:color w:val="auto"/>
          <w:kern w:val="2"/>
          <w:sz w:val="30"/>
          <w:szCs w:val="24"/>
          <w:lang w:val="en-US" w:eastAsia="zh-CN" w:bidi="ar-SA"/>
        </w:rPr>
        <w:t>偏差率为</w:t>
      </w:r>
      <w:r>
        <w:rPr>
          <w:rFonts w:hint="eastAsia" w:cs="Times New Roman"/>
          <w:color w:val="auto"/>
          <w:kern w:val="2"/>
          <w:sz w:val="30"/>
          <w:szCs w:val="24"/>
          <w:lang w:val="en-US" w:eastAsia="zh-CN" w:bidi="ar-SA"/>
        </w:rPr>
        <w:t>2.02</w:t>
      </w:r>
      <w:r>
        <w:rPr>
          <w:rFonts w:hint="eastAsia" w:ascii="Times New Roman" w:hAnsi="Times New Roman" w:eastAsia="仿宋_GB2312" w:cs="Times New Roman"/>
          <w:color w:val="auto"/>
          <w:kern w:val="2"/>
          <w:sz w:val="30"/>
          <w:szCs w:val="24"/>
          <w:lang w:val="en-US" w:eastAsia="zh-CN" w:bidi="ar-SA"/>
        </w:rPr>
        <w:t>%</w:t>
      </w:r>
      <w:r>
        <w:rPr>
          <w:rFonts w:hint="eastAsia" w:cs="Times New Roman"/>
          <w:color w:val="auto"/>
          <w:kern w:val="2"/>
          <w:sz w:val="30"/>
          <w:szCs w:val="24"/>
          <w:lang w:val="en-US" w:eastAsia="zh-CN" w:bidi="ar-SA"/>
        </w:rPr>
        <w:t>，</w:t>
      </w:r>
      <w:r>
        <w:rPr>
          <w:rFonts w:hint="eastAsia" w:ascii="Times New Roman" w:hAnsi="Times New Roman" w:eastAsia="仿宋_GB2312" w:cs="Times New Roman"/>
          <w:color w:val="auto"/>
          <w:kern w:val="2"/>
          <w:sz w:val="30"/>
          <w:szCs w:val="24"/>
          <w:lang w:val="en-US" w:eastAsia="zh-Hans" w:bidi="ar-SA"/>
        </w:rPr>
        <w:t>偏差</w:t>
      </w:r>
      <w:r>
        <w:rPr>
          <w:rFonts w:hint="eastAsia" w:ascii="Times New Roman" w:hAnsi="Times New Roman" w:eastAsia="仿宋_GB2312" w:cs="Times New Roman"/>
          <w:color w:val="auto"/>
          <w:kern w:val="2"/>
          <w:sz w:val="30"/>
          <w:szCs w:val="24"/>
          <w:lang w:val="en-US" w:eastAsia="zh-CN" w:bidi="ar-SA"/>
        </w:rPr>
        <w:t>原因：2023年度我局信访安全保障工作</w:t>
      </w:r>
      <w:r>
        <w:rPr>
          <w:rFonts w:hint="eastAsia" w:cs="Times New Roman"/>
          <w:color w:val="auto"/>
          <w:kern w:val="2"/>
          <w:sz w:val="30"/>
          <w:szCs w:val="24"/>
          <w:lang w:val="en-US" w:eastAsia="zh-CN" w:bidi="ar-SA"/>
        </w:rPr>
        <w:t>加</w:t>
      </w:r>
      <w:r>
        <w:rPr>
          <w:rFonts w:hint="eastAsia" w:ascii="Times New Roman" w:hAnsi="Times New Roman" w:eastAsia="仿宋_GB2312" w:cs="Times New Roman"/>
          <w:color w:val="auto"/>
          <w:kern w:val="2"/>
          <w:sz w:val="30"/>
          <w:szCs w:val="24"/>
          <w:lang w:val="en-US" w:eastAsia="zh-CN" w:bidi="ar-SA"/>
        </w:rPr>
        <w:t>重，业务增加，有2件信访逾期未办理，使按期办结率降低，从而产生偏差产生偏差,在今后的工作中，进一步做细、做实施、做准预算，为预算执行打好基础。</w:t>
      </w:r>
    </w:p>
    <w:p w14:paraId="299ED591">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p>
    <w:p w14:paraId="0402B772">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9" w:name="_Toc68703843"/>
      <w:r>
        <w:rPr>
          <w:rFonts w:hint="eastAsia" w:ascii="仿宋_GB2312" w:eastAsia="仿宋_GB2312"/>
          <w:b w:val="0"/>
          <w:bCs w:val="0"/>
        </w:rPr>
        <w:t>（一）主要经验及做法</w:t>
      </w:r>
      <w:bookmarkEnd w:id="19"/>
    </w:p>
    <w:p w14:paraId="1E7EE0B7">
      <w:pPr>
        <w:spacing w:line="560" w:lineRule="exact"/>
        <w:ind w:firstLine="600" w:firstLineChars="200"/>
        <w:rPr>
          <w:rFonts w:hint="eastAsia" w:ascii="仿宋" w:hAnsi="仿宋" w:eastAsia="仿宋" w:cs="仿宋"/>
          <w:b w:val="0"/>
          <w:bCs w:val="0"/>
          <w:color w:val="auto"/>
          <w:kern w:val="2"/>
          <w:sz w:val="30"/>
          <w:szCs w:val="30"/>
          <w:highlight w:val="none"/>
          <w:lang w:val="en-US" w:eastAsia="zh-CN" w:bidi="ar-SA"/>
        </w:rPr>
      </w:pPr>
      <w:bookmarkStart w:id="20" w:name="_Toc68703844"/>
      <w:r>
        <w:rPr>
          <w:rFonts w:hint="eastAsia" w:cs="Times New Roman"/>
          <w:sz w:val="30"/>
          <w:szCs w:val="30"/>
          <w:lang w:val="en-US" w:eastAsia="zh-CN"/>
        </w:rPr>
        <w:t>1.制定下发《2023年度县市信访工作要点》，指导县市信访理清工作思路，规范工作方法，将党和国家信访工作的方针政策贯彻落实到信访工作的全过程。</w:t>
      </w:r>
    </w:p>
    <w:p w14:paraId="7B04D16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cs="Times New Roman"/>
          <w:sz w:val="30"/>
          <w:szCs w:val="30"/>
          <w:lang w:val="en-US" w:eastAsia="zh-CN"/>
        </w:rPr>
      </w:pPr>
      <w:r>
        <w:rPr>
          <w:rFonts w:hint="eastAsia" w:ascii="Times New Roman" w:hAnsi="Times New Roman" w:eastAsia="仿宋_GB2312" w:cs="Times New Roman"/>
          <w:sz w:val="30"/>
          <w:szCs w:val="30"/>
          <w:lang w:val="en-US" w:eastAsia="zh-CN"/>
        </w:rPr>
        <w:t xml:space="preserve">  </w:t>
      </w:r>
      <w:r>
        <w:rPr>
          <w:rFonts w:hint="eastAsia" w:cs="Times New Roman"/>
          <w:sz w:val="30"/>
          <w:szCs w:val="30"/>
          <w:lang w:val="en-US" w:eastAsia="zh-CN"/>
        </w:rPr>
        <w:t xml:space="preserve">  2.</w:t>
      </w:r>
      <w:r>
        <w:rPr>
          <w:rFonts w:hint="eastAsia" w:ascii="Times New Roman" w:hAnsi="Times New Roman" w:eastAsia="仿宋_GB2312" w:cs="Times New Roman"/>
          <w:sz w:val="30"/>
          <w:szCs w:val="30"/>
          <w:lang w:val="en-US" w:eastAsia="zh-CN"/>
        </w:rPr>
        <w:t>项目确定了关键的绩效指标。</w:t>
      </w:r>
      <w:r>
        <w:rPr>
          <w:rFonts w:hint="eastAsia" w:cs="Times New Roman"/>
          <w:sz w:val="30"/>
          <w:szCs w:val="30"/>
          <w:lang w:val="en-US" w:eastAsia="zh-CN"/>
        </w:rPr>
        <w:t>我单位</w:t>
      </w:r>
      <w:r>
        <w:rPr>
          <w:rFonts w:hint="eastAsia" w:ascii="Times New Roman" w:hAnsi="Times New Roman" w:eastAsia="仿宋_GB2312" w:cs="Times New Roman"/>
          <w:sz w:val="30"/>
          <w:szCs w:val="30"/>
          <w:lang w:val="en-US" w:eastAsia="zh-CN"/>
        </w:rPr>
        <w:t>选择了与项目目标及目的紧密相关的关键绩效指标，</w:t>
      </w:r>
      <w:r>
        <w:rPr>
          <w:rFonts w:hint="eastAsia" w:cs="Times New Roman"/>
          <w:sz w:val="30"/>
          <w:szCs w:val="30"/>
          <w:lang w:val="en-US" w:eastAsia="zh-CN"/>
        </w:rPr>
        <w:t>这些指标能够量化和衡量项目的成效和效率。</w:t>
      </w:r>
    </w:p>
    <w:p w14:paraId="7D8E8D8A">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cs="Times New Roman"/>
          <w:sz w:val="30"/>
          <w:szCs w:val="30"/>
          <w:lang w:val="en-US" w:eastAsia="zh-CN"/>
        </w:rPr>
      </w:pPr>
      <w:r>
        <w:rPr>
          <w:rFonts w:hint="eastAsia" w:ascii="Times New Roman" w:hAnsi="Times New Roman" w:eastAsia="仿宋_GB2312" w:cs="Times New Roman"/>
          <w:sz w:val="30"/>
          <w:szCs w:val="30"/>
          <w:lang w:val="en-US" w:eastAsia="zh-CN"/>
        </w:rPr>
        <w:t xml:space="preserve"> </w:t>
      </w:r>
      <w:r>
        <w:rPr>
          <w:rFonts w:hint="eastAsia" w:cs="Times New Roman"/>
          <w:sz w:val="30"/>
          <w:szCs w:val="30"/>
          <w:lang w:val="en-US" w:eastAsia="zh-CN"/>
        </w:rPr>
        <w:t>3.</w:t>
      </w:r>
      <w:r>
        <w:rPr>
          <w:rFonts w:hint="eastAsia" w:ascii="Times New Roman" w:hAnsi="Times New Roman" w:eastAsia="仿宋_GB2312" w:cs="Times New Roman"/>
          <w:sz w:val="30"/>
          <w:szCs w:val="30"/>
          <w:lang w:val="en-US" w:eastAsia="zh-CN"/>
        </w:rPr>
        <w:t>项目</w:t>
      </w:r>
      <w:r>
        <w:rPr>
          <w:rFonts w:hint="eastAsia" w:cs="Times New Roman"/>
          <w:sz w:val="30"/>
          <w:szCs w:val="30"/>
          <w:lang w:val="en-US" w:eastAsia="zh-CN"/>
        </w:rPr>
        <w:t>进行了成本效益分析</w:t>
      </w:r>
      <w:r>
        <w:rPr>
          <w:rFonts w:hint="eastAsia" w:ascii="Times New Roman" w:hAnsi="Times New Roman" w:eastAsia="仿宋_GB2312" w:cs="Times New Roman"/>
          <w:sz w:val="30"/>
          <w:szCs w:val="30"/>
          <w:lang w:val="en-US" w:eastAsia="zh-CN"/>
        </w:rPr>
        <w:t>。</w:t>
      </w:r>
      <w:r>
        <w:rPr>
          <w:rFonts w:hint="eastAsia" w:cs="Times New Roman"/>
          <w:sz w:val="30"/>
          <w:szCs w:val="30"/>
          <w:lang w:val="en-US" w:eastAsia="zh-CN"/>
        </w:rPr>
        <w:t>比较了项目的成本和取得的成效，评估了项目是否达到了预期的目标。综合来看，项目成本质量控制有效，工作质量完成度较好。</w:t>
      </w:r>
    </w:p>
    <w:p w14:paraId="1365F5C7">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cs="Times New Roman"/>
          <w:sz w:val="30"/>
          <w:szCs w:val="30"/>
          <w:lang w:val="en-US" w:eastAsia="zh-CN"/>
        </w:rPr>
      </w:pPr>
      <w:r>
        <w:rPr>
          <w:rFonts w:hint="eastAsia" w:cs="Times New Roman"/>
          <w:sz w:val="30"/>
          <w:szCs w:val="30"/>
          <w:lang w:val="en-US" w:eastAsia="zh-CN"/>
        </w:rPr>
        <w:t>4.学习和改进，将评价作为一个持续的学习过程，不断从经验中学习，改进未来的项目支出绩效评价实践。</w:t>
      </w:r>
    </w:p>
    <w:p w14:paraId="13DEFCA9">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（二）存在的问题及原因分析</w:t>
      </w:r>
      <w:bookmarkEnd w:id="20"/>
    </w:p>
    <w:p w14:paraId="2A542604">
      <w:pPr>
        <w:shd w:val="clear"/>
        <w:spacing w:line="600" w:lineRule="exact"/>
        <w:ind w:firstLine="600" w:firstLineChars="200"/>
        <w:outlineLvl w:val="0"/>
        <w:rPr>
          <w:rFonts w:hint="eastAsia" w:ascii="仿宋" w:hAnsi="仿宋" w:eastAsia="仿宋" w:cs="仿宋"/>
          <w:color w:val="000000"/>
          <w:sz w:val="30"/>
          <w:szCs w:val="30"/>
          <w:highlight w:val="none"/>
          <w:lang w:val="en-US" w:eastAsia="zh-CN"/>
        </w:rPr>
      </w:pPr>
      <w:bookmarkStart w:id="21" w:name="_Toc68703845"/>
      <w:r>
        <w:rPr>
          <w:rFonts w:hint="eastAsia" w:ascii="仿宋" w:hAnsi="仿宋" w:eastAsia="仿宋" w:cs="仿宋"/>
          <w:color w:val="000000"/>
          <w:sz w:val="30"/>
          <w:szCs w:val="30"/>
          <w:highlight w:val="none"/>
          <w:lang w:val="en-US" w:eastAsia="zh-CN"/>
        </w:rPr>
        <w:t>1.相关绩效管理方面专业知识的系统性学习有待加强。在绩效自评过程中，由于部分人员缺乏相关绩效管理专业知识，自评价工作还存在自我审定的局限性，影响评价质量。</w:t>
      </w:r>
    </w:p>
    <w:p w14:paraId="5505F715">
      <w:pPr>
        <w:shd w:val="clear"/>
        <w:spacing w:line="600" w:lineRule="exact"/>
        <w:ind w:firstLine="600" w:firstLineChars="200"/>
        <w:outlineLvl w:val="0"/>
        <w:rPr>
          <w:rFonts w:hint="default" w:ascii="仿宋" w:hAnsi="仿宋" w:eastAsia="仿宋" w:cs="仿宋"/>
          <w:color w:val="000000"/>
          <w:sz w:val="32"/>
          <w:szCs w:val="32"/>
          <w:highlight w:val="none"/>
          <w:lang w:val="en-US" w:eastAsia="zh-CN"/>
        </w:rPr>
      </w:pPr>
      <w:r>
        <w:rPr>
          <w:rFonts w:hint="eastAsia" w:ascii="仿宋" w:hAnsi="仿宋" w:eastAsia="仿宋" w:cs="仿宋"/>
          <w:color w:val="000000"/>
          <w:sz w:val="30"/>
          <w:szCs w:val="30"/>
          <w:highlight w:val="none"/>
          <w:lang w:val="en-US" w:eastAsia="zh-CN"/>
        </w:rPr>
        <w:t>2.对于人员变动的把握不足，导致资金实际支出率未达到预期，项目执行率未达到标准。</w:t>
      </w:r>
    </w:p>
    <w:p w14:paraId="756E04A0">
      <w:pPr>
        <w:pageBreakBefore w:val="0"/>
        <w:kinsoku/>
        <w:wordWrap/>
        <w:overflowPunct/>
        <w:topLinePunct w:val="0"/>
        <w:autoSpaceDE/>
        <w:autoSpaceDN/>
        <w:bidi w:val="0"/>
        <w:adjustRightInd/>
        <w:snapToGrid/>
        <w:spacing w:line="560" w:lineRule="exact"/>
        <w:ind w:firstLine="640" w:firstLineChars="200"/>
        <w:textAlignment w:val="auto"/>
        <w:rPr>
          <w:rFonts w:eastAsia="黑体"/>
          <w:color w:val="0000FF"/>
          <w:sz w:val="32"/>
          <w:szCs w:val="32"/>
        </w:rPr>
      </w:pPr>
      <w:r>
        <w:rPr>
          <w:rFonts w:hint="eastAsia" w:ascii="宋体" w:hAnsi="宋体" w:eastAsia="宋体"/>
          <w:sz w:val="32"/>
          <w:szCs w:val="32"/>
          <w:lang w:val="en-US" w:eastAsia="zh-CN"/>
        </w:rPr>
        <w:t>七</w:t>
      </w:r>
      <w:r>
        <w:rPr>
          <w:rFonts w:hint="eastAsia" w:ascii="宋体" w:hAnsi="宋体" w:eastAsia="宋体"/>
          <w:sz w:val="32"/>
          <w:szCs w:val="32"/>
        </w:rPr>
        <w:t>、有关建议</w:t>
      </w:r>
      <w:bookmarkEnd w:id="21"/>
    </w:p>
    <w:p w14:paraId="7487A28D">
      <w:pPr>
        <w:pageBreakBefore w:val="0"/>
        <w:shd w:val="clear"/>
        <w:kinsoku/>
        <w:wordWrap/>
        <w:overflowPunct/>
        <w:topLinePunct w:val="0"/>
        <w:autoSpaceDE/>
        <w:autoSpaceDN/>
        <w:bidi w:val="0"/>
        <w:adjustRightInd/>
        <w:snapToGrid/>
        <w:spacing w:line="560" w:lineRule="exact"/>
        <w:ind w:firstLine="600" w:firstLineChars="200"/>
        <w:textAlignment w:val="auto"/>
        <w:outlineLvl w:val="0"/>
        <w:rPr>
          <w:rFonts w:hint="eastAsia" w:ascii="仿宋_GB2312" w:hAnsi="仿宋_GB2312" w:eastAsia="仿宋_GB2312" w:cs="仿宋_GB2312"/>
          <w:color w:val="auto"/>
          <w:sz w:val="30"/>
          <w:szCs w:val="30"/>
          <w:highlight w:val="none"/>
          <w:lang w:val="en-US" w:eastAsia="zh-CN"/>
        </w:rPr>
      </w:pPr>
      <w:r>
        <w:rPr>
          <w:rFonts w:hint="eastAsia" w:ascii="仿宋_GB2312" w:hAnsi="仿宋_GB2312" w:eastAsia="仿宋_GB2312" w:cs="仿宋_GB2312"/>
          <w:color w:val="auto"/>
          <w:sz w:val="30"/>
          <w:szCs w:val="30"/>
          <w:highlight w:val="none"/>
          <w:lang w:val="en-US" w:eastAsia="zh-CN"/>
        </w:rPr>
        <w:t>1.多进行有关绩效管理工作方面的培训。积极组织第三方开展绩效管理工作培训，进一步夯实业务基础，提高我单位绩效人员水平。</w:t>
      </w:r>
    </w:p>
    <w:p w14:paraId="10DE10BD">
      <w:pPr>
        <w:pageBreakBefore w:val="0"/>
        <w:shd w:val="clear"/>
        <w:kinsoku/>
        <w:wordWrap/>
        <w:overflowPunct/>
        <w:topLinePunct w:val="0"/>
        <w:autoSpaceDE/>
        <w:autoSpaceDN/>
        <w:bidi w:val="0"/>
        <w:adjustRightInd/>
        <w:snapToGrid/>
        <w:spacing w:line="560" w:lineRule="exact"/>
        <w:ind w:firstLine="600" w:firstLineChars="200"/>
        <w:textAlignment w:val="auto"/>
        <w:outlineLvl w:val="0"/>
        <w:rPr>
          <w:rFonts w:hint="eastAsia" w:ascii="仿宋_GB2312" w:hAnsi="仿宋_GB2312" w:eastAsia="仿宋_GB2312" w:cs="仿宋_GB2312"/>
          <w:color w:val="auto"/>
          <w:sz w:val="30"/>
          <w:szCs w:val="30"/>
          <w:highlight w:val="none"/>
          <w:lang w:val="en-US" w:eastAsia="zh-CN"/>
        </w:rPr>
      </w:pPr>
      <w:r>
        <w:rPr>
          <w:rFonts w:hint="eastAsia" w:ascii="仿宋_GB2312" w:hAnsi="仿宋_GB2312" w:eastAsia="仿宋_GB2312" w:cs="仿宋_GB2312"/>
          <w:color w:val="auto"/>
          <w:sz w:val="30"/>
          <w:szCs w:val="30"/>
          <w:highlight w:val="none"/>
          <w:lang w:val="en-US" w:eastAsia="zh-CN"/>
        </w:rPr>
        <w:t>2.下一年我单位年初设置指标时，考虑可能的人员变动情况，</w:t>
      </w:r>
      <w:bookmarkStart w:id="22" w:name="_Toc68703846"/>
      <w:r>
        <w:rPr>
          <w:rFonts w:hint="eastAsia" w:ascii="仿宋_GB2312" w:hAnsi="仿宋_GB2312" w:eastAsia="仿宋_GB2312" w:cs="仿宋_GB2312"/>
          <w:color w:val="auto"/>
          <w:sz w:val="30"/>
          <w:szCs w:val="30"/>
          <w:highlight w:val="none"/>
          <w:lang w:val="en-US" w:eastAsia="zh-CN"/>
        </w:rPr>
        <w:t>将严格按照州财政局预算执行进度的相关要求，督促加快项目实施进度，切实加大预算执行力度，提高资金使用效率，年底确保全部执行完所有的预算指标，全面完成单位年初制定的各项目标任务。</w:t>
      </w:r>
    </w:p>
    <w:p w14:paraId="7EF39680">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ascii="宋体" w:hAnsi="宋体" w:eastAsia="宋体"/>
          <w:b w:val="0"/>
          <w:bCs w:val="0"/>
          <w:sz w:val="32"/>
          <w:szCs w:val="32"/>
        </w:rPr>
      </w:pPr>
      <w:r>
        <w:rPr>
          <w:rFonts w:hint="eastAsia" w:ascii="宋体" w:hAnsi="宋体" w:eastAsia="宋体"/>
          <w:b w:val="0"/>
          <w:bCs w:val="0"/>
          <w:sz w:val="32"/>
          <w:szCs w:val="32"/>
          <w:lang w:val="en-US" w:eastAsia="zh-CN"/>
        </w:rPr>
        <w:t>八</w:t>
      </w:r>
      <w:r>
        <w:rPr>
          <w:rFonts w:hint="eastAsia" w:ascii="宋体" w:hAnsi="宋体" w:eastAsia="宋体"/>
          <w:b w:val="0"/>
          <w:bCs w:val="0"/>
          <w:sz w:val="32"/>
          <w:szCs w:val="32"/>
        </w:rPr>
        <w:t>、其他需要说明的问题</w:t>
      </w:r>
      <w:bookmarkEnd w:id="22"/>
    </w:p>
    <w:p w14:paraId="39D59DEB">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sz w:val="30"/>
          <w:szCs w:val="30"/>
          <w:lang w:eastAsia="zh-CN"/>
        </w:rPr>
        <w:sectPr>
          <w:pgSz w:w="11906" w:h="16838"/>
          <w:pgMar w:top="1928" w:right="1531" w:bottom="1701" w:left="1531" w:header="737" w:footer="851" w:gutter="0"/>
          <w:cols w:space="720" w:num="1"/>
          <w:docGrid w:type="lines" w:linePitch="408" w:charSpace="0"/>
        </w:sectPr>
      </w:pPr>
      <w:r>
        <w:rPr>
          <w:rFonts w:hint="eastAsia"/>
          <w:color w:val="auto"/>
          <w:sz w:val="30"/>
          <w:szCs w:val="30"/>
          <w:lang w:eastAsia="zh-Hans"/>
        </w:rPr>
        <w:t>本项目无其他需说明的</w:t>
      </w:r>
      <w:r>
        <w:rPr>
          <w:rFonts w:hint="eastAsia"/>
          <w:color w:val="auto"/>
          <w:sz w:val="30"/>
          <w:szCs w:val="30"/>
          <w:lang w:eastAsia="zh-CN"/>
        </w:rPr>
        <w:t>问题。</w:t>
      </w:r>
    </w:p>
    <w:p w14:paraId="2BAA642C">
      <w:pPr>
        <w:pageBreakBefore w:val="0"/>
        <w:kinsoku/>
        <w:wordWrap/>
        <w:overflowPunct/>
        <w:topLinePunct w:val="0"/>
        <w:autoSpaceDE/>
        <w:autoSpaceDN/>
        <w:bidi w:val="0"/>
        <w:adjustRightInd/>
        <w:snapToGrid/>
        <w:spacing w:line="560" w:lineRule="exact"/>
        <w:ind w:firstLine="600" w:firstLineChars="200"/>
        <w:textAlignment w:val="auto"/>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FangSong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30F4EB"/>
    <w:multiLevelType w:val="singleLevel"/>
    <w:tmpl w:val="9530F4EB"/>
    <w:lvl w:ilvl="0" w:tentative="0">
      <w:start w:val="1"/>
      <w:numFmt w:val="decimal"/>
      <w:lvlText w:val="%1."/>
      <w:lvlJc w:val="left"/>
      <w:pPr>
        <w:tabs>
          <w:tab w:val="left" w:pos="312"/>
        </w:tabs>
      </w:pPr>
    </w:lvl>
  </w:abstractNum>
  <w:abstractNum w:abstractNumId="1">
    <w:nsid w:val="3BD845D9"/>
    <w:multiLevelType w:val="singleLevel"/>
    <w:tmpl w:val="3BD845D9"/>
    <w:lvl w:ilvl="0" w:tentative="0">
      <w:start w:val="3"/>
      <w:numFmt w:val="decimal"/>
      <w:lvlText w:val="%1."/>
      <w:lvlJc w:val="left"/>
      <w:pPr>
        <w:tabs>
          <w:tab w:val="left" w:pos="312"/>
        </w:tabs>
      </w:pPr>
    </w:lvl>
  </w:abstractNum>
  <w:abstractNum w:abstractNumId="2">
    <w:nsid w:val="761B20E8"/>
    <w:multiLevelType w:val="singleLevel"/>
    <w:tmpl w:val="761B20E8"/>
    <w:lvl w:ilvl="0" w:tentative="0">
      <w:start w:val="4"/>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TRkOTIwZjc5YmU2ZTY5MjQ2MTljMmZlZWEzNGY0OTA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26732AB"/>
    <w:rsid w:val="031A7868"/>
    <w:rsid w:val="03E857D4"/>
    <w:rsid w:val="05227DA5"/>
    <w:rsid w:val="080207BD"/>
    <w:rsid w:val="08394BED"/>
    <w:rsid w:val="0848214B"/>
    <w:rsid w:val="08D20D13"/>
    <w:rsid w:val="0A596A08"/>
    <w:rsid w:val="0BB245AB"/>
    <w:rsid w:val="0C4D0F1B"/>
    <w:rsid w:val="0D8D06FD"/>
    <w:rsid w:val="0E7135ED"/>
    <w:rsid w:val="0F2318BA"/>
    <w:rsid w:val="0F2A6BF7"/>
    <w:rsid w:val="0F3A664A"/>
    <w:rsid w:val="11B03A76"/>
    <w:rsid w:val="137659F7"/>
    <w:rsid w:val="16C03CFB"/>
    <w:rsid w:val="17681CF4"/>
    <w:rsid w:val="18BC7E14"/>
    <w:rsid w:val="1A3B305F"/>
    <w:rsid w:val="1A617A4D"/>
    <w:rsid w:val="1A653C2D"/>
    <w:rsid w:val="1B2F7743"/>
    <w:rsid w:val="1D620D22"/>
    <w:rsid w:val="1D723F37"/>
    <w:rsid w:val="1D785367"/>
    <w:rsid w:val="1D9D5414"/>
    <w:rsid w:val="1DA71021"/>
    <w:rsid w:val="1E94497E"/>
    <w:rsid w:val="1EF70B34"/>
    <w:rsid w:val="203B5C5F"/>
    <w:rsid w:val="21B91FE3"/>
    <w:rsid w:val="23CA49E0"/>
    <w:rsid w:val="26550094"/>
    <w:rsid w:val="278368B4"/>
    <w:rsid w:val="2AC43A25"/>
    <w:rsid w:val="2B797161"/>
    <w:rsid w:val="2CB30C31"/>
    <w:rsid w:val="2CDC78CB"/>
    <w:rsid w:val="2FDA6430"/>
    <w:rsid w:val="32AE0DEC"/>
    <w:rsid w:val="32F36623"/>
    <w:rsid w:val="330C5EEF"/>
    <w:rsid w:val="3334643D"/>
    <w:rsid w:val="351C01B1"/>
    <w:rsid w:val="35D725C7"/>
    <w:rsid w:val="36B72533"/>
    <w:rsid w:val="3E497228"/>
    <w:rsid w:val="3EA565D6"/>
    <w:rsid w:val="3EF6321F"/>
    <w:rsid w:val="3F0D1E64"/>
    <w:rsid w:val="4057649F"/>
    <w:rsid w:val="41DB26AE"/>
    <w:rsid w:val="43182414"/>
    <w:rsid w:val="433517D1"/>
    <w:rsid w:val="45D87C36"/>
    <w:rsid w:val="45EA07BA"/>
    <w:rsid w:val="46507BB3"/>
    <w:rsid w:val="4657729D"/>
    <w:rsid w:val="47421D71"/>
    <w:rsid w:val="476C21BB"/>
    <w:rsid w:val="48FD4465"/>
    <w:rsid w:val="4A547680"/>
    <w:rsid w:val="4A7C25BE"/>
    <w:rsid w:val="4C22332E"/>
    <w:rsid w:val="4DA37D6C"/>
    <w:rsid w:val="4F836B72"/>
    <w:rsid w:val="4FC235E9"/>
    <w:rsid w:val="50C33BBF"/>
    <w:rsid w:val="52586AA6"/>
    <w:rsid w:val="52D457A0"/>
    <w:rsid w:val="535D04D6"/>
    <w:rsid w:val="56796849"/>
    <w:rsid w:val="5C3E437F"/>
    <w:rsid w:val="5DA95371"/>
    <w:rsid w:val="5F0D0052"/>
    <w:rsid w:val="60780AA4"/>
    <w:rsid w:val="61B112E4"/>
    <w:rsid w:val="673063E8"/>
    <w:rsid w:val="685A0D09"/>
    <w:rsid w:val="68F11999"/>
    <w:rsid w:val="68FF4CF5"/>
    <w:rsid w:val="697D7C9D"/>
    <w:rsid w:val="6B696C8B"/>
    <w:rsid w:val="6BD43675"/>
    <w:rsid w:val="6D4F63E5"/>
    <w:rsid w:val="6E5B17D8"/>
    <w:rsid w:val="6E7B7F24"/>
    <w:rsid w:val="6FBE7937"/>
    <w:rsid w:val="73330AAD"/>
    <w:rsid w:val="73B828FE"/>
    <w:rsid w:val="752E4111"/>
    <w:rsid w:val="754F6E04"/>
    <w:rsid w:val="763A0251"/>
    <w:rsid w:val="777A5F53"/>
    <w:rsid w:val="78D24452"/>
    <w:rsid w:val="79C92F3D"/>
    <w:rsid w:val="7AD77AE1"/>
    <w:rsid w:val="7B722398"/>
    <w:rsid w:val="7C046E12"/>
    <w:rsid w:val="7FA41A6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6">
    <w:name w:val="annotation text"/>
    <w:basedOn w:val="1"/>
    <w:qFormat/>
    <w:uiPriority w:val="0"/>
    <w:pPr>
      <w:jc w:val="left"/>
    </w:pPr>
  </w:style>
  <w:style w:type="paragraph" w:styleId="7">
    <w:name w:val="footer"/>
    <w:basedOn w:val="1"/>
    <w:link w:val="18"/>
    <w:semiHidden/>
    <w:unhideWhenUsed/>
    <w:qFormat/>
    <w:uiPriority w:val="99"/>
    <w:pPr>
      <w:tabs>
        <w:tab w:val="center" w:pos="4153"/>
        <w:tab w:val="right" w:pos="8306"/>
      </w:tabs>
      <w:snapToGrid w:val="0"/>
      <w:jc w:val="left"/>
    </w:pPr>
    <w:rPr>
      <w:sz w:val="18"/>
      <w:szCs w:val="18"/>
    </w:rPr>
  </w:style>
  <w:style w:type="paragraph" w:styleId="8">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3">
    <w:name w:val="Hyperlink"/>
    <w:basedOn w:val="12"/>
    <w:unhideWhenUsed/>
    <w:qFormat/>
    <w:uiPriority w:val="99"/>
    <w:rPr>
      <w:color w:val="0563C1" w:themeColor="hyperlink"/>
      <w:u w:val="single"/>
    </w:rPr>
  </w:style>
  <w:style w:type="character" w:customStyle="1" w:styleId="14">
    <w:name w:val="标题 1 Char"/>
    <w:basedOn w:val="12"/>
    <w:link w:val="3"/>
    <w:qFormat/>
    <w:uiPriority w:val="9"/>
    <w:rPr>
      <w:rFonts w:ascii="Times New Roman" w:hAnsi="Times New Roman" w:eastAsia="仿宋_GB2312" w:cs="Times New Roman"/>
      <w:b/>
      <w:bCs/>
      <w:kern w:val="44"/>
      <w:sz w:val="44"/>
      <w:szCs w:val="44"/>
    </w:rPr>
  </w:style>
  <w:style w:type="character" w:customStyle="1" w:styleId="15">
    <w:name w:val="标题 2 Char"/>
    <w:basedOn w:val="12"/>
    <w:link w:val="4"/>
    <w:qFormat/>
    <w:uiPriority w:val="9"/>
    <w:rPr>
      <w:rFonts w:asciiTheme="majorHAnsi" w:hAnsiTheme="majorHAnsi" w:eastAsiaTheme="majorEastAsia" w:cstheme="majorBidi"/>
      <w:b/>
      <w:bCs/>
      <w:sz w:val="32"/>
      <w:szCs w:val="32"/>
    </w:rPr>
  </w:style>
  <w:style w:type="paragraph" w:customStyle="1" w:styleId="16">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7">
    <w:name w:val="页眉 Char"/>
    <w:basedOn w:val="12"/>
    <w:link w:val="8"/>
    <w:semiHidden/>
    <w:qFormat/>
    <w:uiPriority w:val="99"/>
    <w:rPr>
      <w:rFonts w:ascii="Times New Roman" w:hAnsi="Times New Roman" w:eastAsia="仿宋_GB2312" w:cs="Times New Roman"/>
      <w:sz w:val="18"/>
      <w:szCs w:val="18"/>
    </w:rPr>
  </w:style>
  <w:style w:type="character" w:customStyle="1" w:styleId="18">
    <w:name w:val="页脚 Char"/>
    <w:basedOn w:val="12"/>
    <w:link w:val="7"/>
    <w:semiHidden/>
    <w:qFormat/>
    <w:uiPriority w:val="99"/>
    <w:rPr>
      <w:rFonts w:ascii="Times New Roman" w:hAnsi="Times New Roman" w:eastAsia="仿宋_GB2312" w:cs="Times New Roman"/>
      <w:sz w:val="18"/>
      <w:szCs w:val="18"/>
    </w:rPr>
  </w:style>
  <w:style w:type="paragraph" w:customStyle="1" w:styleId="19">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18</Pages>
  <Words>7536</Words>
  <Characters>7938</Characters>
  <Lines>37</Lines>
  <Paragraphs>10</Paragraphs>
  <TotalTime>55</TotalTime>
  <ScaleCrop>false</ScaleCrop>
  <LinksUpToDate>false</LinksUpToDate>
  <CharactersWithSpaces>7957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Qxb</cp:lastModifiedBy>
  <cp:lastPrinted>2024-05-14T09:59:00Z</cp:lastPrinted>
  <dcterms:modified xsi:type="dcterms:W3CDTF">2024-12-18T12:08:18Z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DFF0787588C34603A74FA104BC3FC087</vt:lpwstr>
  </property>
</Properties>
</file>