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22721C">
      <w:pPr>
        <w:spacing w:line="540" w:lineRule="exact"/>
        <w:jc w:val="center"/>
        <w:rPr>
          <w:rFonts w:eastAsia="方正小标宋_GBK"/>
          <w:kern w:val="0"/>
          <w:sz w:val="40"/>
          <w:szCs w:val="40"/>
        </w:rPr>
      </w:pPr>
      <w:r>
        <w:rPr>
          <w:rFonts w:hint="eastAsia" w:eastAsia="方正小标宋_GBK"/>
          <w:kern w:val="0"/>
          <w:sz w:val="40"/>
          <w:szCs w:val="40"/>
          <w:lang w:eastAsia="zh-CN"/>
        </w:rPr>
        <w:t>项目绩效</w:t>
      </w:r>
      <w:r>
        <w:rPr>
          <w:rFonts w:eastAsia="方正小标宋_GBK"/>
          <w:kern w:val="0"/>
          <w:sz w:val="40"/>
          <w:szCs w:val="40"/>
        </w:rPr>
        <w:t>支出评价</w:t>
      </w:r>
    </w:p>
    <w:p w14:paraId="6029487C">
      <w:pPr>
        <w:spacing w:line="540" w:lineRule="exact"/>
        <w:jc w:val="center"/>
        <w:rPr>
          <w:rFonts w:eastAsia="方正小标宋_GBK"/>
          <w:kern w:val="0"/>
          <w:sz w:val="40"/>
          <w:szCs w:val="40"/>
        </w:rPr>
      </w:pPr>
      <w:r>
        <w:rPr>
          <w:rFonts w:eastAsia="方正小标宋_GBK"/>
          <w:kern w:val="0"/>
          <w:sz w:val="40"/>
          <w:szCs w:val="40"/>
        </w:rPr>
        <w:t>报告</w:t>
      </w:r>
    </w:p>
    <w:p w14:paraId="37B73E02">
      <w:pPr>
        <w:spacing w:line="540" w:lineRule="exact"/>
        <w:jc w:val="center"/>
        <w:rPr>
          <w:rFonts w:eastAsia="华文中宋"/>
          <w:b/>
          <w:kern w:val="0"/>
          <w:sz w:val="52"/>
          <w:szCs w:val="52"/>
        </w:rPr>
      </w:pPr>
    </w:p>
    <w:p w14:paraId="30EC939C">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14:paraId="652C930E">
      <w:pPr>
        <w:spacing w:line="540" w:lineRule="exact"/>
        <w:jc w:val="center"/>
        <w:rPr>
          <w:rFonts w:eastAsia="仿宋_GB2312"/>
          <w:kern w:val="0"/>
          <w:sz w:val="30"/>
          <w:szCs w:val="30"/>
        </w:rPr>
      </w:pPr>
    </w:p>
    <w:p w14:paraId="379D1A2B">
      <w:pPr>
        <w:spacing w:line="540" w:lineRule="exact"/>
        <w:jc w:val="center"/>
        <w:rPr>
          <w:rFonts w:eastAsia="仿宋_GB2312"/>
          <w:kern w:val="0"/>
          <w:sz w:val="30"/>
          <w:szCs w:val="30"/>
        </w:rPr>
      </w:pPr>
    </w:p>
    <w:p w14:paraId="2C3C039D">
      <w:pPr>
        <w:spacing w:line="540" w:lineRule="exact"/>
        <w:jc w:val="center"/>
        <w:rPr>
          <w:rFonts w:eastAsia="仿宋_GB2312"/>
          <w:kern w:val="0"/>
          <w:sz w:val="30"/>
          <w:szCs w:val="30"/>
        </w:rPr>
      </w:pPr>
    </w:p>
    <w:p w14:paraId="58FC144B">
      <w:pPr>
        <w:pStyle w:val="2"/>
      </w:pPr>
    </w:p>
    <w:p w14:paraId="234D9696">
      <w:pPr>
        <w:spacing w:line="540" w:lineRule="exact"/>
        <w:jc w:val="center"/>
        <w:rPr>
          <w:rFonts w:eastAsia="仿宋_GB2312"/>
          <w:kern w:val="0"/>
          <w:sz w:val="30"/>
          <w:szCs w:val="30"/>
        </w:rPr>
      </w:pPr>
    </w:p>
    <w:p w14:paraId="16550AD7">
      <w:pPr>
        <w:spacing w:line="540" w:lineRule="exact"/>
        <w:rPr>
          <w:rFonts w:eastAsia="仿宋_GB2312"/>
          <w:kern w:val="0"/>
          <w:sz w:val="30"/>
          <w:szCs w:val="30"/>
        </w:rPr>
      </w:pPr>
    </w:p>
    <w:p w14:paraId="26DAF0C3">
      <w:pPr>
        <w:spacing w:line="700" w:lineRule="exact"/>
        <w:jc w:val="left"/>
        <w:rPr>
          <w:rFonts w:hint="eastAsia" w:eastAsia="仿宋_GB2312"/>
          <w:kern w:val="0"/>
          <w:sz w:val="36"/>
          <w:szCs w:val="36"/>
          <w:lang w:eastAsia="zh-CN"/>
        </w:rPr>
      </w:pPr>
      <w:r>
        <w:rPr>
          <w:rFonts w:eastAsia="仿宋_GB2312"/>
          <w:kern w:val="0"/>
          <w:sz w:val="36"/>
          <w:szCs w:val="36"/>
        </w:rPr>
        <w:t>项目名称：</w:t>
      </w:r>
      <w:r>
        <w:rPr>
          <w:rFonts w:hint="eastAsia" w:eastAsia="仿宋_GB2312"/>
          <w:kern w:val="0"/>
          <w:sz w:val="36"/>
          <w:szCs w:val="36"/>
          <w:lang w:eastAsia="zh-CN"/>
        </w:rPr>
        <w:t>巴财教〔2022〕37号关于提前下达2023年教育项目直达资金的--学生资助（中等职业-免学费）、巴财教〔2022〕33号关于提前下达2023年学生资助补助经费预算[中央直达资金]--中央学生资助（中等职业-免学费）</w:t>
      </w:r>
    </w:p>
    <w:p w14:paraId="728B63B2">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巴州师范学校</w:t>
      </w:r>
    </w:p>
    <w:p w14:paraId="3FAA94D5">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巴州教育局</w:t>
      </w:r>
    </w:p>
    <w:p w14:paraId="1231CFE9">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张传河</w:t>
      </w:r>
    </w:p>
    <w:p w14:paraId="4253E17C">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10</w:t>
      </w:r>
      <w:r>
        <w:rPr>
          <w:rFonts w:eastAsia="仿宋_GB2312"/>
          <w:kern w:val="0"/>
          <w:sz w:val="36"/>
          <w:szCs w:val="36"/>
        </w:rPr>
        <w:t>日</w:t>
      </w:r>
    </w:p>
    <w:p w14:paraId="385F5FE4">
      <w:pPr>
        <w:spacing w:line="540" w:lineRule="exact"/>
        <w:jc w:val="center"/>
        <w:rPr>
          <w:rFonts w:eastAsia="仿宋_GB2312"/>
          <w:kern w:val="0"/>
          <w:sz w:val="30"/>
          <w:szCs w:val="30"/>
        </w:rPr>
      </w:pPr>
    </w:p>
    <w:p w14:paraId="5F427C1D">
      <w:pPr>
        <w:spacing w:line="540" w:lineRule="exact"/>
        <w:rPr>
          <w:rStyle w:val="11"/>
          <w:rFonts w:eastAsia="黑体"/>
          <w:b w:val="0"/>
          <w:spacing w:val="-4"/>
          <w:sz w:val="32"/>
          <w:szCs w:val="32"/>
        </w:rPr>
      </w:pPr>
    </w:p>
    <w:p w14:paraId="3E7A5586">
      <w:pPr>
        <w:spacing w:line="560" w:lineRule="exact"/>
        <w:rPr>
          <w:rFonts w:eastAsia="黑体"/>
          <w:bCs/>
          <w:sz w:val="32"/>
          <w:szCs w:val="32"/>
        </w:rPr>
        <w:sectPr>
          <w:footerReference r:id="rId3" w:type="default"/>
          <w:pgSz w:w="11906" w:h="16838"/>
          <w:pgMar w:top="1440" w:right="226" w:bottom="1440" w:left="1800" w:header="851" w:footer="992" w:gutter="0"/>
          <w:cols w:space="0" w:num="1"/>
          <w:rtlGutter w:val="0"/>
          <w:docGrid w:type="lines" w:linePitch="312" w:charSpace="0"/>
        </w:sectPr>
      </w:pPr>
    </w:p>
    <w:p w14:paraId="03795F06">
      <w:pPr>
        <w:spacing w:line="560" w:lineRule="exact"/>
        <w:ind w:firstLine="640" w:firstLineChars="200"/>
        <w:rPr>
          <w:rFonts w:eastAsia="黑体"/>
          <w:bCs/>
          <w:sz w:val="32"/>
          <w:szCs w:val="32"/>
        </w:rPr>
      </w:pPr>
      <w:r>
        <w:rPr>
          <w:rFonts w:eastAsia="黑体"/>
          <w:bCs/>
          <w:sz w:val="32"/>
          <w:szCs w:val="32"/>
        </w:rPr>
        <w:t>一、基本情况</w:t>
      </w:r>
    </w:p>
    <w:p w14:paraId="2BB76E18">
      <w:pPr>
        <w:spacing w:line="560" w:lineRule="exact"/>
        <w:ind w:firstLine="643" w:firstLineChars="200"/>
        <w:rPr>
          <w:rFonts w:eastAsia="楷体_GB2312"/>
          <w:b/>
          <w:bCs/>
          <w:sz w:val="32"/>
          <w:szCs w:val="32"/>
        </w:rPr>
      </w:pPr>
      <w:r>
        <w:rPr>
          <w:rFonts w:eastAsia="楷体_GB2312"/>
          <w:b/>
          <w:bCs/>
          <w:sz w:val="32"/>
          <w:szCs w:val="32"/>
        </w:rPr>
        <w:t>（一）项目概况</w:t>
      </w:r>
    </w:p>
    <w:p w14:paraId="4A406FF8">
      <w:pPr>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eastAsia="仿宋_GB2312"/>
          <w:b/>
          <w:bCs/>
          <w:sz w:val="32"/>
          <w:szCs w:val="32"/>
        </w:rPr>
      </w:pPr>
      <w:r>
        <w:rPr>
          <w:rFonts w:eastAsia="仿宋_GB2312"/>
          <w:b/>
          <w:bCs/>
          <w:sz w:val="32"/>
          <w:szCs w:val="32"/>
        </w:rPr>
        <w:t>1、项目背景</w:t>
      </w:r>
      <w:r>
        <w:rPr>
          <w:rFonts w:hint="eastAsia" w:eastAsia="仿宋_GB2312"/>
          <w:b/>
          <w:bCs/>
          <w:sz w:val="32"/>
          <w:szCs w:val="32"/>
          <w:lang w:eastAsia="zh-CN"/>
        </w:rPr>
        <w:t>，</w:t>
      </w:r>
      <w:r>
        <w:rPr>
          <w:rFonts w:hint="eastAsia" w:eastAsia="仿宋_GB2312"/>
          <w:b/>
          <w:bCs/>
          <w:sz w:val="32"/>
          <w:szCs w:val="32"/>
        </w:rPr>
        <w:t>主要内容及实施情况</w:t>
      </w:r>
    </w:p>
    <w:p w14:paraId="0DB7EA1D">
      <w:pPr>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（1）项目背景</w:t>
      </w:r>
    </w:p>
    <w:p w14:paraId="0141E50B">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根据财政部</w:t>
      </w:r>
      <w:r>
        <w:rPr>
          <w:rFonts w:hint="eastAsia" w:ascii="仿宋" w:hAnsi="仿宋" w:eastAsia="仿宋" w:cs="仿宋"/>
          <w:sz w:val="32"/>
          <w:szCs w:val="32"/>
          <w:lang w:eastAsia="zh-CN"/>
        </w:rPr>
        <w:t>、</w:t>
      </w:r>
      <w:r>
        <w:rPr>
          <w:rFonts w:hint="eastAsia" w:ascii="仿宋" w:hAnsi="仿宋" w:eastAsia="仿宋" w:cs="仿宋"/>
          <w:sz w:val="32"/>
          <w:szCs w:val="32"/>
        </w:rPr>
        <w:t>教育部</w:t>
      </w:r>
      <w:r>
        <w:rPr>
          <w:rFonts w:hint="eastAsia" w:ascii="仿宋" w:hAnsi="仿宋" w:eastAsia="仿宋" w:cs="仿宋"/>
          <w:sz w:val="32"/>
          <w:szCs w:val="32"/>
          <w:lang w:eastAsia="zh-CN"/>
        </w:rPr>
        <w:t>、</w:t>
      </w:r>
      <w:r>
        <w:rPr>
          <w:rFonts w:hint="eastAsia" w:ascii="仿宋" w:hAnsi="仿宋" w:eastAsia="仿宋" w:cs="仿宋"/>
          <w:sz w:val="32"/>
          <w:szCs w:val="32"/>
        </w:rPr>
        <w:t>人力资源社会保障部</w:t>
      </w:r>
      <w:r>
        <w:rPr>
          <w:rFonts w:hint="eastAsia" w:ascii="仿宋" w:hAnsi="仿宋" w:eastAsia="仿宋" w:cs="仿宋"/>
          <w:sz w:val="32"/>
          <w:szCs w:val="32"/>
          <w:lang w:eastAsia="zh-CN"/>
        </w:rPr>
        <w:t>、</w:t>
      </w:r>
      <w:r>
        <w:rPr>
          <w:rFonts w:hint="eastAsia" w:ascii="仿宋" w:hAnsi="仿宋" w:eastAsia="仿宋" w:cs="仿宋"/>
          <w:sz w:val="32"/>
          <w:szCs w:val="32"/>
        </w:rPr>
        <w:t>退役军人部</w:t>
      </w:r>
      <w:r>
        <w:rPr>
          <w:rFonts w:hint="eastAsia" w:ascii="仿宋" w:hAnsi="仿宋" w:eastAsia="仿宋" w:cs="仿宋"/>
          <w:sz w:val="32"/>
          <w:szCs w:val="32"/>
          <w:lang w:eastAsia="zh-CN"/>
        </w:rPr>
        <w:t>、</w:t>
      </w:r>
      <w:r>
        <w:rPr>
          <w:rFonts w:hint="eastAsia" w:ascii="仿宋" w:hAnsi="仿宋" w:eastAsia="仿宋" w:cs="仿宋"/>
          <w:sz w:val="32"/>
          <w:szCs w:val="32"/>
        </w:rPr>
        <w:t>中央军委国防动员部关于印发</w:t>
      </w:r>
      <w:r>
        <w:rPr>
          <w:rFonts w:hint="eastAsia" w:ascii="仿宋" w:hAnsi="仿宋" w:eastAsia="仿宋" w:cs="仿宋"/>
          <w:sz w:val="32"/>
          <w:szCs w:val="32"/>
          <w:lang w:eastAsia="zh-CN"/>
        </w:rPr>
        <w:t>《</w:t>
      </w:r>
      <w:r>
        <w:rPr>
          <w:rFonts w:hint="eastAsia" w:ascii="仿宋" w:hAnsi="仿宋" w:eastAsia="仿宋" w:cs="仿宋"/>
          <w:sz w:val="32"/>
          <w:szCs w:val="32"/>
        </w:rPr>
        <w:t>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，自治区关于印发</w:t>
      </w:r>
      <w:r>
        <w:rPr>
          <w:rFonts w:hint="eastAsia" w:ascii="仿宋" w:hAnsi="仿宋" w:eastAsia="仿宋" w:cs="仿宋"/>
          <w:sz w:val="32"/>
          <w:szCs w:val="32"/>
          <w:lang w:eastAsia="zh-CN"/>
        </w:rPr>
        <w:t>《</w:t>
      </w:r>
      <w:r>
        <w:rPr>
          <w:rFonts w:hint="eastAsia" w:ascii="仿宋" w:hAnsi="仿宋" w:eastAsia="仿宋" w:cs="仿宋"/>
          <w:sz w:val="32"/>
          <w:szCs w:val="32"/>
        </w:rPr>
        <w:t>新疆维吾尔自治区学生资助资金管理办法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的通知</w:t>
      </w:r>
      <w:r>
        <w:rPr>
          <w:rFonts w:hint="eastAsia" w:ascii="仿宋" w:hAnsi="仿宋" w:eastAsia="仿宋" w:cs="仿宋"/>
          <w:sz w:val="32"/>
          <w:szCs w:val="32"/>
          <w:lang w:eastAsia="zh-CN"/>
        </w:rPr>
        <w:t>，《</w:t>
      </w:r>
      <w:r>
        <w:rPr>
          <w:rFonts w:hint="eastAsia" w:ascii="仿宋" w:hAnsi="仿宋" w:eastAsia="仿宋" w:cs="仿宋"/>
          <w:sz w:val="32"/>
          <w:szCs w:val="32"/>
        </w:rPr>
        <w:t>自治州建档立卡贫困户学生教育资助政策实施细则</w:t>
      </w:r>
      <w:r>
        <w:rPr>
          <w:rFonts w:hint="eastAsia" w:ascii="仿宋" w:hAnsi="仿宋" w:eastAsia="仿宋" w:cs="仿宋"/>
          <w:sz w:val="32"/>
          <w:szCs w:val="32"/>
          <w:lang w:eastAsia="zh-CN"/>
        </w:rPr>
        <w:t>》（</w:t>
      </w:r>
      <w:r>
        <w:rPr>
          <w:rFonts w:hint="eastAsia" w:ascii="仿宋" w:hAnsi="仿宋" w:eastAsia="仿宋" w:cs="仿宋"/>
          <w:sz w:val="32"/>
          <w:szCs w:val="32"/>
        </w:rPr>
        <w:t>巴</w:t>
      </w:r>
      <w:r>
        <w:rPr>
          <w:rFonts w:hint="eastAsia" w:ascii="仿宋" w:hAnsi="仿宋" w:eastAsia="仿宋" w:cs="仿宋"/>
          <w:sz w:val="32"/>
          <w:szCs w:val="32"/>
          <w:lang w:val="en-US" w:eastAsia="zh-CN"/>
        </w:rPr>
        <w:t>扶领</w:t>
      </w:r>
      <w:r>
        <w:rPr>
          <w:rFonts w:hint="eastAsia" w:ascii="仿宋" w:hAnsi="仿宋" w:eastAsia="仿宋" w:cs="仿宋"/>
          <w:sz w:val="32"/>
          <w:szCs w:val="32"/>
        </w:rPr>
        <w:t>子</w:t>
      </w:r>
      <w:r>
        <w:rPr>
          <w:rFonts w:hint="eastAsia" w:ascii="仿宋" w:hAnsi="仿宋" w:eastAsia="仿宋" w:cs="仿宋"/>
          <w:sz w:val="32"/>
          <w:szCs w:val="32"/>
          <w:lang w:eastAsia="zh-CN"/>
        </w:rPr>
        <w:t>〔</w:t>
      </w:r>
      <w:r>
        <w:rPr>
          <w:rFonts w:hint="eastAsia" w:ascii="仿宋" w:hAnsi="仿宋" w:eastAsia="仿宋" w:cs="仿宋"/>
          <w:sz w:val="32"/>
          <w:szCs w:val="32"/>
        </w:rPr>
        <w:t>2018</w:t>
      </w:r>
      <w:r>
        <w:rPr>
          <w:rFonts w:hint="eastAsia" w:ascii="仿宋" w:hAnsi="仿宋" w:eastAsia="仿宋" w:cs="仿宋"/>
          <w:sz w:val="32"/>
          <w:szCs w:val="32"/>
          <w:lang w:eastAsia="zh-CN"/>
        </w:rPr>
        <w:t>〕</w:t>
      </w:r>
      <w:r>
        <w:rPr>
          <w:rFonts w:hint="eastAsia" w:ascii="仿宋" w:hAnsi="仿宋" w:eastAsia="仿宋" w:cs="仿宋"/>
          <w:sz w:val="32"/>
          <w:szCs w:val="32"/>
        </w:rPr>
        <w:t xml:space="preserve"> 34号</w:t>
      </w:r>
      <w:r>
        <w:rPr>
          <w:rFonts w:hint="eastAsia" w:ascii="仿宋" w:hAnsi="仿宋" w:eastAsia="仿宋" w:cs="仿宋"/>
          <w:sz w:val="32"/>
          <w:szCs w:val="32"/>
          <w:lang w:eastAsia="zh-CN"/>
        </w:rPr>
        <w:t>）</w:t>
      </w:r>
      <w:r>
        <w:rPr>
          <w:rFonts w:hint="eastAsia" w:ascii="仿宋" w:hAnsi="仿宋" w:eastAsia="仿宋" w:cs="仿宋"/>
          <w:sz w:val="32"/>
          <w:szCs w:val="32"/>
        </w:rPr>
        <w:t>文件精神要求</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r>
        <w:rPr>
          <w:rFonts w:hint="eastAsia" w:ascii="仿宋" w:hAnsi="仿宋" w:eastAsia="仿宋" w:cs="仿宋"/>
          <w:sz w:val="32"/>
          <w:szCs w:val="32"/>
        </w:rPr>
        <w:t>巴财教〔2022〕33号关于提前下达2023年学生资助补助经费预算[中央直达资金]--中央学生资助（中等职业-免学费）564万元，根据巴财教〔2022〕37号关于提前下达2023年教育项目直达资金的--学生资助（中等职业-免学费）下达147万元，巴财教〔2023〕7号2023年学生资助补助经费预算（第二批）中央直达资金--（中等职业-免学费）下达2万元，建成该项目，用于保障学校运转。</w:t>
      </w:r>
    </w:p>
    <w:p w14:paraId="4D040126">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）主要内容及实施情况</w:t>
      </w:r>
    </w:p>
    <w:p w14:paraId="5A7A404A">
      <w:pPr>
        <w:pStyle w:val="2"/>
        <w:numPr>
          <w:ilvl w:val="0"/>
          <w:numId w:val="0"/>
        </w:numPr>
        <w:spacing w:before="0" w:after="0" w:line="560" w:lineRule="exact"/>
        <w:ind w:firstLine="640" w:firstLineChars="200"/>
        <w:jc w:val="both"/>
        <w:rPr>
          <w:rFonts w:hint="eastAsia" w:eastAsia="仿宋_GB2312"/>
          <w:sz w:val="32"/>
          <w:szCs w:val="32"/>
          <w:highlight w:val="none"/>
        </w:rPr>
      </w:pPr>
      <w:r>
        <w:rPr>
          <w:rFonts w:ascii="Times New Roman" w:hAnsi="Times New Roman" w:eastAsia="仿宋_GB2312"/>
          <w:b w:val="0"/>
          <w:bCs w:val="0"/>
          <w:kern w:val="2"/>
        </w:rPr>
        <w:t>主要内容：</w:t>
      </w:r>
      <w:r>
        <w:rPr>
          <w:rFonts w:hint="eastAsia" w:eastAsia="仿宋_GB2312"/>
          <w:b w:val="0"/>
          <w:bCs w:val="0"/>
          <w:sz w:val="32"/>
          <w:szCs w:val="32"/>
          <w:highlight w:val="none"/>
        </w:rPr>
        <w:t>国家免学费资助对象是我校根据教育部门批准录取，具有中职全日制正式学籍的在校生</w:t>
      </w:r>
      <w:r>
        <w:rPr>
          <w:rFonts w:hint="eastAsia" w:eastAsia="仿宋_GB2312"/>
          <w:b w:val="0"/>
          <w:bCs w:val="0"/>
          <w:sz w:val="32"/>
          <w:szCs w:val="32"/>
          <w:highlight w:val="none"/>
          <w:lang w:eastAsia="zh-CN"/>
        </w:rPr>
        <w:t>，</w:t>
      </w:r>
      <w:r>
        <w:rPr>
          <w:rFonts w:hint="eastAsia" w:eastAsia="仿宋_GB2312"/>
          <w:b w:val="0"/>
          <w:bCs w:val="0"/>
          <w:sz w:val="32"/>
          <w:szCs w:val="32"/>
          <w:highlight w:val="none"/>
        </w:rPr>
        <w:t>公办中等职业学校全日制正式学籍一、二、三年级在校学生免除学费。免除每生每年2</w:t>
      </w:r>
      <w:r>
        <w:rPr>
          <w:rFonts w:hint="eastAsia" w:eastAsia="仿宋_GB2312"/>
          <w:b w:val="0"/>
          <w:bCs w:val="0"/>
          <w:sz w:val="32"/>
          <w:szCs w:val="32"/>
          <w:highlight w:val="none"/>
          <w:lang w:val="en-US" w:eastAsia="zh-CN"/>
        </w:rPr>
        <w:t>0</w:t>
      </w:r>
      <w:r>
        <w:rPr>
          <w:rFonts w:hint="eastAsia" w:eastAsia="仿宋_GB2312"/>
          <w:b w:val="0"/>
          <w:bCs w:val="0"/>
          <w:sz w:val="32"/>
          <w:szCs w:val="32"/>
          <w:highlight w:val="none"/>
        </w:rPr>
        <w:t>00元学费，按各专业原收费标准弥补学校运转出现的经费缺口。</w:t>
      </w:r>
    </w:p>
    <w:p w14:paraId="30E45ECF">
      <w:pPr>
        <w:spacing w:line="560" w:lineRule="exact"/>
        <w:ind w:firstLine="640" w:firstLineChars="200"/>
        <w:rPr>
          <w:rFonts w:hint="eastAsia" w:eastAsia="仿宋_GB2312"/>
          <w:sz w:val="32"/>
          <w:szCs w:val="32"/>
          <w:highlight w:val="none"/>
          <w:lang w:val="en-US" w:eastAsia="zh-CN"/>
        </w:rPr>
      </w:pPr>
      <w:r>
        <w:rPr>
          <w:rFonts w:eastAsia="仿宋_GB2312"/>
          <w:sz w:val="32"/>
          <w:szCs w:val="32"/>
        </w:rPr>
        <w:t>实施情况：</w:t>
      </w:r>
      <w:r>
        <w:rPr>
          <w:rFonts w:hint="eastAsia" w:eastAsia="仿宋_GB2312"/>
          <w:sz w:val="32"/>
          <w:szCs w:val="32"/>
        </w:rPr>
        <w:t>落实了2023年学生资助补助直达资金，免学费补助项目中央补助566万元，自治区配套147万元。全部免除巴州师范学校所有在校学生的三年期间学费，减轻家庭经济困难学生的生活负担，帮助学生顺利完成学业。做好资金预算，弥补全年了外聘保安、后勤、师资等人员劳务费及校舍的维修（护）支出等公用经费支出。确保学校较好完成2023全年教育教学工作</w:t>
      </w:r>
      <w:r>
        <w:rPr>
          <w:rFonts w:hint="eastAsia" w:eastAsia="仿宋_GB2312"/>
          <w:sz w:val="32"/>
          <w:szCs w:val="32"/>
          <w:lang w:eastAsia="zh-CN"/>
        </w:rPr>
        <w:t>。</w:t>
      </w:r>
    </w:p>
    <w:p w14:paraId="57623F86">
      <w:pPr>
        <w:spacing w:line="560" w:lineRule="exact"/>
        <w:ind w:firstLine="643" w:firstLineChars="200"/>
        <w:rPr>
          <w:rFonts w:eastAsia="仿宋_GB2312"/>
          <w:b/>
          <w:bCs/>
          <w:sz w:val="32"/>
          <w:szCs w:val="32"/>
        </w:rPr>
      </w:pPr>
      <w:r>
        <w:rPr>
          <w:rFonts w:hint="eastAsia" w:eastAsia="仿宋_GB2312"/>
          <w:b/>
          <w:bCs/>
          <w:sz w:val="32"/>
          <w:szCs w:val="32"/>
          <w:lang w:val="en-US" w:eastAsia="zh-CN"/>
        </w:rPr>
        <w:t>2</w:t>
      </w:r>
      <w:r>
        <w:rPr>
          <w:rFonts w:eastAsia="仿宋_GB2312"/>
          <w:b/>
          <w:bCs/>
          <w:sz w:val="32"/>
          <w:szCs w:val="32"/>
        </w:rPr>
        <w:t>、资金投入和使用情况</w:t>
      </w:r>
    </w:p>
    <w:p w14:paraId="7EEFD915">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14:paraId="503827F8">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该项目年初预算数713万元，全年预算数713万元，实际总投入713万元，该项目资金已全部落实到位，资金来源为当年预算。</w:t>
      </w:r>
    </w:p>
    <w:p w14:paraId="2CF90CAC">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14:paraId="261674AD">
      <w:pPr>
        <w:shd w:val="clear"/>
        <w:spacing w:line="600" w:lineRule="exact"/>
        <w:ind w:firstLine="640" w:firstLineChars="200"/>
        <w:outlineLvl w:val="0"/>
        <w:rPr>
          <w:rFonts w:hint="eastAsia"/>
          <w:color w:val="C00000"/>
          <w:lang w:val="en-US" w:eastAsia="zh-CN"/>
        </w:rPr>
      </w:pPr>
      <w:r>
        <w:rPr>
          <w:rFonts w:hint="eastAsia" w:ascii="仿宋_GB2312" w:hAnsi="仿宋_GB2312" w:eastAsia="仿宋_GB2312" w:cs="仿宋_GB2312"/>
          <w:sz w:val="32"/>
          <w:szCs w:val="32"/>
          <w:highlight w:val="none"/>
          <w:lang w:val="en-US" w:eastAsia="zh-CN"/>
        </w:rPr>
        <w:t>该项目年初预算数713万元，全年预算数713万元,全年执行数713万元，预算执行率为100%，</w:t>
      </w:r>
      <w:r>
        <w:rPr>
          <w:rFonts w:hint="eastAsia" w:ascii="仿宋_GB2312" w:hAnsi="仿宋_GB2312" w:eastAsia="仿宋_GB2312" w:cs="仿宋_GB2312"/>
          <w:color w:val="auto"/>
          <w:sz w:val="32"/>
          <w:szCs w:val="32"/>
          <w:highlight w:val="none"/>
          <w:lang w:val="en-US" w:eastAsia="zh-CN"/>
        </w:rPr>
        <w:t>主要用于：</w:t>
      </w:r>
      <w:r>
        <w:rPr>
          <w:rFonts w:hint="eastAsia" w:ascii="仿宋_GB2312" w:hAnsi="仿宋_GB2312" w:eastAsia="仿宋_GB2312" w:cs="仿宋_GB2312"/>
          <w:sz w:val="32"/>
          <w:szCs w:val="32"/>
          <w:highlight w:val="none"/>
          <w:lang w:val="en-US" w:eastAsia="zh-CN"/>
        </w:rPr>
        <w:t>弥补全年外聘保安、后勤、师资等人员劳务费及校舍的维修（护）支出等公用经费支出。确保学校较好完成2023全年教育教学工作。</w:t>
      </w:r>
    </w:p>
    <w:p w14:paraId="7AA8AF27">
      <w:pPr>
        <w:spacing w:line="560" w:lineRule="exact"/>
        <w:ind w:firstLine="643" w:firstLineChars="200"/>
        <w:rPr>
          <w:rFonts w:eastAsia="楷体_GB2312"/>
          <w:b/>
          <w:bCs/>
          <w:sz w:val="32"/>
          <w:szCs w:val="32"/>
        </w:rPr>
      </w:pPr>
      <w:r>
        <w:rPr>
          <w:rFonts w:eastAsia="楷体_GB2312"/>
          <w:b/>
          <w:bCs/>
          <w:sz w:val="32"/>
          <w:szCs w:val="32"/>
        </w:rPr>
        <w:t>（二）项目绩效目标</w:t>
      </w:r>
    </w:p>
    <w:p w14:paraId="21E938BA">
      <w:pPr>
        <w:shd w:val="clear"/>
        <w:spacing w:line="600" w:lineRule="exact"/>
        <w:ind w:firstLine="640" w:firstLineChars="200"/>
        <w:outlineLvl w:val="0"/>
        <w:rPr>
          <w:rFonts w:hint="default" w:ascii="仿宋_GB2312" w:hAnsi="仿宋_GB2312" w:eastAsia="仿宋_GB2312" w:cs="仿宋_GB2312"/>
          <w:b w:val="0"/>
          <w:bCs/>
          <w:sz w:val="32"/>
          <w:szCs w:val="32"/>
          <w:highlight w:val="none"/>
          <w:lang w:val="en-US" w:eastAsia="zh-CN"/>
        </w:rPr>
      </w:pPr>
      <w:r>
        <w:rPr>
          <w:rFonts w:eastAsia="仿宋_GB2312"/>
          <w:sz w:val="32"/>
          <w:szCs w:val="32"/>
        </w:rPr>
        <w:t>1、总体目标</w:t>
      </w:r>
      <w:r>
        <w:rPr>
          <w:rFonts w:hint="eastAsia" w:eastAsia="仿宋_GB2312"/>
          <w:sz w:val="32"/>
          <w:szCs w:val="32"/>
          <w:lang w:eastAsia="zh-CN"/>
        </w:rPr>
        <w:t>：</w:t>
      </w:r>
      <w:r>
        <w:rPr>
          <w:rFonts w:hint="eastAsia" w:ascii="仿宋_GB2312" w:hAnsi="仿宋_GB2312" w:eastAsia="仿宋_GB2312" w:cs="仿宋_GB2312"/>
          <w:sz w:val="32"/>
          <w:szCs w:val="32"/>
          <w:highlight w:val="none"/>
          <w:lang w:val="en-US" w:eastAsia="zh-CN"/>
        </w:rPr>
        <w:t>2023年学生资助补助直达资金免学费补助项目中央补助566万元，自治区配套147万元。通过项目设立，落实免学费补助政策，免除巴州师范学校所有在校学生的三年期间学费，减轻家庭经济困难学生的生活负担，帮助学生顺利完成学业。学校核定学生人数3145人，做好资金预算，用于弥补全年外聘保安、后勤、师资等人员劳务费及校舍的维修（护）支出等公用经费支出。确保学校较好完成2023全年教育教学工作。</w:t>
      </w:r>
    </w:p>
    <w:p w14:paraId="1CD1A7DE">
      <w:pPr>
        <w:spacing w:line="560" w:lineRule="exact"/>
        <w:ind w:firstLine="640" w:firstLineChars="200"/>
        <w:rPr>
          <w:rFonts w:hint="default" w:eastAsia="仿宋"/>
          <w:sz w:val="32"/>
          <w:szCs w:val="32"/>
          <w:highlight w:val="none"/>
          <w:lang w:val="en-US" w:eastAsia="zh-CN"/>
        </w:rPr>
      </w:pPr>
      <w:r>
        <w:rPr>
          <w:rFonts w:eastAsia="仿宋_GB2312"/>
          <w:sz w:val="32"/>
          <w:szCs w:val="32"/>
        </w:rPr>
        <w:t>2、阶段性目标</w:t>
      </w:r>
      <w:r>
        <w:rPr>
          <w:rFonts w:hint="eastAsia" w:eastAsia="仿宋_GB2312"/>
          <w:sz w:val="32"/>
          <w:szCs w:val="32"/>
          <w:lang w:eastAsia="zh-CN"/>
        </w:rPr>
        <w:t>：计划</w:t>
      </w:r>
      <w:r>
        <w:rPr>
          <w:rFonts w:hint="eastAsia" w:eastAsia="仿宋_GB2312"/>
          <w:sz w:val="32"/>
          <w:szCs w:val="32"/>
          <w:lang w:val="en-US" w:eastAsia="zh-CN"/>
        </w:rPr>
        <w:t>2023年1-3月，完成</w:t>
      </w:r>
      <w:r>
        <w:rPr>
          <w:rFonts w:hint="eastAsia" w:ascii="仿宋" w:hAnsi="仿宋" w:eastAsia="仿宋" w:cs="仿宋"/>
          <w:sz w:val="32"/>
          <w:szCs w:val="32"/>
          <w:lang w:eastAsia="zh-CN"/>
        </w:rPr>
        <w:t>上级专项资金的申请拨付，</w:t>
      </w:r>
      <w:r>
        <w:rPr>
          <w:rFonts w:hint="eastAsia" w:ascii="仿宋" w:hAnsi="仿宋" w:eastAsia="仿宋" w:cs="仿宋"/>
          <w:sz w:val="32"/>
          <w:szCs w:val="32"/>
          <w:lang w:val="en-US" w:eastAsia="zh-CN"/>
        </w:rPr>
        <w:t>向学生宣传免学费补助政策，对免除的学费按学生班级签名确认</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4-6月，落实免学费保障资金实施工作计划。7-9月，重点对免学费补助资金实施进度进度跟踪</w:t>
      </w:r>
      <w:bookmarkStart w:id="3" w:name="_GoBack"/>
      <w:bookmarkEnd w:id="3"/>
      <w:r>
        <w:rPr>
          <w:rFonts w:hint="eastAsia" w:ascii="仿宋" w:hAnsi="仿宋" w:eastAsia="仿宋" w:cs="仿宋"/>
          <w:sz w:val="32"/>
          <w:szCs w:val="32"/>
          <w:lang w:val="en-US" w:eastAsia="zh-CN"/>
        </w:rPr>
        <w:t>监督，需在假期实施的维修、采购督促完成。10-12月，除劳务费等需按进度支付的督促完成以外，对全年预算按月进行及时梳理，保障各项工作任务如期完成。</w:t>
      </w:r>
    </w:p>
    <w:p w14:paraId="2B795671">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041F0EA7">
      <w:pPr>
        <w:spacing w:line="560" w:lineRule="exact"/>
        <w:ind w:firstLine="640" w:firstLineChars="200"/>
        <w:rPr>
          <w:rFonts w:eastAsia="黑体"/>
          <w:sz w:val="32"/>
          <w:szCs w:val="32"/>
        </w:rPr>
      </w:pPr>
      <w:r>
        <w:rPr>
          <w:rFonts w:eastAsia="黑体"/>
          <w:sz w:val="32"/>
          <w:szCs w:val="32"/>
        </w:rPr>
        <w:t>二、绩效评价工作开展情况</w:t>
      </w:r>
    </w:p>
    <w:p w14:paraId="1B1C48E3">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52D9BAB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14:paraId="34E62CF3">
      <w:pPr>
        <w:rPr>
          <w:rFonts w:hint="default" w:ascii="仿宋" w:hAnsi="仿宋" w:eastAsia="仿宋" w:cs="仿宋"/>
          <w:sz w:val="32"/>
          <w:szCs w:val="32"/>
          <w:lang w:val="en-US" w:eastAsia="zh-CN"/>
        </w:rPr>
      </w:pPr>
      <w:r>
        <w:rPr>
          <w:rFonts w:hint="eastAsia" w:eastAsia="仿宋_GB2312"/>
          <w:b w:val="0"/>
          <w:bCs w:val="0"/>
          <w:lang w:val="en-US" w:eastAsia="zh-CN"/>
        </w:rPr>
        <w:t xml:space="preserve">      </w:t>
      </w:r>
      <w:r>
        <w:rPr>
          <w:rFonts w:hint="eastAsia" w:ascii="仿宋" w:hAnsi="仿宋" w:eastAsia="仿宋" w:cs="仿宋"/>
          <w:sz w:val="32"/>
          <w:szCs w:val="32"/>
          <w:lang w:val="en-US" w:eastAsia="zh-CN"/>
        </w:rPr>
        <w:t>通过绩效评价，客观地评判项目的管理绩效，了解和掌握巴财教〔2022〕37号关于提前下达2023年教育项目直达资金的--学生资助（中等职业-免学费）、巴财教〔2022〕33号关于提前下达2023年学生资助补助经费预算[中央直达资金]--中央学生资助（中等职业-免学费）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并加强项目绩效管理，同时为项目后续资金投入、分配和管理提供决策依据。</w:t>
      </w:r>
    </w:p>
    <w:p w14:paraId="7A06DF6B">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2、绩效评价的对象</w:t>
      </w:r>
    </w:p>
    <w:p w14:paraId="3BB9690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rPr>
        <w:t>所包含的全部项目内容。</w:t>
      </w:r>
    </w:p>
    <w:p w14:paraId="163D5F5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14:paraId="66BF993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rPr>
        <w:t>进行评价，评价核心为专项资金的支出完成情况和效果。</w:t>
      </w:r>
    </w:p>
    <w:p w14:paraId="6853F5D9">
      <w:pPr>
        <w:spacing w:line="560" w:lineRule="exact"/>
        <w:ind w:firstLine="643" w:firstLineChars="200"/>
      </w:pPr>
      <w:r>
        <w:rPr>
          <w:rFonts w:eastAsia="楷体_GB2312"/>
          <w:b/>
          <w:bCs/>
          <w:sz w:val="32"/>
          <w:szCs w:val="32"/>
        </w:rPr>
        <w:t>（二）绩效评价原则、评价指标体系（详情见表1）、评价方法、评价标准。</w:t>
      </w:r>
    </w:p>
    <w:p w14:paraId="2674D33B">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14:paraId="10C08DCA">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20E7A4D8">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（一）科学公正。本次项目支出绩效评价运用科学合理的方法，按照规范的程序，对项目绩效进行客观、公正的反映。</w:t>
      </w:r>
    </w:p>
    <w:p w14:paraId="20E60885">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（二）统筹兼顾。本次项目支出绩效评价由本单位自主实施，即“谁支出、谁自评”。</w:t>
      </w:r>
    </w:p>
    <w:p w14:paraId="6E293EFC">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（三）激励约束。本次项目支出绩效评价结果与预算安排、政策调整、改进管理实质性挂钩，体现奖优罚劣和激励相容导向，有效要安排、低效要压减、无效要问责。</w:t>
      </w:r>
    </w:p>
    <w:p w14:paraId="5A0C9233">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（四）公开透明。本次项目支出绩效评价结果已依法依规公开在</w:t>
      </w:r>
      <w:r>
        <w:rPr>
          <w:rFonts w:hint="eastAsia" w:ascii="仿宋_GB2312" w:hAnsi="仿宋_GB2312" w:eastAsia="仿宋_GB2312" w:cs="仿宋_GB2312"/>
          <w:sz w:val="32"/>
          <w:szCs w:val="32"/>
          <w:lang w:val="en-US" w:eastAsia="zh-CN"/>
        </w:rPr>
        <w:t>巴州人民政府门户</w:t>
      </w:r>
      <w:r>
        <w:rPr>
          <w:rFonts w:hint="eastAsia" w:ascii="仿宋_GB2312" w:hAnsi="仿宋_GB2312" w:eastAsia="仿宋_GB2312" w:cs="仿宋_GB2312"/>
          <w:sz w:val="32"/>
          <w:szCs w:val="32"/>
        </w:rPr>
        <w:t>网站上，并自觉接受社会监督。</w:t>
      </w:r>
    </w:p>
    <w:p w14:paraId="22FCCA37">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r>
        <w:rPr>
          <w:rFonts w:hint="eastAsia" w:ascii="Times New Roman" w:hAnsi="Times New Roman" w:eastAsia="仿宋_GB2312"/>
          <w:b w:val="0"/>
          <w:bCs w:val="0"/>
        </w:rPr>
        <w:t>（附表说明）</w:t>
      </w:r>
    </w:p>
    <w:p w14:paraId="1E37CD6B">
      <w:pPr>
        <w:spacing w:line="560" w:lineRule="exact"/>
        <w:ind w:firstLine="640" w:firstLineChars="200"/>
        <w:rPr>
          <w:color w:val="000000"/>
          <w:spacing w:val="17"/>
          <w:sz w:val="32"/>
          <w:szCs w:val="32"/>
        </w:rPr>
      </w:pPr>
      <w:r>
        <w:rPr>
          <w:rFonts w:hint="eastAsia" w:eastAsia="仿宋_GB2312" w:cs="Times New Roman"/>
          <w:b w:val="0"/>
          <w:bCs w:val="0"/>
          <w:color w:val="000000"/>
          <w:kern w:val="2"/>
          <w:sz w:val="32"/>
          <w:szCs w:val="32"/>
          <w:lang w:val="en-US" w:eastAsia="zh-CN" w:bidi="ar-SA"/>
        </w:rPr>
        <w:t>巴财教〔2022〕37号关于提前下达2023年教育项目直达资金的--学生资助（中等职业-免学费）、巴财教〔2022〕33号关于提前下达2023年学生资助补助经费预算[中央直达资金]--中央学生资助（中等职业-免学费）预算项目</w:t>
      </w: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9FAB0CC">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660C7991">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采用层次分析法，建立评价指标体系。绩效评价将指标分为项目决策指标、项目过程指标、项目产出指标、项目效益指标四个维度，最终形成一个由多个相互联系的指标组成的多层次指标体系。</w:t>
      </w:r>
    </w:p>
    <w:p w14:paraId="700D2B90">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（2）确定权重</w:t>
      </w:r>
    </w:p>
    <w:p w14:paraId="77EE3477">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确定各个指标相对于项目总体绩效的权重分值。在绩效评价指标体系中，项目决策权重为20分，项目过程权重为20分，项目产出权重为40分，项目效益权重为20分。</w:t>
      </w:r>
    </w:p>
    <w:p w14:paraId="50BED3F2">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（3）确定指标标准值</w:t>
      </w:r>
    </w:p>
    <w:p w14:paraId="751AE12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指标标准值是绩效评价指标的尺度，既要反映同类项目的先进水平，又要符合项目的实际绩效水平。具体采用计划标准等确定此次绩效评价指标标准值。</w:t>
      </w:r>
    </w:p>
    <w:p w14:paraId="607734A8">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绩效评价总分值100分，根据综合评分结果，评价计分90分-100分（含90分）对应的评分结果级别为优，80-90分（含80分）对应的评分结果级别为良，60-80分（含60分）对应的评分结果级别为中，60分以下对应的评分结果级别为差。</w:t>
      </w:r>
    </w:p>
    <w:p w14:paraId="6FBF67F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具体评价指标体系详情见附件1。</w:t>
      </w:r>
    </w:p>
    <w:p w14:paraId="1C2001F5">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3、绩效评价方法</w:t>
      </w:r>
    </w:p>
    <w:p w14:paraId="69954BA7">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绩效评价从项目决策、项目过程、项目产出、项目效益四个维度进行评价。评价对象为项目目标实施情况，评价核心为资金的支出完成情况和项目的产出效益。</w:t>
      </w:r>
    </w:p>
    <w:p w14:paraId="5FA5D770">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14:paraId="37A97FC5">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绩效评价方法主要采用了比较法和因素分析法。主要原因是：将巴财教〔2022〕37号关于提前下达2023年教育项目直达资金的--学生资助（中等职业-免学费）、巴财教〔2022〕33号关于提前下达2023年学生资助补助经费预算[中央直达资金]--中央学生资助（中等职业-免学费）预算项目2023年的绩效目标与当年的实施效果进行比较分析，综合分析绩效目标的实现程度。对项目最终验收情况与年度绩效目标对比、预算资金执行情况等相关因素进行比较，分析得出绩效执行结果。通过综合分析影响绩效目标实现、实施效果的内部管理和外部等因素，评价绩效目标实现程度。通过对项目的开展情况、项目产出数量、成本控制、资金拨付文件及自评报告等相关资料的收集和审核，综合分析各因素对绩效目标实现的影响。</w:t>
      </w:r>
    </w:p>
    <w:p w14:paraId="6DA03A46">
      <w:pPr>
        <w:spacing w:line="600" w:lineRule="exact"/>
        <w:ind w:firstLine="640" w:firstLineChars="200"/>
        <w:rPr>
          <w:rFonts w:hint="eastAsia" w:ascii="仿宋_GB2312" w:hAnsi="仿宋_GB2312" w:eastAsia="仿宋_GB2312" w:cs="仿宋_GB2312"/>
          <w:sz w:val="32"/>
          <w:szCs w:val="32"/>
          <w:highlight w:val="none"/>
          <w:lang w:val="en-US" w:eastAsia="zh-CN"/>
        </w:rPr>
      </w:pPr>
    </w:p>
    <w:p w14:paraId="6D64B673">
      <w:pPr>
        <w:spacing w:line="60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4.评价标准</w:t>
      </w:r>
    </w:p>
    <w:p w14:paraId="469059CB">
      <w:pPr>
        <w:spacing w:line="600" w:lineRule="exact"/>
        <w:ind w:firstLine="708" w:firstLineChars="200"/>
        <w:rPr>
          <w:rFonts w:eastAsia="仿宋_GB2312"/>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r>
        <w:rPr>
          <w:rFonts w:hint="eastAsia" w:ascii="仿宋_GB2312" w:hAnsi="仿宋_GB2312" w:eastAsia="仿宋_GB2312" w:cs="仿宋_GB2312"/>
          <w:sz w:val="32"/>
          <w:szCs w:val="32"/>
          <w:highlight w:val="none"/>
          <w:lang w:val="en-US" w:eastAsia="zh-CN"/>
        </w:rPr>
        <w:t>。原因是：学校根据年初预算，按预先制定的目标、计划、预算、等作为评价标准，结合上级主管部门下达的预算绩效目标计划</w:t>
      </w:r>
      <w:r>
        <w:rPr>
          <w:rFonts w:eastAsia="仿宋_GB2312"/>
          <w:sz w:val="32"/>
          <w:szCs w:val="32"/>
        </w:rPr>
        <w:t>进行评价。</w:t>
      </w:r>
    </w:p>
    <w:p w14:paraId="69FA1091">
      <w:pPr>
        <w:numPr>
          <w:ilvl w:val="0"/>
          <w:numId w:val="0"/>
        </w:numPr>
        <w:ind w:leftChars="200"/>
      </w:pPr>
    </w:p>
    <w:p w14:paraId="2FBE5AF6">
      <w:pPr>
        <w:pStyle w:val="2"/>
        <w:numPr>
          <w:ilvl w:val="0"/>
          <w:numId w:val="1"/>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14:paraId="5CC3BB85">
      <w:pPr>
        <w:spacing w:line="360" w:lineRule="auto"/>
        <w:ind w:firstLine="640" w:firstLineChars="200"/>
        <w:rPr>
          <w:rFonts w:hint="eastAsia" w:eastAsia="仿宋_GB2312"/>
          <w:sz w:val="32"/>
          <w:szCs w:val="32"/>
          <w:lang w:eastAsia="zh-CN"/>
        </w:rPr>
      </w:pPr>
      <w:r>
        <w:rPr>
          <w:rFonts w:hint="eastAsia" w:eastAsia="仿宋_GB2312"/>
          <w:sz w:val="32"/>
          <w:szCs w:val="32"/>
          <w:lang w:val="en-US" w:eastAsia="zh-CN"/>
        </w:rPr>
        <w:t>1.</w:t>
      </w:r>
      <w:r>
        <w:rPr>
          <w:rFonts w:hint="eastAsia" w:eastAsia="仿宋_GB2312"/>
          <w:sz w:val="32"/>
          <w:szCs w:val="32"/>
        </w:rPr>
        <w:t>前期准备。</w:t>
      </w:r>
      <w:r>
        <w:rPr>
          <w:rFonts w:hint="eastAsia" w:eastAsia="仿宋_GB2312"/>
          <w:sz w:val="32"/>
          <w:szCs w:val="32"/>
          <w:lang w:val="en-US" w:eastAsia="zh-CN"/>
        </w:rPr>
        <w:t>年初</w:t>
      </w:r>
      <w:r>
        <w:rPr>
          <w:rFonts w:hint="eastAsia" w:eastAsia="仿宋_GB2312"/>
          <w:sz w:val="32"/>
          <w:szCs w:val="32"/>
          <w:lang w:val="zh-CN"/>
        </w:rPr>
        <w:t>开始前期准备工作，成立评价小组，评价</w:t>
      </w:r>
      <w:r>
        <w:rPr>
          <w:rFonts w:hint="eastAsia" w:eastAsia="仿宋_GB2312"/>
          <w:sz w:val="32"/>
          <w:szCs w:val="32"/>
          <w:lang w:val="en-US" w:eastAsia="zh-CN"/>
        </w:rPr>
        <w:t>小</w:t>
      </w:r>
      <w:r>
        <w:rPr>
          <w:rFonts w:hint="eastAsia" w:eastAsia="仿宋_GB2312"/>
          <w:sz w:val="32"/>
          <w:szCs w:val="32"/>
          <w:lang w:val="zh-CN"/>
        </w:rPr>
        <w:t>组通过前期调研</w:t>
      </w:r>
      <w:r>
        <w:rPr>
          <w:rFonts w:hint="eastAsia" w:eastAsia="仿宋_GB2312"/>
          <w:sz w:val="32"/>
          <w:szCs w:val="32"/>
        </w:rPr>
        <w:t>确定绩效评价对象和范围，</w:t>
      </w:r>
      <w:r>
        <w:rPr>
          <w:rFonts w:hint="eastAsia" w:eastAsia="仿宋_GB2312"/>
          <w:sz w:val="32"/>
          <w:szCs w:val="32"/>
          <w:lang w:val="zh-CN"/>
        </w:rPr>
        <w:t>确定了评价的目的、方法以及评价的原则，根据项目的内容和特征制定了评价指标体系及评价标准以及评价实施方案，修正并确定所需资料清单，最终确定</w:t>
      </w:r>
      <w:r>
        <w:rPr>
          <w:rFonts w:hint="eastAsia" w:eastAsia="仿宋_GB2312"/>
          <w:sz w:val="32"/>
          <w:szCs w:val="32"/>
        </w:rPr>
        <w:t>绩效评价工作方案</w:t>
      </w:r>
      <w:r>
        <w:rPr>
          <w:rFonts w:hint="eastAsia" w:eastAsia="仿宋_GB2312"/>
          <w:sz w:val="32"/>
          <w:szCs w:val="32"/>
          <w:lang w:eastAsia="zh-CN"/>
        </w:rPr>
        <w:t>。</w:t>
      </w:r>
    </w:p>
    <w:p w14:paraId="48FB91C1">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2.组织实施。</w:t>
      </w:r>
      <w:r>
        <w:rPr>
          <w:rFonts w:hint="eastAsia" w:eastAsia="仿宋_GB2312" w:cs="Times New Roman"/>
          <w:b w:val="0"/>
          <w:bCs w:val="0"/>
          <w:kern w:val="28"/>
          <w:sz w:val="32"/>
          <w:szCs w:val="32"/>
          <w:lang w:val="en-US" w:eastAsia="zh-CN" w:bidi="ar-SA"/>
        </w:rPr>
        <w:t>一季度</w:t>
      </w:r>
      <w:r>
        <w:rPr>
          <w:rFonts w:hint="eastAsia" w:ascii="Times New Roman" w:hAnsi="Times New Roman" w:eastAsia="仿宋_GB2312" w:cs="Times New Roman"/>
          <w:b w:val="0"/>
          <w:bCs w:val="0"/>
          <w:kern w:val="28"/>
          <w:sz w:val="32"/>
          <w:szCs w:val="32"/>
          <w:lang w:val="en-US" w:eastAsia="zh-CN" w:bidi="ar-SA"/>
        </w:rPr>
        <w:t>制定绩效评价工作方案，具体包括项目概况、评价思路、方法手段、组织实施、进度安排等。评价工作进入实施阶段，评价组收集绩效评价相关数据资料，进行专题讨论；并与项目实施负责人沟通，了解</w:t>
      </w:r>
      <w:r>
        <w:rPr>
          <w:rFonts w:hint="eastAsia" w:eastAsia="仿宋_GB2312" w:cs="Times New Roman"/>
          <w:b w:val="0"/>
          <w:bCs w:val="0"/>
          <w:kern w:val="28"/>
          <w:sz w:val="32"/>
          <w:szCs w:val="32"/>
          <w:lang w:val="en-US" w:eastAsia="zh-CN" w:bidi="ar-SA"/>
        </w:rPr>
        <w:t>项目的</w:t>
      </w:r>
      <w:r>
        <w:rPr>
          <w:rFonts w:hint="eastAsia" w:ascii="Times New Roman" w:hAnsi="Times New Roman" w:eastAsia="仿宋_GB2312" w:cs="Times New Roman"/>
          <w:b w:val="0"/>
          <w:bCs w:val="0"/>
          <w:kern w:val="28"/>
          <w:sz w:val="32"/>
          <w:szCs w:val="32"/>
          <w:lang w:val="en-US" w:eastAsia="zh-CN" w:bidi="ar-SA"/>
        </w:rPr>
        <w:t xml:space="preserve">进度、管理机制等情况，分析形成初步结论。 </w:t>
      </w:r>
    </w:p>
    <w:p w14:paraId="3A39802D">
      <w:pPr>
        <w:shd w:val="clear"/>
        <w:spacing w:line="600" w:lineRule="exact"/>
        <w:ind w:firstLine="640" w:firstLineChars="200"/>
        <w:outlineLvl w:val="0"/>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3.分析评价。根据收集梳理的资料围绕项目立项、资金落实、业务管理、财务管理、项目产出、项目效益等内容，对照已确定的绩效评价指标进行详细全面的分析评价，逐项打分并形成绩效评价最终结果。</w:t>
      </w:r>
    </w:p>
    <w:p w14:paraId="31B1434F">
      <w:pPr>
        <w:numPr>
          <w:ilvl w:val="0"/>
          <w:numId w:val="2"/>
        </w:numPr>
        <w:spacing w:line="560" w:lineRule="exact"/>
        <w:ind w:firstLine="640" w:firstLineChars="200"/>
        <w:rPr>
          <w:rFonts w:eastAsia="黑体"/>
          <w:sz w:val="32"/>
          <w:szCs w:val="32"/>
        </w:rPr>
      </w:pPr>
      <w:r>
        <w:rPr>
          <w:rFonts w:eastAsia="黑体"/>
          <w:sz w:val="32"/>
          <w:szCs w:val="32"/>
        </w:rPr>
        <w:t>综合评价情况及评价结论</w:t>
      </w:r>
    </w:p>
    <w:p w14:paraId="7EA97405">
      <w:pPr>
        <w:pStyle w:val="3"/>
        <w:pageBreakBefore w:val="0"/>
        <w:numPr>
          <w:ilvl w:val="0"/>
          <w:numId w:val="3"/>
        </w:numPr>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综合评价情况及评价结论</w:t>
      </w:r>
    </w:p>
    <w:p w14:paraId="61D5932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1.</w:t>
      </w:r>
      <w:r>
        <w:rPr>
          <w:rFonts w:hint="eastAsia" w:ascii="Times New Roman" w:hAnsi="Times New Roman" w:eastAsia="仿宋_GB2312" w:cs="Times New Roman"/>
          <w:b w:val="0"/>
          <w:bCs w:val="0"/>
          <w:kern w:val="2"/>
          <w:sz w:val="32"/>
          <w:szCs w:val="32"/>
          <w:lang w:val="zh-CN" w:eastAsia="zh-CN" w:bidi="ar-SA"/>
        </w:rPr>
        <w:t>综合评价情况：</w:t>
      </w:r>
      <w:r>
        <w:rPr>
          <w:rFonts w:hint="eastAsia" w:ascii="仿宋_GB2312" w:hAnsi="仿宋_GB2312" w:eastAsia="仿宋_GB2312" w:cs="仿宋_GB2312"/>
          <w:sz w:val="32"/>
          <w:szCs w:val="32"/>
          <w:highlight w:val="none"/>
          <w:lang w:val="en-US" w:eastAsia="zh-CN"/>
        </w:rPr>
        <w:t>巴财教〔2022〕37号关于提前下达2023年教育项目直达资金的--学生资助（中等职业-免学费）、巴财教〔2022〕33号关于提前下达2023年学生资助补助经费预算[中央直达资金]--中央学生资助（中等职业-免学费）预算</w:t>
      </w:r>
      <w:r>
        <w:rPr>
          <w:rFonts w:hint="eastAsia" w:ascii="Times New Roman" w:hAnsi="Times New Roman" w:eastAsia="仿宋_GB2312" w:cs="Times New Roman"/>
          <w:b w:val="0"/>
          <w:bCs w:val="0"/>
          <w:kern w:val="2"/>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BBE31BF">
      <w:pPr>
        <w:pStyle w:val="3"/>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bookmarkStart w:id="0" w:name="_Toc68703836"/>
      <w:r>
        <w:rPr>
          <w:rFonts w:hint="eastAsia" w:ascii="Times New Roman" w:hAnsi="Times New Roman" w:eastAsia="仿宋_GB2312"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zh-CN" w:eastAsia="zh-CN" w:bidi="ar-SA"/>
        </w:rPr>
        <w:t>评价结论</w:t>
      </w:r>
      <w:bookmarkEnd w:id="0"/>
    </w:p>
    <w:p w14:paraId="5AC6FAF2">
      <w:pPr>
        <w:pStyle w:val="2"/>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运用绩效评价组制定的评价指标体系以及财政部《项目支出绩效评价管理办法》（财预〔2020〕10号）文件的评分标准，通过数据采集、访谈等方式，对本项目进行客观评价，最终评分结果：总得分为</w:t>
      </w:r>
      <w:r>
        <w:rPr>
          <w:rFonts w:hint="eastAsia" w:ascii="Times New Roman" w:hAnsi="Times New Roman" w:eastAsia="仿宋_GB2312" w:cs="Times New Roman"/>
          <w:b w:val="0"/>
          <w:bCs w:val="0"/>
          <w:kern w:val="2"/>
          <w:sz w:val="32"/>
          <w:szCs w:val="32"/>
          <w:lang w:val="en-US" w:eastAsia="zh-CN" w:bidi="ar-SA"/>
        </w:rPr>
        <w:t>94.9</w:t>
      </w:r>
      <w:r>
        <w:rPr>
          <w:rFonts w:hint="eastAsia" w:ascii="Times New Roman" w:hAnsi="Times New Roman" w:eastAsia="仿宋_GB2312" w:cs="Times New Roman"/>
          <w:b w:val="0"/>
          <w:bCs w:val="0"/>
          <w:kern w:val="2"/>
          <w:sz w:val="32"/>
          <w:szCs w:val="32"/>
          <w:lang w:val="zh-CN" w:eastAsia="zh-CN" w:bidi="ar-SA"/>
        </w:rPr>
        <w:t>分，属于“</w:t>
      </w:r>
      <w:r>
        <w:rPr>
          <w:rFonts w:hint="eastAsia" w:ascii="Times New Roman" w:hAnsi="Times New Roman" w:eastAsia="仿宋_GB2312" w:cs="Times New Roman"/>
          <w:b w:val="0"/>
          <w:bCs w:val="0"/>
          <w:kern w:val="2"/>
          <w:sz w:val="32"/>
          <w:szCs w:val="32"/>
          <w:lang w:val="en-US" w:eastAsia="zh-CN" w:bidi="ar-SA"/>
        </w:rPr>
        <w:t>优</w:t>
      </w:r>
      <w:r>
        <w:rPr>
          <w:rFonts w:hint="eastAsia" w:ascii="Times New Roman" w:hAnsi="Times New Roman" w:eastAsia="仿宋_GB2312" w:cs="Times New Roman"/>
          <w:b w:val="0"/>
          <w:bCs w:val="0"/>
          <w:kern w:val="2"/>
          <w:sz w:val="32"/>
          <w:szCs w:val="32"/>
          <w:lang w:val="zh-CN" w:eastAsia="zh-CN" w:bidi="ar-SA"/>
        </w:rPr>
        <w:t xml:space="preserve">”。其中，项目决策类指标权重为20分，得分为 </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 xml:space="preserve">分，得分率为 </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%。项目过程类指标权重为20分，得分为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%。项目产出类指标权重为40分，得分为</w:t>
      </w:r>
      <w:r>
        <w:rPr>
          <w:rFonts w:hint="eastAsia" w:ascii="Times New Roman" w:hAnsi="Times New Roman" w:eastAsia="仿宋_GB2312" w:cs="Times New Roman"/>
          <w:b w:val="0"/>
          <w:bCs w:val="0"/>
          <w:kern w:val="2"/>
          <w:sz w:val="32"/>
          <w:szCs w:val="32"/>
          <w:lang w:val="en-US" w:eastAsia="zh-CN" w:bidi="ar-SA"/>
        </w:rPr>
        <w:t>34.9</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87.25</w:t>
      </w:r>
      <w:r>
        <w:rPr>
          <w:rFonts w:hint="eastAsia" w:ascii="Times New Roman" w:hAnsi="Times New Roman" w:eastAsia="仿宋_GB2312" w:cs="Times New Roman"/>
          <w:b w:val="0"/>
          <w:bCs w:val="0"/>
          <w:kern w:val="2"/>
          <w:sz w:val="32"/>
          <w:szCs w:val="32"/>
          <w:lang w:val="zh-CN" w:eastAsia="zh-CN" w:bidi="ar-SA"/>
        </w:rPr>
        <w:t>%。项目效益类指标权重为20分，得分为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eastAsia" w:ascii="Times New Roman" w:hAnsi="Times New Roman" w:eastAsia="仿宋_GB2312" w:cs="Times New Roman"/>
          <w:b w:val="0"/>
          <w:bCs w:val="0"/>
          <w:kern w:val="2"/>
          <w:sz w:val="32"/>
          <w:szCs w:val="32"/>
          <w:lang w:val="zh-CN"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eastAsia" w:ascii="Times New Roman" w:hAnsi="Times New Roman" w:eastAsia="仿宋_GB2312" w:cs="Times New Roman"/>
          <w:b w:val="0"/>
          <w:bCs w:val="0"/>
          <w:kern w:val="2"/>
          <w:sz w:val="32"/>
          <w:szCs w:val="32"/>
          <w:lang w:val="zh-CN" w:eastAsia="zh-CN" w:bidi="ar-SA"/>
        </w:rPr>
        <w:t>%。具体打分情况详见：附件1综合评分表。</w:t>
      </w:r>
    </w:p>
    <w:p w14:paraId="6A5CA66D">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9"/>
        <w:tblW w:w="7583" w:type="dxa"/>
        <w:jc w:val="center"/>
        <w:tblLayout w:type="fixed"/>
        <w:tblCellMar>
          <w:top w:w="0" w:type="dxa"/>
          <w:left w:w="108" w:type="dxa"/>
          <w:bottom w:w="0" w:type="dxa"/>
          <w:right w:w="108" w:type="dxa"/>
        </w:tblCellMar>
      </w:tblPr>
      <w:tblGrid>
        <w:gridCol w:w="3137"/>
        <w:gridCol w:w="2168"/>
        <w:gridCol w:w="2278"/>
      </w:tblGrid>
      <w:tr w14:paraId="7A6A22F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E0E6FBD">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6BFC865">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EAE4533">
            <w:pPr>
              <w:jc w:val="center"/>
              <w:rPr>
                <w:b/>
                <w:bCs/>
                <w:color w:val="000000"/>
                <w:sz w:val="22"/>
              </w:rPr>
            </w:pPr>
            <w:r>
              <w:rPr>
                <w:rFonts w:hint="eastAsia"/>
                <w:b/>
                <w:bCs/>
                <w:color w:val="000000"/>
                <w:sz w:val="22"/>
              </w:rPr>
              <w:t>得分</w:t>
            </w:r>
          </w:p>
        </w:tc>
      </w:tr>
      <w:tr w14:paraId="5095C4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7C31BB">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9AAE4FF">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E2624D1">
            <w:pPr>
              <w:jc w:val="center"/>
              <w:rPr>
                <w:rFonts w:hint="default" w:eastAsia="宋体"/>
                <w:color w:val="000000"/>
                <w:sz w:val="22"/>
                <w:lang w:val="en-US" w:eastAsia="zh-CN"/>
              </w:rPr>
            </w:pPr>
            <w:r>
              <w:rPr>
                <w:rFonts w:hint="eastAsia"/>
                <w:color w:val="000000"/>
                <w:sz w:val="22"/>
                <w:lang w:val="en-US" w:eastAsia="zh-CN"/>
              </w:rPr>
              <w:t>20</w:t>
            </w:r>
          </w:p>
        </w:tc>
      </w:tr>
      <w:tr w14:paraId="4DFA2F0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39AF78">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52B677F9">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9391F34">
            <w:pPr>
              <w:jc w:val="center"/>
              <w:rPr>
                <w:rFonts w:hint="default" w:eastAsia="宋体"/>
                <w:color w:val="000000"/>
                <w:sz w:val="22"/>
                <w:lang w:val="en-US" w:eastAsia="zh-CN"/>
              </w:rPr>
            </w:pPr>
            <w:r>
              <w:rPr>
                <w:rFonts w:hint="eastAsia"/>
                <w:color w:val="000000"/>
                <w:sz w:val="22"/>
                <w:lang w:val="en-US" w:eastAsia="zh-CN"/>
              </w:rPr>
              <w:t>20</w:t>
            </w:r>
          </w:p>
        </w:tc>
      </w:tr>
      <w:tr w14:paraId="61254AF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79FD0F">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2408F16A">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675CC18">
            <w:pPr>
              <w:jc w:val="center"/>
              <w:rPr>
                <w:rFonts w:hint="default" w:eastAsia="宋体"/>
                <w:color w:val="000000"/>
                <w:sz w:val="22"/>
                <w:lang w:val="en-US" w:eastAsia="zh-CN"/>
              </w:rPr>
            </w:pPr>
            <w:r>
              <w:rPr>
                <w:rFonts w:hint="eastAsia"/>
                <w:color w:val="000000"/>
                <w:sz w:val="22"/>
                <w:lang w:val="en-US" w:eastAsia="zh-CN"/>
              </w:rPr>
              <w:t>34.9</w:t>
            </w:r>
          </w:p>
        </w:tc>
      </w:tr>
      <w:tr w14:paraId="200019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AC24C5">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24C66A56">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5AB9927">
            <w:pPr>
              <w:jc w:val="center"/>
              <w:rPr>
                <w:rFonts w:hint="default" w:eastAsia="宋体"/>
                <w:color w:val="000000"/>
                <w:sz w:val="22"/>
                <w:lang w:val="en-US" w:eastAsia="zh-CN"/>
              </w:rPr>
            </w:pPr>
            <w:r>
              <w:rPr>
                <w:rFonts w:hint="eastAsia"/>
                <w:color w:val="000000"/>
                <w:sz w:val="22"/>
                <w:lang w:val="en-US" w:eastAsia="zh-CN"/>
              </w:rPr>
              <w:t>20</w:t>
            </w:r>
          </w:p>
        </w:tc>
      </w:tr>
      <w:tr w14:paraId="70C1081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05166F">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7E99FD8A">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1874357">
            <w:pPr>
              <w:jc w:val="center"/>
              <w:rPr>
                <w:rFonts w:hint="default" w:eastAsia="宋体"/>
                <w:b/>
                <w:bCs/>
                <w:color w:val="000000"/>
                <w:sz w:val="22"/>
                <w:lang w:val="en-US" w:eastAsia="zh-CN"/>
              </w:rPr>
            </w:pPr>
            <w:r>
              <w:rPr>
                <w:rFonts w:hint="eastAsia"/>
                <w:b/>
                <w:bCs/>
                <w:color w:val="000000"/>
                <w:sz w:val="22"/>
                <w:lang w:val="en-US" w:eastAsia="zh-CN"/>
              </w:rPr>
              <w:t>94.9</w:t>
            </w:r>
          </w:p>
        </w:tc>
      </w:tr>
    </w:tbl>
    <w:p w14:paraId="0140F950">
      <w:pPr>
        <w:spacing w:line="560" w:lineRule="exact"/>
        <w:ind w:firstLine="640" w:firstLineChars="200"/>
        <w:rPr>
          <w:rFonts w:eastAsia="黑体"/>
          <w:sz w:val="32"/>
          <w:szCs w:val="32"/>
        </w:rPr>
      </w:pPr>
      <w:r>
        <w:rPr>
          <w:rFonts w:eastAsia="黑体"/>
          <w:sz w:val="32"/>
          <w:szCs w:val="32"/>
        </w:rPr>
        <w:t>四、绩效评价指标分析</w:t>
      </w:r>
    </w:p>
    <w:p w14:paraId="34FC877B">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14:paraId="466596E2">
      <w:pPr>
        <w:spacing w:line="360" w:lineRule="auto"/>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14:paraId="08431EFF">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根据财政部</w:t>
      </w:r>
      <w:r>
        <w:rPr>
          <w:rFonts w:hint="eastAsia" w:ascii="仿宋" w:hAnsi="仿宋" w:eastAsia="仿宋" w:cs="仿宋"/>
          <w:sz w:val="32"/>
          <w:szCs w:val="32"/>
          <w:lang w:eastAsia="zh-CN"/>
        </w:rPr>
        <w:t>、</w:t>
      </w:r>
      <w:r>
        <w:rPr>
          <w:rFonts w:hint="eastAsia" w:ascii="仿宋" w:hAnsi="仿宋" w:eastAsia="仿宋" w:cs="仿宋"/>
          <w:sz w:val="32"/>
          <w:szCs w:val="32"/>
        </w:rPr>
        <w:t>教育部</w:t>
      </w:r>
      <w:r>
        <w:rPr>
          <w:rFonts w:hint="eastAsia" w:ascii="仿宋" w:hAnsi="仿宋" w:eastAsia="仿宋" w:cs="仿宋"/>
          <w:sz w:val="32"/>
          <w:szCs w:val="32"/>
          <w:lang w:eastAsia="zh-CN"/>
        </w:rPr>
        <w:t>、</w:t>
      </w:r>
      <w:r>
        <w:rPr>
          <w:rFonts w:hint="eastAsia" w:ascii="仿宋" w:hAnsi="仿宋" w:eastAsia="仿宋" w:cs="仿宋"/>
          <w:sz w:val="32"/>
          <w:szCs w:val="32"/>
        </w:rPr>
        <w:t>人力资源社会保障部</w:t>
      </w:r>
      <w:r>
        <w:rPr>
          <w:rFonts w:hint="eastAsia" w:ascii="仿宋" w:hAnsi="仿宋" w:eastAsia="仿宋" w:cs="仿宋"/>
          <w:sz w:val="32"/>
          <w:szCs w:val="32"/>
          <w:lang w:eastAsia="zh-CN"/>
        </w:rPr>
        <w:t>、</w:t>
      </w:r>
      <w:r>
        <w:rPr>
          <w:rFonts w:hint="eastAsia" w:ascii="仿宋" w:hAnsi="仿宋" w:eastAsia="仿宋" w:cs="仿宋"/>
          <w:sz w:val="32"/>
          <w:szCs w:val="32"/>
        </w:rPr>
        <w:t>退役军人部</w:t>
      </w:r>
      <w:r>
        <w:rPr>
          <w:rFonts w:hint="eastAsia" w:ascii="仿宋" w:hAnsi="仿宋" w:eastAsia="仿宋" w:cs="仿宋"/>
          <w:sz w:val="32"/>
          <w:szCs w:val="32"/>
          <w:lang w:eastAsia="zh-CN"/>
        </w:rPr>
        <w:t>、</w:t>
      </w:r>
      <w:r>
        <w:rPr>
          <w:rFonts w:hint="eastAsia" w:ascii="仿宋" w:hAnsi="仿宋" w:eastAsia="仿宋" w:cs="仿宋"/>
          <w:sz w:val="32"/>
          <w:szCs w:val="32"/>
        </w:rPr>
        <w:t>中央军委国防动员部关于印发</w:t>
      </w:r>
      <w:r>
        <w:rPr>
          <w:rFonts w:hint="eastAsia" w:ascii="仿宋" w:hAnsi="仿宋" w:eastAsia="仿宋" w:cs="仿宋"/>
          <w:sz w:val="32"/>
          <w:szCs w:val="32"/>
          <w:lang w:eastAsia="zh-CN"/>
        </w:rPr>
        <w:t>《</w:t>
      </w:r>
      <w:r>
        <w:rPr>
          <w:rFonts w:hint="eastAsia" w:ascii="仿宋" w:hAnsi="仿宋" w:eastAsia="仿宋" w:cs="仿宋"/>
          <w:sz w:val="32"/>
          <w:szCs w:val="32"/>
        </w:rPr>
        <w:t>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，自治区关于印发</w:t>
      </w:r>
      <w:r>
        <w:rPr>
          <w:rFonts w:hint="eastAsia" w:ascii="仿宋" w:hAnsi="仿宋" w:eastAsia="仿宋" w:cs="仿宋"/>
          <w:sz w:val="32"/>
          <w:szCs w:val="32"/>
          <w:lang w:eastAsia="zh-CN"/>
        </w:rPr>
        <w:t>《</w:t>
      </w:r>
      <w:r>
        <w:rPr>
          <w:rFonts w:hint="eastAsia" w:ascii="仿宋" w:hAnsi="仿宋" w:eastAsia="仿宋" w:cs="仿宋"/>
          <w:sz w:val="32"/>
          <w:szCs w:val="32"/>
        </w:rPr>
        <w:t>新疆维吾尔自治区学生资助资金管理办法</w:t>
      </w:r>
      <w:r>
        <w:rPr>
          <w:rFonts w:hint="eastAsia" w:ascii="仿宋" w:hAnsi="仿宋" w:eastAsia="仿宋" w:cs="仿宋"/>
          <w:sz w:val="32"/>
          <w:szCs w:val="32"/>
          <w:lang w:eastAsia="zh-CN"/>
        </w:rPr>
        <w:t>》</w:t>
      </w:r>
      <w:r>
        <w:rPr>
          <w:rFonts w:hint="eastAsia" w:ascii="仿宋" w:hAnsi="仿宋" w:eastAsia="仿宋" w:cs="仿宋"/>
          <w:sz w:val="32"/>
          <w:szCs w:val="32"/>
        </w:rPr>
        <w:t>的通知</w:t>
      </w:r>
      <w:r>
        <w:rPr>
          <w:rFonts w:hint="eastAsia" w:ascii="仿宋" w:hAnsi="仿宋" w:eastAsia="仿宋" w:cs="仿宋"/>
          <w:sz w:val="32"/>
          <w:szCs w:val="32"/>
          <w:lang w:eastAsia="zh-CN"/>
        </w:rPr>
        <w:t>，《</w:t>
      </w:r>
      <w:r>
        <w:rPr>
          <w:rFonts w:hint="eastAsia" w:ascii="仿宋" w:hAnsi="仿宋" w:eastAsia="仿宋" w:cs="仿宋"/>
          <w:sz w:val="32"/>
          <w:szCs w:val="32"/>
        </w:rPr>
        <w:t>自治州建档立卡贫困户学生教育资助政策实施细则</w:t>
      </w:r>
      <w:r>
        <w:rPr>
          <w:rFonts w:hint="eastAsia" w:ascii="仿宋" w:hAnsi="仿宋" w:eastAsia="仿宋" w:cs="仿宋"/>
          <w:sz w:val="32"/>
          <w:szCs w:val="32"/>
          <w:lang w:eastAsia="zh-CN"/>
        </w:rPr>
        <w:t>》（</w:t>
      </w:r>
      <w:r>
        <w:rPr>
          <w:rFonts w:hint="eastAsia" w:ascii="仿宋" w:hAnsi="仿宋" w:eastAsia="仿宋" w:cs="仿宋"/>
          <w:sz w:val="32"/>
          <w:szCs w:val="32"/>
        </w:rPr>
        <w:t>巴</w:t>
      </w:r>
      <w:r>
        <w:rPr>
          <w:rFonts w:hint="eastAsia" w:ascii="仿宋" w:hAnsi="仿宋" w:eastAsia="仿宋" w:cs="仿宋"/>
          <w:sz w:val="32"/>
          <w:szCs w:val="32"/>
          <w:lang w:val="en-US" w:eastAsia="zh-CN"/>
        </w:rPr>
        <w:t>扶领</w:t>
      </w:r>
      <w:r>
        <w:rPr>
          <w:rFonts w:hint="eastAsia" w:ascii="仿宋" w:hAnsi="仿宋" w:eastAsia="仿宋" w:cs="仿宋"/>
          <w:sz w:val="32"/>
          <w:szCs w:val="32"/>
        </w:rPr>
        <w:t>子</w:t>
      </w:r>
      <w:r>
        <w:rPr>
          <w:rFonts w:hint="eastAsia" w:ascii="仿宋" w:hAnsi="仿宋" w:eastAsia="仿宋" w:cs="仿宋"/>
          <w:sz w:val="32"/>
          <w:szCs w:val="32"/>
          <w:lang w:eastAsia="zh-CN"/>
        </w:rPr>
        <w:t>〔</w:t>
      </w:r>
      <w:r>
        <w:rPr>
          <w:rFonts w:hint="eastAsia" w:ascii="仿宋" w:hAnsi="仿宋" w:eastAsia="仿宋" w:cs="仿宋"/>
          <w:sz w:val="32"/>
          <w:szCs w:val="32"/>
        </w:rPr>
        <w:t>2018</w:t>
      </w:r>
      <w:r>
        <w:rPr>
          <w:rFonts w:hint="eastAsia" w:ascii="仿宋" w:hAnsi="仿宋" w:eastAsia="仿宋" w:cs="仿宋"/>
          <w:sz w:val="32"/>
          <w:szCs w:val="32"/>
          <w:lang w:eastAsia="zh-CN"/>
        </w:rPr>
        <w:t>〕</w:t>
      </w:r>
      <w:r>
        <w:rPr>
          <w:rFonts w:hint="eastAsia" w:ascii="仿宋" w:hAnsi="仿宋" w:eastAsia="仿宋" w:cs="仿宋"/>
          <w:sz w:val="32"/>
          <w:szCs w:val="32"/>
        </w:rPr>
        <w:t xml:space="preserve"> 34号</w:t>
      </w:r>
      <w:r>
        <w:rPr>
          <w:rFonts w:hint="eastAsia" w:ascii="仿宋" w:hAnsi="仿宋" w:eastAsia="仿宋" w:cs="仿宋"/>
          <w:sz w:val="32"/>
          <w:szCs w:val="32"/>
          <w:lang w:eastAsia="zh-CN"/>
        </w:rPr>
        <w:t>）</w:t>
      </w:r>
      <w:r>
        <w:rPr>
          <w:rFonts w:hint="eastAsia" w:ascii="仿宋" w:hAnsi="仿宋" w:eastAsia="仿宋" w:cs="仿宋"/>
          <w:sz w:val="32"/>
          <w:szCs w:val="32"/>
        </w:rPr>
        <w:t>文件精神要求</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中等职业学校学生享受免学费补助政策。国家免学费资助对象是我校根据教育部门批准录取，具有中职全日制正式学籍的在校生；公办中等职业学校全日制正式学籍一、二、三年级在校学生免除学费。免除每生每年2000元学费，按各专业原收费标准弥补学校运转出现的经费缺口。</w:t>
      </w:r>
      <w:r>
        <w:rPr>
          <w:rFonts w:hint="eastAsia" w:ascii="仿宋" w:hAnsi="仿宋" w:eastAsia="仿宋" w:cs="仿宋"/>
          <w:sz w:val="32"/>
          <w:szCs w:val="32"/>
        </w:rPr>
        <w:t>巴财教〔2022〕33号关于提前下达2023年学生资助补助经费预算[中央直达资金]--中央学生资助（中等职业-免学费）564万元，根据巴财教〔2022〕37号关于提前下达2023年教育项目直达资金的--学生资助（中等职业-免学费）下达147万元，巴财教〔2023〕7号2023年学生资助补助经费预算（第二批）中央直达资金--（中等职业-免学费）下达2万元，建成该项目，用于保障学校运转。</w:t>
      </w:r>
    </w:p>
    <w:p w14:paraId="58CBBC4D">
      <w:pPr>
        <w:spacing w:line="360" w:lineRule="auto"/>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立项依据充分。</w:t>
      </w:r>
    </w:p>
    <w:p w14:paraId="53491283">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DD04E3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14:paraId="3A56DF6B">
      <w:pPr>
        <w:shd w:val="clear"/>
        <w:spacing w:line="600" w:lineRule="exact"/>
        <w:ind w:firstLine="640" w:firstLineChars="200"/>
        <w:outlineLvl w:val="0"/>
        <w:rPr>
          <w:rFonts w:hint="eastAsia" w:ascii="仿宋_GB2312" w:hAnsi="仿宋_GB2312" w:eastAsia="仿宋_GB2312" w:cs="仿宋_GB2312"/>
          <w:color w:val="C00000"/>
          <w:sz w:val="32"/>
          <w:szCs w:val="32"/>
          <w:lang w:val="en-US" w:eastAsia="zh-CN"/>
        </w:rPr>
      </w:pPr>
      <w:r>
        <w:rPr>
          <w:rFonts w:hint="eastAsia" w:ascii="仿宋_GB2312" w:hAnsi="仿宋_GB2312" w:eastAsia="仿宋_GB2312" w:cs="仿宋_GB2312"/>
          <w:color w:val="auto"/>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color w:val="auto"/>
          <w:sz w:val="32"/>
          <w:szCs w:val="32"/>
        </w:rPr>
        <w:t>按照规定的程序申请设立；提交的政策文件、材料符合项目设立的要求；事前经过科室申报、学校审核、风险评估、绩效评估、学校党委集体决策等，</w:t>
      </w:r>
      <w:r>
        <w:rPr>
          <w:rFonts w:hint="eastAsia" w:ascii="仿宋_GB2312" w:hAnsi="仿宋_GB2312" w:eastAsia="仿宋_GB2312" w:cs="仿宋_GB2312"/>
          <w:color w:val="auto"/>
          <w:sz w:val="32"/>
          <w:szCs w:val="32"/>
          <w:lang w:val="en-US" w:eastAsia="zh-CN"/>
        </w:rPr>
        <w:t>确定最终预算方案，保障了程序的规范性。</w:t>
      </w:r>
    </w:p>
    <w:p w14:paraId="54A9880C">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47FD3EE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3.绩效目标合理性</w:t>
      </w:r>
    </w:p>
    <w:p w14:paraId="3E81B25A">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巴财教〔2022〕37号关于提前下达2023年教育项目直达资金的--学生资助（中等职业-免学费）、巴财教〔2022〕33号关于提前下达2023年学生资助补助经费预算[中央直达资金]--中央学生资助（中等职业-免学费）预算项目</w:t>
      </w: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w:t>
      </w:r>
      <w:r>
        <w:rPr>
          <w:rFonts w:hint="eastAsia" w:ascii="仿宋_GB2312" w:hAnsi="仿宋_GB2312" w:eastAsia="仿宋_GB2312" w:cs="仿宋_GB2312"/>
          <w:sz w:val="32"/>
          <w:szCs w:val="32"/>
          <w:lang w:eastAsia="zh-CN"/>
        </w:rPr>
        <w:t>与巴州师范学校的工作范围和职责相关性，项目的预期产出效益和效果也均能符合正常的业绩水平，并且与预算确定的项目资金量相匹配。</w:t>
      </w:r>
      <w:r>
        <w:rPr>
          <w:rFonts w:hint="eastAsia" w:ascii="仿宋_GB2312" w:hAnsi="仿宋_GB2312" w:eastAsia="仿宋_GB2312" w:cs="仿宋_GB2312"/>
          <w:sz w:val="32"/>
          <w:szCs w:val="32"/>
          <w:lang w:val="en-US" w:eastAsia="zh-CN"/>
        </w:rPr>
        <w:t>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5BDDB03">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67755ED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4.绩效指标明确性</w:t>
      </w:r>
    </w:p>
    <w:p w14:paraId="2A638C1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bookmarkStart w:id="1" w:name="_Hlk68699917"/>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将项目绩效目标细化分解为具体的绩效指标，一级指标共4条，二级指标共6条，三级指标共8条，其中量化指标条数共7条，所有绩效指标均通过清晰、可衡量的指标值予以体现，并且做到了与项目目标任务数或计划数相对应。</w:t>
      </w:r>
      <w:bookmarkEnd w:id="1"/>
    </w:p>
    <w:p w14:paraId="7ECC381B">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此项权重分3分，得分3分。</w:t>
      </w:r>
    </w:p>
    <w:p w14:paraId="6F9E853F">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5.预算编制科学性</w:t>
      </w:r>
    </w:p>
    <w:p w14:paraId="0678410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预算编制经过科学论证，提供充分的测算依据佐证资料，预算内容与项目内容相匹配。项目投资额与工作任务相匹配。</w:t>
      </w:r>
    </w:p>
    <w:p w14:paraId="255A967B">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728311B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6.资金分配合理性</w:t>
      </w:r>
    </w:p>
    <w:p w14:paraId="1D65685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资金分配额度713万元与项目单位实际工作内容相适应，资金分配额度合理，资金分配依据充分。</w:t>
      </w:r>
    </w:p>
    <w:p w14:paraId="1450A17E">
      <w:pPr>
        <w:spacing w:line="360" w:lineRule="auto"/>
        <w:ind w:firstLine="640" w:firstLineChars="20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20303980">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14:paraId="56B1FB6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14:paraId="5A96F3B6">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预算资金713万元，实际到位资金713万元，资金到位率100%。</w:t>
      </w:r>
    </w:p>
    <w:p w14:paraId="14EEA345">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035F4B09">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14:paraId="0D95F86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全年预算数713万元，全年执行数713万元，预算执行率为100%。</w:t>
      </w:r>
    </w:p>
    <w:p w14:paraId="6E80DFA3">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此项权重分4分，得分4分。</w:t>
      </w:r>
    </w:p>
    <w:p w14:paraId="2ACAD45C">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14:paraId="34AEC7B7">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资金使用符合国家财经法规和财务管理制度以及有关专项资金管理办法的规定；资金的拨付有完整的审批程序和手续；资金使用符合该项目的立项批复。资金不存在截留、挤占、挪用、虚列支出等情况。</w:t>
      </w:r>
    </w:p>
    <w:p w14:paraId="423DD8A4">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63114EA1">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4.管理制度健全性</w:t>
      </w:r>
    </w:p>
    <w:p w14:paraId="1A6DA04B">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制定了相关管理办法，对财政资金进行严格管理，做到专款专用，项目资金使用符合相关的财务管理制度规定，能够反映和考核项目资金的规范运行情况；学校的财务和业务管理制度健全，能够反映和考核财务和业务管理制度对项目顺利实施的保障情况。</w:t>
      </w:r>
    </w:p>
    <w:p w14:paraId="28AD04E2">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7FE6792E">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5.制度执行有效性</w:t>
      </w:r>
    </w:p>
    <w:p w14:paraId="0819292F">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宋体" w:cs="仿宋_GB2312"/>
          <w:sz w:val="32"/>
          <w:szCs w:val="32"/>
          <w:lang w:val="en-US" w:eastAsia="zh-CN"/>
        </w:rPr>
      </w:pPr>
      <w:r>
        <w:rPr>
          <w:rFonts w:hint="eastAsia" w:ascii="仿宋_GB2312" w:hAnsi="仿宋_GB2312" w:eastAsia="仿宋_GB2312" w:cs="仿宋_GB2312"/>
          <w:sz w:val="32"/>
          <w:szCs w:val="32"/>
          <w:lang w:val="en-US" w:eastAsia="zh-CN"/>
        </w:rPr>
        <w:t>巴财教〔2022〕37号关于提前下达2023年教育项目直达资金的--学生资助（中等职业-免学费）、巴财教〔2022〕33号关于提前下达2023年学生资助补助经费预算[中央直达资金]--中央学生资助（中等职业-免学费）预算项目对遵守了国家免学费资金管理的相关法律法规和相关财务管理规定；项目调整及支出调整手续完备；项目相关的合同书、采购、验收等资料齐全并及时归档；项目实施的人员条件、场地设备、信息支撑等落实到位。</w:t>
      </w:r>
    </w:p>
    <w:p w14:paraId="6AE193A9">
      <w:pPr>
        <w:shd w:val="clear"/>
        <w:spacing w:line="600" w:lineRule="exact"/>
        <w:ind w:firstLine="640" w:firstLineChars="200"/>
        <w:outlineLvl w:val="0"/>
        <w:rPr>
          <w:rFonts w:hint="eastAsia"/>
          <w:lang w:val="en-US" w:eastAsia="zh-CN"/>
        </w:rPr>
      </w:pPr>
      <w:r>
        <w:rPr>
          <w:rFonts w:hint="eastAsia" w:ascii="仿宋_GB2312" w:hAnsi="仿宋_GB2312" w:eastAsia="仿宋_GB2312" w:cs="仿宋_GB2312"/>
          <w:sz w:val="32"/>
          <w:szCs w:val="32"/>
          <w:lang w:val="en-US" w:eastAsia="zh-CN"/>
        </w:rPr>
        <w:t>此项权重分4分，得分4分。</w:t>
      </w:r>
    </w:p>
    <w:p w14:paraId="28E32D7C">
      <w:pPr>
        <w:pStyle w:val="7"/>
        <w:numPr>
          <w:ilvl w:val="0"/>
          <w:numId w:val="4"/>
        </w:numPr>
        <w:spacing w:line="560" w:lineRule="exact"/>
        <w:ind w:firstLine="643"/>
        <w:rPr>
          <w:rFonts w:hint="default" w:ascii="仿宋_GB2312" w:hAnsi="仿宋_GB2312" w:eastAsia="仿宋_GB2312" w:cs="仿宋_GB2312"/>
          <w:sz w:val="32"/>
          <w:szCs w:val="32"/>
          <w:highlight w:val="none"/>
          <w:lang w:val="en-US" w:eastAsia="zh-CN"/>
        </w:rPr>
      </w:pPr>
      <w:r>
        <w:rPr>
          <w:rFonts w:eastAsia="楷体_GB2312"/>
          <w:b/>
          <w:bCs/>
          <w:sz w:val="32"/>
          <w:szCs w:val="32"/>
        </w:rPr>
        <w:t>项目产出</w:t>
      </w:r>
      <w:r>
        <w:rPr>
          <w:rFonts w:hint="eastAsia" w:eastAsia="楷体_GB2312"/>
          <w:b/>
          <w:bCs/>
          <w:sz w:val="32"/>
          <w:szCs w:val="32"/>
          <w:lang w:val="en-US" w:eastAsia="zh-CN"/>
        </w:rPr>
        <w:t>情况</w:t>
      </w:r>
    </w:p>
    <w:p w14:paraId="4937770E">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数量指标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指标1：免学费补助受助学生人数，指标值：</w:t>
      </w:r>
      <w:r>
        <w:rPr>
          <w:rFonts w:hint="eastAsia" w:ascii="宋体" w:hAnsi="宋体" w:eastAsia="宋体" w:cs="宋体"/>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3145人，实际完成值3120人，指标完成率99.21%,偏差原因：学生人数因退学减少，指标有偏差。指标2：资助政策覆盖率，指标值：100%，实际完成值100%，指标完成率100%。</w:t>
      </w:r>
    </w:p>
    <w:p w14:paraId="1180F61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此项权重分10分，得分9.9分。</w:t>
      </w:r>
    </w:p>
    <w:p w14:paraId="7DD4762B">
      <w:pPr>
        <w:numPr>
          <w:ilvl w:val="0"/>
          <w:numId w:val="0"/>
        </w:numPr>
        <w:shd w:val="clear"/>
        <w:spacing w:line="600" w:lineRule="exact"/>
        <w:ind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2.质</w:t>
      </w:r>
      <w:r>
        <w:rPr>
          <w:rFonts w:hint="eastAsia" w:ascii="仿宋_GB2312" w:hAnsi="仿宋_GB2312" w:eastAsia="仿宋_GB2312" w:cs="仿宋_GB2312"/>
          <w:sz w:val="32"/>
          <w:szCs w:val="32"/>
          <w:highlight w:val="none"/>
        </w:rPr>
        <w:t>量指标</w:t>
      </w:r>
      <w:r>
        <w:rPr>
          <w:rFonts w:hint="eastAsia" w:ascii="仿宋_GB2312" w:hAnsi="仿宋_GB2312" w:eastAsia="仿宋_GB2312" w:cs="仿宋_GB2312"/>
          <w:sz w:val="32"/>
          <w:szCs w:val="32"/>
          <w:highlight w:val="none"/>
          <w:lang w:val="en-US" w:eastAsia="zh-CN"/>
        </w:rPr>
        <w:t>完成情况</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 w:val="0"/>
          <w:bCs w:val="0"/>
          <w:kern w:val="2"/>
          <w:sz w:val="32"/>
          <w:szCs w:val="32"/>
          <w:lang w:val="en-US" w:eastAsia="zh-CN" w:bidi="ar-SA"/>
        </w:rPr>
        <w:t>指标1：中职免学费应受助学生享受资助比例，指标值：100%，实际完成值100%，指标完成率100%。</w:t>
      </w:r>
    </w:p>
    <w:p w14:paraId="64E72D72">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此项权重分15分，得分15分。</w:t>
      </w:r>
    </w:p>
    <w:p w14:paraId="267C3105">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3.时效指标完成情况：</w:t>
      </w:r>
      <w:r>
        <w:rPr>
          <w:rFonts w:hint="eastAsia" w:ascii="仿宋_GB2312" w:hAnsi="仿宋_GB2312" w:eastAsia="仿宋_GB2312" w:cs="仿宋_GB2312"/>
          <w:b w:val="0"/>
          <w:bCs w:val="0"/>
          <w:kern w:val="2"/>
          <w:sz w:val="32"/>
          <w:szCs w:val="32"/>
          <w:lang w:val="en-US" w:eastAsia="zh-CN" w:bidi="ar-SA"/>
        </w:rPr>
        <w:t>指标1：资助资金按时发放率，指标值：100%，实际完成值100%，指标完成率100%。</w:t>
      </w:r>
    </w:p>
    <w:p w14:paraId="504CC888">
      <w:pPr>
        <w:pStyle w:val="2"/>
        <w:numPr>
          <w:ilvl w:val="0"/>
          <w:numId w:val="0"/>
        </w:numPr>
        <w:spacing w:before="0" w:after="0"/>
        <w:ind w:firstLine="640" w:firstLineChars="200"/>
        <w:jc w:val="both"/>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此项权重分10分，得分10分。</w:t>
      </w:r>
    </w:p>
    <w:p w14:paraId="54B10C83">
      <w:pPr>
        <w:numPr>
          <w:ilvl w:val="0"/>
          <w:numId w:val="0"/>
        </w:numPr>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4.经济成本指标完成情况：</w:t>
      </w:r>
      <w:r>
        <w:rPr>
          <w:rFonts w:hint="eastAsia" w:ascii="仿宋_GB2312" w:hAnsi="仿宋_GB2312" w:eastAsia="仿宋_GB2312" w:cs="仿宋_GB2312"/>
          <w:b w:val="0"/>
          <w:bCs w:val="0"/>
          <w:kern w:val="2"/>
          <w:sz w:val="32"/>
          <w:szCs w:val="32"/>
          <w:lang w:val="en-US" w:eastAsia="zh-CN" w:bidi="ar-SA"/>
        </w:rPr>
        <w:t>指标1：生均补助经费数，指标值：</w:t>
      </w:r>
      <w:r>
        <w:rPr>
          <w:rFonts w:hint="default" w:ascii="Arial" w:hAnsi="Arial" w:eastAsia="仿宋_GB2312" w:cs="Arial"/>
          <w:b w:val="0"/>
          <w:bCs w:val="0"/>
          <w:kern w:val="2"/>
          <w:sz w:val="32"/>
          <w:szCs w:val="32"/>
          <w:lang w:val="en-US" w:eastAsia="zh-CN" w:bidi="ar-SA"/>
        </w:rPr>
        <w:t>≤</w:t>
      </w:r>
      <w:r>
        <w:rPr>
          <w:rFonts w:hint="eastAsia" w:ascii="仿宋_GB2312" w:hAnsi="仿宋_GB2312" w:eastAsia="仿宋_GB2312" w:cs="仿宋_GB2312"/>
          <w:b w:val="0"/>
          <w:bCs w:val="0"/>
          <w:kern w:val="2"/>
          <w:sz w:val="32"/>
          <w:szCs w:val="32"/>
          <w:lang w:val="en-US" w:eastAsia="zh-CN" w:bidi="ar-SA"/>
        </w:rPr>
        <w:t>2267元，实际完成值2285元，指标完成率0%，偏差原因：学生人数因退学减少，指标有偏差。</w:t>
      </w:r>
    </w:p>
    <w:p w14:paraId="583B778C">
      <w:pPr>
        <w:numPr>
          <w:ilvl w:val="0"/>
          <w:numId w:val="0"/>
        </w:numPr>
        <w:ind w:firstLine="640" w:firstLineChars="200"/>
        <w:rPr>
          <w:rFonts w:hint="default"/>
          <w:lang w:val="en-US" w:eastAsia="zh-CN"/>
        </w:rPr>
      </w:pPr>
      <w:r>
        <w:rPr>
          <w:rFonts w:hint="eastAsia" w:ascii="仿宋_GB2312" w:hAnsi="仿宋_GB2312" w:eastAsia="仿宋_GB2312" w:cs="仿宋_GB2312"/>
          <w:b w:val="0"/>
          <w:bCs w:val="0"/>
          <w:kern w:val="2"/>
          <w:sz w:val="32"/>
          <w:szCs w:val="32"/>
          <w:lang w:val="en-US" w:eastAsia="zh-CN" w:bidi="ar-SA"/>
        </w:rPr>
        <w:t>此项权重分5分，得分0分。</w:t>
      </w:r>
    </w:p>
    <w:p w14:paraId="7B95E03F">
      <w:pPr>
        <w:pStyle w:val="7"/>
        <w:numPr>
          <w:ilvl w:val="0"/>
          <w:numId w:val="4"/>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14:paraId="6ACCF6FD">
      <w:pPr>
        <w:numPr>
          <w:ilvl w:val="0"/>
          <w:numId w:val="5"/>
        </w:num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社会效益指标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rPr>
        <w:t>：指标1：家庭经济困难学生生活负担，指标值：</w:t>
      </w:r>
      <w:r>
        <w:rPr>
          <w:rFonts w:hint="eastAsia" w:ascii="仿宋_GB2312" w:hAnsi="仿宋_GB2312" w:eastAsia="仿宋_GB2312" w:cs="仿宋_GB2312"/>
          <w:sz w:val="32"/>
          <w:szCs w:val="32"/>
          <w:highlight w:val="none"/>
          <w:lang w:val="en-US" w:eastAsia="zh-CN"/>
        </w:rPr>
        <w:t>有效减轻</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达成目标</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14:paraId="480504B7">
      <w:pPr>
        <w:numPr>
          <w:ilvl w:val="0"/>
          <w:numId w:val="0"/>
        </w:numPr>
        <w:shd w:val="clear"/>
        <w:spacing w:line="600" w:lineRule="exact"/>
        <w:ind w:firstLine="640" w:firstLine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1CF7B2EB">
      <w:pPr>
        <w:numPr>
          <w:ilvl w:val="0"/>
          <w:numId w:val="5"/>
        </w:numPr>
        <w:shd w:val="clear"/>
        <w:spacing w:line="600" w:lineRule="exact"/>
        <w:ind w:left="0" w:leftChars="0" w:firstLine="640" w:firstLineChars="200"/>
        <w:outlineLvl w:val="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sz w:val="32"/>
          <w:szCs w:val="32"/>
          <w:highlight w:val="none"/>
          <w:lang w:val="en-US" w:eastAsia="zh-CN"/>
        </w:rPr>
        <w:t>满意度指标</w:t>
      </w:r>
      <w:r>
        <w:rPr>
          <w:rFonts w:hint="eastAsia" w:ascii="仿宋_GB2312" w:hAnsi="仿宋_GB2312" w:eastAsia="仿宋_GB2312" w:cs="仿宋_GB2312"/>
          <w:b w:val="0"/>
          <w:bCs w:val="0"/>
          <w:kern w:val="2"/>
          <w:sz w:val="32"/>
          <w:szCs w:val="32"/>
          <w:highlight w:val="none"/>
          <w:lang w:val="en-US" w:eastAsia="zh-CN" w:bidi="ar-SA"/>
        </w:rPr>
        <w:t>完成情况</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学校满意度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偏差原因：经实际满意度测评，指标与预期有偏差。</w:t>
      </w: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家长</w:t>
      </w:r>
      <w:r>
        <w:rPr>
          <w:rFonts w:hint="eastAsia" w:ascii="仿宋_GB2312" w:hAnsi="仿宋_GB2312" w:eastAsia="仿宋_GB2312" w:cs="仿宋_GB2312"/>
          <w:sz w:val="32"/>
          <w:szCs w:val="32"/>
          <w:highlight w:val="none"/>
          <w:lang w:eastAsia="zh-CN"/>
        </w:rPr>
        <w:t>满意度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&gt;=</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99%</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110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b w:val="0"/>
          <w:bCs w:val="0"/>
          <w:kern w:val="2"/>
          <w:sz w:val="32"/>
          <w:szCs w:val="32"/>
          <w:lang w:val="en-US" w:eastAsia="zh-CN" w:bidi="ar-SA"/>
        </w:rPr>
        <w:t>偏差原因：经实际满意度测评，指标与预期有偏差。</w:t>
      </w:r>
    </w:p>
    <w:p w14:paraId="4E43262B">
      <w:pPr>
        <w:numPr>
          <w:ilvl w:val="0"/>
          <w:numId w:val="0"/>
        </w:numPr>
        <w:shd w:val="clear"/>
        <w:spacing w:line="600" w:lineRule="exact"/>
        <w:ind w:leftChars="200"/>
        <w:outlineLvl w:val="0"/>
        <w:rPr>
          <w:rFonts w:hint="eastAsia"/>
          <w:lang w:eastAsia="zh-CN"/>
        </w:rPr>
      </w:pPr>
      <w:r>
        <w:rPr>
          <w:rFonts w:hint="eastAsia" w:ascii="仿宋_GB2312" w:hAnsi="仿宋_GB2312" w:eastAsia="仿宋_GB2312" w:cs="仿宋_GB2312"/>
          <w:b w:val="0"/>
          <w:bCs w:val="0"/>
          <w:kern w:val="2"/>
          <w:sz w:val="32"/>
          <w:szCs w:val="32"/>
          <w:lang w:val="en-US" w:eastAsia="zh-CN" w:bidi="ar-SA"/>
        </w:rPr>
        <w:t>此项权重分10分，得分10分。</w:t>
      </w:r>
    </w:p>
    <w:p w14:paraId="065EF39D">
      <w:pPr>
        <w:shd w:val="clear"/>
        <w:spacing w:line="600" w:lineRule="exact"/>
        <w:ind w:firstLine="420" w:firstLineChars="200"/>
        <w:outlineLvl w:val="0"/>
        <w:rPr>
          <w:rFonts w:hint="default"/>
          <w:lang w:val="en-US" w:eastAsia="zh-CN"/>
        </w:rPr>
      </w:pPr>
    </w:p>
    <w:p w14:paraId="4ED50D3F">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4C36E81B">
      <w:pPr>
        <w:pStyle w:val="12"/>
        <w:spacing w:line="560" w:lineRule="exact"/>
        <w:ind w:firstLine="640"/>
        <w:rPr>
          <w:rFonts w:hint="default"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巴财教〔2022〕37号关于提前下达2023年教育项目直达资金的--学生资助（中等职业-免学费）、巴财教〔2022〕33号关于提前下达2023年学生资助补助经费预算[中央直达资金]--中央学生资助（中等职业-免学费）预算项目年初预算713万元，全年预算713万元，实际支出713万元，预算执行率为100%，项目绩效指标总体完成率</w:t>
      </w:r>
      <w:r>
        <w:rPr>
          <w:rFonts w:hint="eastAsia" w:ascii="仿宋_GB2312" w:hAnsi="仿宋_GB2312" w:eastAsia="仿宋_GB2312" w:cs="仿宋_GB2312"/>
          <w:color w:val="auto"/>
          <w:kern w:val="2"/>
          <w:sz w:val="32"/>
          <w:szCs w:val="32"/>
          <w:highlight w:val="none"/>
          <w:lang w:val="en-US" w:eastAsia="zh-CN" w:bidi="ar-SA"/>
        </w:rPr>
        <w:t>为89.9%，总体偏差率为10.1%，偏差原因主要是学生人数因退学减少，产出指标有偏差；经实际满意度测评，指标与预期效益指标有偏差，改进措施一是加强学习，提高指标设置的科学合理性；二是总结工作经验，提高指标值的准确度。</w:t>
      </w:r>
    </w:p>
    <w:p w14:paraId="65729D4F">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Hans" w:bidi="ar-SA"/>
        </w:rPr>
        <w:t>六</w:t>
      </w:r>
      <w:r>
        <w:rPr>
          <w:rFonts w:hint="eastAsia" w:ascii="仿宋_GB2312" w:hAnsi="仿宋_GB2312" w:eastAsia="仿宋_GB2312" w:cs="仿宋_GB2312"/>
          <w:kern w:val="2"/>
          <w:sz w:val="32"/>
          <w:szCs w:val="32"/>
          <w:highlight w:val="none"/>
          <w:lang w:val="en-US" w:eastAsia="zh-CN" w:bidi="ar-SA"/>
        </w:rPr>
        <w:t>、主要经验及做法、存在的问题及原因分析</w:t>
      </w:r>
    </w:p>
    <w:p w14:paraId="5A350A6C">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（一）主要经验及做法</w:t>
      </w:r>
    </w:p>
    <w:p w14:paraId="1EEFCC79">
      <w:p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为确保项目顺利进行，提前做好项目规划，将所列计划再三审核，提交学校党委会审议。项目的前期调研较充分，形成了准确的项目预算。</w:t>
      </w:r>
    </w:p>
    <w:p w14:paraId="5B1DC0A3">
      <w:pPr>
        <w:keepNext/>
        <w:keepLines/>
        <w:numPr>
          <w:ilvl w:val="0"/>
          <w:numId w:val="6"/>
        </w:numPr>
        <w:spacing w:line="560" w:lineRule="exact"/>
        <w:ind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存在的问题及原因分析</w:t>
      </w:r>
    </w:p>
    <w:p w14:paraId="75C65DF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kern w:val="2"/>
          <w:sz w:val="32"/>
          <w:szCs w:val="32"/>
          <w:highlight w:val="none"/>
          <w:lang w:val="en-US" w:eastAsia="zh-CN" w:bidi="ar-SA"/>
        </w:rPr>
        <w:t>1.相关绩效管理方面专业知识的系统性学习有待加</w:t>
      </w:r>
      <w:r>
        <w:rPr>
          <w:rFonts w:hint="eastAsia" w:ascii="仿宋_GB2312" w:hAnsi="仿宋_GB2312" w:eastAsia="仿宋_GB2312" w:cs="仿宋_GB2312"/>
          <w:color w:val="auto"/>
          <w:sz w:val="32"/>
          <w:szCs w:val="32"/>
          <w:highlight w:val="none"/>
          <w:lang w:val="en-US" w:eastAsia="zh-CN"/>
        </w:rPr>
        <w:t>强。各项指标的设置要进一步优化、完善，主要在细化、量化上改进。在绩效自评过程中，需提高相关绩效管理专业知识。</w:t>
      </w:r>
    </w:p>
    <w:p w14:paraId="695DDD1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2.加强绩效管理的理念，全面认识到绩效管理的重要性，工作中主动性落实绩效目标并对标监督执行。</w:t>
      </w:r>
    </w:p>
    <w:p w14:paraId="23E617AC">
      <w:pPr>
        <w:spacing w:line="560" w:lineRule="exact"/>
        <w:ind w:firstLine="640" w:firstLineChars="200"/>
        <w:rPr>
          <w:rFonts w:eastAsia="黑体"/>
          <w:color w:val="0000FF"/>
          <w:sz w:val="32"/>
          <w:szCs w:val="32"/>
        </w:rPr>
      </w:pPr>
      <w:r>
        <w:rPr>
          <w:rFonts w:hint="eastAsia" w:eastAsia="黑体"/>
          <w:sz w:val="32"/>
          <w:szCs w:val="32"/>
          <w:lang w:eastAsia="zh-Hans"/>
        </w:rPr>
        <w:t>七、</w:t>
      </w:r>
      <w:r>
        <w:rPr>
          <w:rFonts w:eastAsia="黑体"/>
          <w:sz w:val="32"/>
          <w:szCs w:val="32"/>
        </w:rPr>
        <w:t>有关建议</w:t>
      </w:r>
    </w:p>
    <w:p w14:paraId="6A408A3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2447677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567484A9">
      <w:pPr>
        <w:shd w:val="clear"/>
        <w:spacing w:line="600" w:lineRule="exact"/>
        <w:ind w:firstLine="640" w:firstLineChars="200"/>
        <w:outlineLvl w:val="0"/>
        <w:rPr>
          <w:color w:val="auto"/>
          <w:sz w:val="22"/>
          <w:szCs w:val="28"/>
        </w:rPr>
      </w:pPr>
      <w:r>
        <w:rPr>
          <w:rFonts w:hint="eastAsia" w:ascii="仿宋_GB2312" w:hAnsi="仿宋_GB2312" w:eastAsia="仿宋_GB2312" w:cs="仿宋_GB2312"/>
          <w:color w:val="auto"/>
          <w:sz w:val="32"/>
          <w:szCs w:val="32"/>
          <w:highlight w:val="none"/>
          <w:lang w:val="en-US" w:eastAsia="zh-CN"/>
        </w:rPr>
        <w:t>3.进一步完善项目评价过程中有关数据和资料的收集、整理、审核及分析。项目启动时同步做好档案的归纳与整理，及时整理、收集、汇总，健全档案资料。项目后续管理有待进一步加强和跟踪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14:paraId="1112FB7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进一步加强对绩效管理工作的组织领导，提高对预算绩效管理工作重要性的认识，总结经验查找问题，抓紧研究制定更全面更完善的绩效评价管理办法。结合项目考核建立绩效工作考核制度，加大学校对全面实施预算绩效管理和绩效管理工作的学习力度，让“花钱必问效，无效必问责”的理念深入工作每个环节。</w:t>
      </w:r>
    </w:p>
    <w:p w14:paraId="59B21223">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2" w:name="page8"/>
      <w:bookmarkEnd w:id="2"/>
      <w:r>
        <w:rPr>
          <w:rFonts w:eastAsia="黑体"/>
          <w:sz w:val="32"/>
          <w:szCs w:val="32"/>
        </w:rPr>
        <w:t>明的问题</w:t>
      </w:r>
    </w:p>
    <w:p w14:paraId="1DE00A3C">
      <w:pPr>
        <w:pStyle w:val="8"/>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14:paraId="31B0E33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6055858-116E-4E9D-AC11-99B1D6A8B80B}"/>
  </w:font>
  <w:font w:name="黑体">
    <w:panose1 w:val="02010609060101010101"/>
    <w:charset w:val="86"/>
    <w:family w:val="auto"/>
    <w:pitch w:val="default"/>
    <w:sig w:usb0="800002BF" w:usb1="38CF7CFA" w:usb2="00000016" w:usb3="00000000" w:csb0="00040001" w:csb1="00000000"/>
    <w:embedRegular r:id="rId2" w:fontKey="{26AA7EBF-B296-4D6B-BEEF-A2D93ADB4F2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6A428D35-4269-454C-9ACF-AACDA37E06BD}"/>
  </w:font>
  <w:font w:name="Calibri Light">
    <w:panose1 w:val="020F03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4" w:fontKey="{13F98F04-9162-480B-8CA6-045E2A97D8AC}"/>
  </w:font>
  <w:font w:name="华文中宋">
    <w:panose1 w:val="02010600040101010101"/>
    <w:charset w:val="86"/>
    <w:family w:val="auto"/>
    <w:pitch w:val="default"/>
    <w:sig w:usb0="00000287" w:usb1="080F0000" w:usb2="00000000" w:usb3="00000000" w:csb0="0004009F" w:csb1="DFD70000"/>
    <w:embedRegular r:id="rId5" w:fontKey="{8BE822AB-BC99-43B4-B76E-FAD0E06DB66A}"/>
  </w:font>
  <w:font w:name="仿宋_GB2312">
    <w:altName w:val="仿宋"/>
    <w:panose1 w:val="02010609030101010101"/>
    <w:charset w:val="86"/>
    <w:family w:val="modern"/>
    <w:pitch w:val="default"/>
    <w:sig w:usb0="00000000" w:usb1="00000000" w:usb2="00000000" w:usb3="00000000" w:csb0="00040000" w:csb1="00000000"/>
    <w:embedRegular r:id="rId6" w:fontKey="{B49B635A-EDE4-49C5-B7A0-A5A03385DB47}"/>
  </w:font>
  <w:font w:name="楷体_GB2312">
    <w:altName w:val="楷体"/>
    <w:panose1 w:val="02010609030101010101"/>
    <w:charset w:val="86"/>
    <w:family w:val="auto"/>
    <w:pitch w:val="default"/>
    <w:sig w:usb0="00000000" w:usb1="00000000" w:usb2="00000000" w:usb3="00000000" w:csb0="00040000" w:csb1="00000000"/>
    <w:embedRegular r:id="rId7" w:fontKey="{A3B6EC12-4419-4801-AB9F-B3E2875CAC52}"/>
  </w:font>
  <w:font w:name="仿宋">
    <w:panose1 w:val="02010609060101010101"/>
    <w:charset w:val="86"/>
    <w:family w:val="auto"/>
    <w:pitch w:val="default"/>
    <w:sig w:usb0="800002BF" w:usb1="38CF7CFA" w:usb2="00000016" w:usb3="00000000" w:csb0="00040001" w:csb1="00000000"/>
    <w:embedRegular r:id="rId8" w:fontKey="{80838090-B257-4D2F-9F75-2C98C83463E7}"/>
  </w:font>
  <w:font w:name="楷体">
    <w:panose1 w:val="02010609060101010101"/>
    <w:charset w:val="86"/>
    <w:family w:val="auto"/>
    <w:pitch w:val="default"/>
    <w:sig w:usb0="800002BF" w:usb1="38CF7CFA" w:usb2="00000016" w:usb3="00000000" w:csb0="00040001" w:csb1="00000000"/>
    <w:embedRegular r:id="rId9" w:fontKey="{380D6EF2-C8E6-4D85-810D-3781760640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7C86D9">
        <w:pPr>
          <w:pStyle w:val="6"/>
          <w:jc w:val="center"/>
        </w:pPr>
        <w:r>
          <w:fldChar w:fldCharType="begin"/>
        </w:r>
        <w:r>
          <w:instrText xml:space="preserve">PAGE   \* MERGEFORMAT</w:instrText>
        </w:r>
        <w:r>
          <w:fldChar w:fldCharType="separate"/>
        </w:r>
        <w:r>
          <w:rPr>
            <w:lang w:val="zh-CN"/>
          </w:rPr>
          <w:t>13</w:t>
        </w:r>
        <w:r>
          <w:fldChar w:fldCharType="end"/>
        </w:r>
      </w:p>
    </w:sdtContent>
  </w:sdt>
  <w:p w14:paraId="70665D34">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2D8EFFCD"/>
    <w:multiLevelType w:val="singleLevel"/>
    <w:tmpl w:val="2D8EFFCD"/>
    <w:lvl w:ilvl="0" w:tentative="0">
      <w:start w:val="1"/>
      <w:numFmt w:val="chineseCounting"/>
      <w:suff w:val="nothing"/>
      <w:lvlText w:val="（%1）"/>
      <w:lvlJc w:val="left"/>
      <w:rPr>
        <w:rFonts w:hint="eastAsia"/>
      </w:rPr>
    </w:lvl>
  </w:abstractNum>
  <w:abstractNum w:abstractNumId="4">
    <w:nsid w:val="3FD316C3"/>
    <w:multiLevelType w:val="singleLevel"/>
    <w:tmpl w:val="3FD316C3"/>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iZGUwNWM5NjQxODUyZjhjYWVlMWZjZWZmNTI5MzgifQ=="/>
  </w:docVars>
  <w:rsids>
    <w:rsidRoot w:val="480F10A8"/>
    <w:rsid w:val="480F10A8"/>
    <w:rsid w:val="49490F6E"/>
    <w:rsid w:val="73D04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w:basedOn w:val="4"/>
    <w:qFormat/>
    <w:uiPriority w:val="0"/>
    <w:pPr>
      <w:spacing w:after="0"/>
      <w:ind w:firstLine="200" w:firstLineChars="200"/>
    </w:pPr>
  </w:style>
  <w:style w:type="paragraph" w:styleId="8">
    <w:name w:val="Body Text First Indent 2"/>
    <w:basedOn w:val="5"/>
    <w:qFormat/>
    <w:uiPriority w:val="0"/>
    <w:pPr>
      <w:ind w:firstLine="420" w:firstLineChars="200"/>
    </w:pPr>
  </w:style>
  <w:style w:type="character" w:styleId="11">
    <w:name w:val="Strong"/>
    <w:basedOn w:val="10"/>
    <w:qFormat/>
    <w:uiPriority w:val="0"/>
    <w:rPr>
      <w:b/>
      <w:bCs/>
    </w:rPr>
  </w:style>
  <w:style w:type="paragraph" w:customStyle="1" w:styleId="1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177</Words>
  <Characters>201</Characters>
  <Lines>0</Lines>
  <Paragraphs>0</Paragraphs>
  <TotalTime>0</TotalTime>
  <ScaleCrop>false</ScaleCrop>
  <LinksUpToDate>false</LinksUpToDate>
  <CharactersWithSpaces>202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2024-05-16T11:16:00Z</dcterms:created>
  <dc:creator>zcgl</dc:creator>
  <cp:lastModifiedBy>Qxb</cp:lastModifiedBy>
  <dcterms:modified xsi:type="dcterms:W3CDTF">2024-11-18T14:23:04Z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03F98B8A65C1445693879175938B36A9_12</vt:lpwstr>
  </property>
</Properties>
</file>