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B0C70">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30CB6F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069339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ABE474D">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70AC5B82">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4B68E9DA">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517A391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1B99D2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182AE65">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F7A081E">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72138F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A135F39">
      <w:pPr>
        <w:keepNext w:val="0"/>
        <w:keepLines w:val="0"/>
        <w:pageBreakBefore w:val="0"/>
        <w:widowControl w:val="0"/>
        <w:kinsoku/>
        <w:wordWrap/>
        <w:overflowPunct/>
        <w:topLinePunct w:val="0"/>
        <w:autoSpaceDE/>
        <w:autoSpaceDN/>
        <w:bidi w:val="0"/>
        <w:adjustRightInd/>
        <w:snapToGrid/>
        <w:spacing w:line="560" w:lineRule="exact"/>
        <w:ind w:left="1920" w:leftChars="533" w:hanging="321" w:hangingChars="100"/>
        <w:textAlignment w:val="auto"/>
        <w:rPr>
          <w:rFonts w:hint="eastAsia" w:ascii="宋体" w:hAnsi="宋体"/>
          <w:sz w:val="28"/>
          <w:szCs w:val="28"/>
          <w:lang w:eastAsia="zh-CN"/>
        </w:rPr>
      </w:pPr>
      <w:r>
        <w:rPr>
          <w:rFonts w:hint="eastAsia" w:ascii="宋体" w:hAnsi="宋体" w:eastAsia="宋体" w:cs="仿宋_GB2312"/>
          <w:b/>
          <w:bCs/>
          <w:color w:val="000000"/>
          <w:kern w:val="0"/>
          <w:sz w:val="32"/>
          <w:szCs w:val="32"/>
        </w:rPr>
        <w:t>项目名称：</w:t>
      </w:r>
      <w:r>
        <w:rPr>
          <w:rFonts w:hint="eastAsia" w:ascii="宋体" w:hAnsi="宋体"/>
          <w:sz w:val="28"/>
          <w:szCs w:val="28"/>
          <w:lang w:eastAsia="zh-CN"/>
        </w:rPr>
        <w:t>（上年结转）国家级非遗代表性项目《江格尔》补助费</w:t>
      </w:r>
    </w:p>
    <w:p w14:paraId="0C7723E9">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sz w:val="28"/>
          <w:szCs w:val="28"/>
          <w:lang w:eastAsia="zh-CN"/>
        </w:rPr>
        <w:t>新疆</w:t>
      </w:r>
      <w:r>
        <w:rPr>
          <w:rFonts w:hint="eastAsia" w:ascii="宋体" w:hAnsi="宋体"/>
          <w:sz w:val="28"/>
          <w:szCs w:val="28"/>
          <w:lang w:val="en-US" w:eastAsia="zh-CN"/>
        </w:rPr>
        <w:t xml:space="preserve">巴州文化馆 </w:t>
      </w:r>
    </w:p>
    <w:p w14:paraId="69731569">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sz w:val="28"/>
          <w:szCs w:val="28"/>
          <w:lang w:eastAsia="zh-CN"/>
        </w:rPr>
        <w:t>新疆巴州文化体育广播电视和旅游局</w:t>
      </w:r>
    </w:p>
    <w:p w14:paraId="6594259C">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hint="eastAsia" w:ascii="宋体" w:hAnsi="宋体"/>
          <w:sz w:val="28"/>
          <w:szCs w:val="28"/>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sz w:val="28"/>
          <w:szCs w:val="28"/>
          <w:lang w:val="en-US" w:eastAsia="zh-CN"/>
        </w:rPr>
        <w:t>傲图红</w:t>
      </w:r>
    </w:p>
    <w:p w14:paraId="172562FD">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sz w:val="28"/>
          <w:szCs w:val="28"/>
        </w:rPr>
      </w:pPr>
      <w:r>
        <w:rPr>
          <w:rFonts w:hint="eastAsia" w:ascii="宋体" w:hAnsi="宋体" w:eastAsia="宋体" w:cs="仿宋_GB2312"/>
          <w:b/>
          <w:bCs/>
          <w:color w:val="000000"/>
          <w:kern w:val="0"/>
          <w:sz w:val="32"/>
          <w:szCs w:val="32"/>
        </w:rPr>
        <w:t>填报时间：</w:t>
      </w:r>
      <w:r>
        <w:rPr>
          <w:rFonts w:hint="eastAsia" w:ascii="宋体" w:hAnsi="宋体"/>
          <w:sz w:val="28"/>
          <w:szCs w:val="28"/>
          <w:lang w:val="en-US" w:eastAsia="zh-CN"/>
        </w:rPr>
        <w:t>2024</w:t>
      </w:r>
      <w:r>
        <w:rPr>
          <w:rFonts w:hint="eastAsia" w:ascii="宋体" w:hAnsi="宋体" w:eastAsia="宋体"/>
          <w:sz w:val="28"/>
          <w:szCs w:val="28"/>
        </w:rPr>
        <w:t xml:space="preserve">年 </w:t>
      </w:r>
      <w:r>
        <w:rPr>
          <w:rFonts w:hint="eastAsia" w:ascii="宋体" w:hAnsi="宋体"/>
          <w:sz w:val="28"/>
          <w:szCs w:val="28"/>
          <w:lang w:val="en-US" w:eastAsia="zh-CN"/>
        </w:rPr>
        <w:t xml:space="preserve">5 </w:t>
      </w:r>
      <w:r>
        <w:rPr>
          <w:rFonts w:hint="eastAsia" w:ascii="宋体" w:hAnsi="宋体" w:eastAsia="宋体"/>
          <w:sz w:val="28"/>
          <w:szCs w:val="28"/>
        </w:rPr>
        <w:t xml:space="preserve">月 </w:t>
      </w:r>
      <w:r>
        <w:rPr>
          <w:rFonts w:hint="eastAsia" w:ascii="宋体" w:hAnsi="宋体"/>
          <w:sz w:val="28"/>
          <w:szCs w:val="28"/>
          <w:lang w:val="en-US" w:eastAsia="zh-CN"/>
        </w:rPr>
        <w:t xml:space="preserve">7 </w:t>
      </w:r>
      <w:r>
        <w:rPr>
          <w:rFonts w:hint="eastAsia" w:ascii="宋体" w:hAnsi="宋体" w:eastAsia="宋体"/>
          <w:sz w:val="28"/>
          <w:szCs w:val="28"/>
        </w:rPr>
        <w:t>日</w:t>
      </w:r>
    </w:p>
    <w:p w14:paraId="7C2FF47B">
      <w:pPr>
        <w:pageBreakBefore w:val="0"/>
        <w:kinsoku/>
        <w:wordWrap/>
        <w:overflowPunct/>
        <w:topLinePunct w:val="0"/>
        <w:autoSpaceDE/>
        <w:autoSpaceDN/>
        <w:bidi w:val="0"/>
        <w:adjustRightInd/>
        <w:snapToGrid/>
        <w:spacing w:line="560" w:lineRule="exact"/>
        <w:ind w:firstLine="1600" w:firstLineChars="500"/>
        <w:textAlignment w:val="auto"/>
        <w:rPr>
          <w:rFonts w:ascii="宋体" w:hAnsi="宋体" w:eastAsia="宋体" w:cs="仿宋_GB2312"/>
          <w:color w:val="000000"/>
          <w:kern w:val="0"/>
          <w:sz w:val="32"/>
          <w:szCs w:val="32"/>
        </w:rPr>
      </w:pPr>
    </w:p>
    <w:p w14:paraId="2B1F21EF">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374DD560">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F4BB176">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76E9DC3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7B6A1ED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2B9E5F1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5E86BBA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664B504F">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leftChars="0" w:right="0"/>
        <w:textAlignment w:val="auto"/>
        <w:rPr>
          <w:rFonts w:hint="default" w:ascii="仿宋_GB2312" w:hAnsi="Times New Roman" w:eastAsia="仿宋_GB2312" w:cs="Times New Roman"/>
          <w:kern w:val="2"/>
          <w:sz w:val="30"/>
          <w:szCs w:val="24"/>
          <w:highlight w:val="none"/>
          <w:lang w:val="en-US" w:eastAsia="zh-CN" w:bidi="ar-SA"/>
        </w:rPr>
      </w:pPr>
      <w:r>
        <w:rPr>
          <w:rFonts w:hint="eastAsia" w:ascii="仿宋_GB2312"/>
          <w:highlight w:val="none"/>
          <w:lang w:val="en-US" w:eastAsia="zh-CN"/>
        </w:rPr>
        <w:t xml:space="preserve">    </w:t>
      </w:r>
      <w:r>
        <w:rPr>
          <w:rFonts w:hint="eastAsia" w:ascii="仿宋_GB2312" w:hAnsi="Times New Roman" w:eastAsia="仿宋_GB2312" w:cs="Times New Roman"/>
          <w:kern w:val="2"/>
          <w:sz w:val="30"/>
          <w:szCs w:val="24"/>
          <w:highlight w:val="none"/>
          <w:lang w:val="en-US" w:eastAsia="zh-CN" w:bidi="ar-SA"/>
        </w:rPr>
        <w:t xml:space="preserve"> 根据新财教（2022）50号巴财教（2022）86号文下达国家非物质文化遗产保护资金，在开展国家级非遗项目-江格尔项目进行传承保护，按照《</w:t>
      </w:r>
      <w:r>
        <w:rPr>
          <w:rFonts w:hint="eastAsia" w:ascii="仿宋_GB2312" w:cs="Times New Roman"/>
          <w:kern w:val="2"/>
          <w:sz w:val="30"/>
          <w:szCs w:val="24"/>
          <w:highlight w:val="none"/>
          <w:lang w:val="en-US" w:eastAsia="zh-CN" w:bidi="ar-SA"/>
        </w:rPr>
        <w:t>中华人民共和国预算法</w:t>
      </w:r>
      <w:bookmarkStart w:id="21" w:name="_GoBack"/>
      <w:bookmarkEnd w:id="21"/>
      <w:r>
        <w:rPr>
          <w:rFonts w:hint="eastAsia" w:ascii="仿宋_GB2312" w:hAnsi="Times New Roman" w:eastAsia="仿宋_GB2312" w:cs="Times New Roman"/>
          <w:kern w:val="2"/>
          <w:sz w:val="30"/>
          <w:szCs w:val="24"/>
          <w:highlight w:val="none"/>
          <w:lang w:val="en-US" w:eastAsia="zh-CN" w:bidi="ar-SA"/>
        </w:rPr>
        <w:t>》及其实施条例，《中华人民共和国非物质文化遗产法》等法律法规和国家预算有关规定，结合我国费物质文化遗传保护工作实际，设立此项目。</w:t>
      </w:r>
    </w:p>
    <w:p w14:paraId="4315C88B">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0D475D7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rPr>
        <w:t>主要内容：</w:t>
      </w:r>
      <w:r>
        <w:rPr>
          <w:rFonts w:hint="eastAsia" w:ascii="仿宋_GB2312"/>
          <w:highlight w:val="none"/>
          <w:lang w:val="en-US" w:eastAsia="zh-CN"/>
        </w:rPr>
        <w:t>为</w:t>
      </w:r>
      <w:r>
        <w:rPr>
          <w:rFonts w:hint="eastAsia" w:ascii="仿宋_GB2312" w:hAnsi="Times New Roman" w:eastAsia="仿宋_GB2312" w:cs="Times New Roman"/>
          <w:kern w:val="2"/>
          <w:sz w:val="30"/>
          <w:szCs w:val="24"/>
          <w:highlight w:val="none"/>
          <w:lang w:val="en-US" w:eastAsia="zh-CN" w:bidi="ar-SA"/>
        </w:rPr>
        <w:t>了</w:t>
      </w:r>
      <w:r>
        <w:rPr>
          <w:rFonts w:hint="eastAsia" w:ascii="仿宋_GB2312" w:cs="Times New Roman"/>
          <w:kern w:val="2"/>
          <w:sz w:val="30"/>
          <w:szCs w:val="24"/>
          <w:highlight w:val="none"/>
          <w:lang w:val="en-US" w:eastAsia="zh-CN" w:bidi="ar-SA"/>
        </w:rPr>
        <w:t>更好的推展非遗工作</w:t>
      </w:r>
      <w:r>
        <w:rPr>
          <w:rFonts w:hint="eastAsia" w:ascii="仿宋_GB2312" w:hAnsi="Times New Roman" w:eastAsia="仿宋_GB2312" w:cs="Times New Roman"/>
          <w:kern w:val="2"/>
          <w:sz w:val="30"/>
          <w:szCs w:val="24"/>
          <w:highlight w:val="none"/>
          <w:lang w:val="en-US" w:eastAsia="zh-CN" w:bidi="ar-SA"/>
        </w:rPr>
        <w:t>，</w:t>
      </w:r>
      <w:r>
        <w:rPr>
          <w:rFonts w:hint="eastAsia" w:ascii="仿宋_GB2312" w:cs="Times New Roman"/>
          <w:kern w:val="2"/>
          <w:sz w:val="30"/>
          <w:szCs w:val="24"/>
          <w:highlight w:val="none"/>
          <w:lang w:val="en-US" w:eastAsia="zh-CN" w:bidi="ar-SA"/>
        </w:rPr>
        <w:t>让更多人的人了解非遗项目，传承优秀文化，巴州文化馆对国家级1个非遗项目《江格尔》传承保护。</w:t>
      </w:r>
      <w:r>
        <w:rPr>
          <w:rFonts w:hint="eastAsia" w:ascii="仿宋_GB2312"/>
          <w:highlight w:val="none"/>
          <w:lang w:val="en-US" w:eastAsia="zh-CN"/>
        </w:rPr>
        <w:t>有效推动非遗保护传承工作。让大家近距离体验家乡文化遗产魅力，进一步激发各族群众热爱优秀传统文化的热情，增强保护文化遗产的自觉性，大力营造全社会关注、挖掘、保护和传承文化遗产的良好氛围。</w:t>
      </w:r>
    </w:p>
    <w:p w14:paraId="630FCA9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s="Times New Roman"/>
          <w:kern w:val="2"/>
          <w:sz w:val="30"/>
          <w:szCs w:val="24"/>
          <w:highlight w:val="none"/>
          <w:lang w:val="en-US" w:eastAsia="zh-CN" w:bidi="ar-SA"/>
        </w:rPr>
      </w:pPr>
      <w:r>
        <w:rPr>
          <w:rFonts w:hint="eastAsia" w:ascii="仿宋_GB2312"/>
          <w:highlight w:val="none"/>
        </w:rPr>
        <w:t>实施情况：</w:t>
      </w:r>
      <w:r>
        <w:rPr>
          <w:rFonts w:hint="eastAsia" w:ascii="仿宋_GB2312" w:hAnsi="Times New Roman" w:eastAsia="仿宋_GB2312" w:cs="Times New Roman"/>
          <w:kern w:val="2"/>
          <w:sz w:val="30"/>
          <w:szCs w:val="24"/>
          <w:highlight w:val="none"/>
          <w:lang w:val="en-US" w:eastAsia="zh-CN" w:bidi="ar-SA"/>
        </w:rPr>
        <w:t>根据</w:t>
      </w:r>
      <w:r>
        <w:rPr>
          <w:rFonts w:hint="eastAsia" w:ascii="仿宋_GB2312" w:cs="Times New Roman"/>
          <w:kern w:val="2"/>
          <w:sz w:val="30"/>
          <w:szCs w:val="24"/>
          <w:highlight w:val="none"/>
          <w:lang w:val="en-US" w:eastAsia="zh-CN" w:bidi="ar-SA"/>
        </w:rPr>
        <w:t>工作计划</w:t>
      </w:r>
      <w:r>
        <w:rPr>
          <w:rFonts w:hint="eastAsia" w:ascii="仿宋_GB2312" w:hAnsi="Times New Roman" w:eastAsia="仿宋_GB2312" w:cs="Times New Roman"/>
          <w:kern w:val="2"/>
          <w:sz w:val="30"/>
          <w:szCs w:val="24"/>
          <w:highlight w:val="none"/>
          <w:lang w:val="en-US" w:eastAsia="zh-CN" w:bidi="ar-SA"/>
        </w:rPr>
        <w:t>，已支付</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万，完成1个</w:t>
      </w:r>
      <w:r>
        <w:rPr>
          <w:rFonts w:hint="eastAsia" w:ascii="仿宋_GB2312" w:cs="Times New Roman"/>
          <w:kern w:val="2"/>
          <w:sz w:val="30"/>
          <w:szCs w:val="24"/>
          <w:highlight w:val="none"/>
          <w:lang w:val="en-US" w:eastAsia="zh-CN" w:bidi="ar-SA"/>
        </w:rPr>
        <w:t>国家级非遗项目传承，举办非遗培训1次，参加人数20人，邀请八县一市非遗传承人参加培训，有效提升了我州传承人群的学习能力、传承水平，进而提高了非遗项目《江格尔》的知名度。</w:t>
      </w:r>
    </w:p>
    <w:p w14:paraId="116C274B">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1DFA26C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万元，全年预算数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万元，实际总投入</w:t>
      </w:r>
      <w:r>
        <w:rPr>
          <w:rFonts w:hint="eastAsia" w:ascii="仿宋_GB2312" w:cs="Times New Roman"/>
          <w:kern w:val="2"/>
          <w:sz w:val="30"/>
          <w:szCs w:val="24"/>
          <w:highlight w:val="none"/>
          <w:lang w:val="en-US" w:eastAsia="zh-CN" w:bidi="ar-SA"/>
        </w:rPr>
        <w:t>55</w:t>
      </w:r>
      <w:r>
        <w:rPr>
          <w:rFonts w:hint="eastAsia"/>
          <w:lang w:val="en-US" w:eastAsia="zh-CN"/>
        </w:rPr>
        <w:t>万元</w:t>
      </w:r>
      <w:r>
        <w:rPr>
          <w:rFonts w:hint="eastAsia" w:ascii="仿宋_GB2312" w:hAnsi="Times New Roman" w:eastAsia="仿宋_GB2312" w:cs="Times New Roman"/>
          <w:kern w:val="2"/>
          <w:sz w:val="30"/>
          <w:szCs w:val="24"/>
          <w:highlight w:val="none"/>
          <w:lang w:val="en-US" w:eastAsia="zh-CN" w:bidi="ar-SA"/>
        </w:rPr>
        <w:t>，该项目资金已全部落实到位，资金来源为上级转移专项资金。</w:t>
      </w:r>
    </w:p>
    <w:p w14:paraId="2F59C1F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万元，全年预算数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万元，全年执行数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万元，预算执行率为100%。</w:t>
      </w:r>
    </w:p>
    <w:p w14:paraId="67331C52">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5FEF00BD">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rPr>
        <w:t>1</w:t>
      </w:r>
      <w:r>
        <w:rPr>
          <w:rFonts w:hint="eastAsia"/>
          <w:lang w:val="en-US" w:eastAsia="zh-CN"/>
        </w:rPr>
        <w:t>.</w:t>
      </w:r>
      <w:r>
        <w:rPr>
          <w:rFonts w:hint="eastAsia"/>
        </w:rPr>
        <w:t>总体目标：</w:t>
      </w:r>
      <w:r>
        <w:rPr>
          <w:rFonts w:hint="eastAsia"/>
          <w:lang w:val="en-US" w:eastAsia="zh-CN"/>
        </w:rPr>
        <w:t>对国家级非遗代表作项目保护，年度进行补助，推动非遗保护传承工作。非遗是智慧凝结的财富，既是前人创造力的珍贵结晶，也是未来创造力的重要源泉，希望更多的非遗项目被更多的人看到，了解非遗。</w:t>
      </w:r>
    </w:p>
    <w:p w14:paraId="6079399C">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2.阶段性目标：</w:t>
      </w:r>
      <w:r>
        <w:rPr>
          <w:rFonts w:hint="eastAsia" w:ascii="仿宋_GB2312" w:hAnsi="Times New Roman" w:eastAsia="仿宋_GB2312" w:cs="Times New Roman"/>
          <w:kern w:val="2"/>
          <w:sz w:val="30"/>
          <w:szCs w:val="24"/>
          <w:highlight w:val="none"/>
          <w:lang w:val="en-US" w:eastAsia="zh-CN" w:bidi="ar-SA"/>
        </w:rPr>
        <w:t>根据</w:t>
      </w:r>
      <w:r>
        <w:rPr>
          <w:rFonts w:hint="eastAsia" w:ascii="仿宋_GB2312" w:cs="Times New Roman"/>
          <w:kern w:val="2"/>
          <w:sz w:val="30"/>
          <w:szCs w:val="24"/>
          <w:highlight w:val="none"/>
          <w:lang w:val="en-US" w:eastAsia="zh-CN" w:bidi="ar-SA"/>
        </w:rPr>
        <w:t>工作计划</w:t>
      </w:r>
      <w:r>
        <w:rPr>
          <w:rFonts w:hint="eastAsia" w:ascii="仿宋_GB2312" w:hAnsi="Times New Roman" w:eastAsia="仿宋_GB2312" w:cs="Times New Roman"/>
          <w:kern w:val="2"/>
          <w:sz w:val="30"/>
          <w:szCs w:val="24"/>
          <w:highlight w:val="none"/>
          <w:lang w:val="en-US" w:eastAsia="zh-CN" w:bidi="ar-SA"/>
        </w:rPr>
        <w:t>，</w:t>
      </w:r>
      <w:r>
        <w:rPr>
          <w:rFonts w:hint="eastAsia" w:ascii="仿宋_GB2312" w:cs="Times New Roman"/>
          <w:kern w:val="2"/>
          <w:sz w:val="30"/>
          <w:szCs w:val="24"/>
          <w:highlight w:val="none"/>
          <w:lang w:val="en-US" w:eastAsia="zh-CN" w:bidi="ar-SA"/>
        </w:rPr>
        <w:t>上半年前期结合非遗科、各县市非遗传承人联系，制定非遗培训计划，邀请专业老师授课，</w:t>
      </w:r>
      <w:r>
        <w:rPr>
          <w:rFonts w:hint="eastAsia" w:ascii="仿宋_GB2312" w:hAnsi="仿宋_GB2312" w:eastAsia="仿宋_GB2312" w:cs="仿宋_GB2312"/>
          <w:sz w:val="32"/>
          <w:szCs w:val="32"/>
        </w:rPr>
        <w:t>传承人和爱好者</w:t>
      </w:r>
      <w:r>
        <w:rPr>
          <w:rFonts w:hint="eastAsia" w:ascii="仿宋_GB2312" w:hAnsi="仿宋_GB2312" w:cs="仿宋_GB2312"/>
          <w:sz w:val="32"/>
          <w:szCs w:val="32"/>
          <w:lang w:eastAsia="zh-CN"/>
        </w:rPr>
        <w:t>积极参加，同时通过“</w:t>
      </w:r>
      <w:r>
        <w:rPr>
          <w:rFonts w:hint="eastAsia" w:ascii="仿宋_GB2312" w:hAnsi="仿宋_GB2312" w:eastAsia="仿宋_GB2312" w:cs="仿宋_GB2312"/>
          <w:sz w:val="32"/>
          <w:szCs w:val="32"/>
        </w:rPr>
        <w:t>自治州2023年‘江格尔’比赛活动</w:t>
      </w:r>
      <w:r>
        <w:rPr>
          <w:rFonts w:hint="eastAsia" w:ascii="仿宋_GB2312" w:hAnsi="仿宋_GB2312" w:cs="仿宋_GB2312"/>
          <w:sz w:val="32"/>
          <w:szCs w:val="32"/>
          <w:lang w:eastAsia="zh-CN"/>
        </w:rPr>
        <w:t>”，让大家积极参与进来。下半年，购买相关非遗产品，包括制作非遗文创产品，购买服装，通过政府采购方式进行采购，丰富非遗资源，</w:t>
      </w:r>
      <w:r>
        <w:rPr>
          <w:rFonts w:hint="eastAsia" w:ascii="仿宋_GB2312" w:cs="Times New Roman"/>
          <w:kern w:val="2"/>
          <w:sz w:val="30"/>
          <w:szCs w:val="24"/>
          <w:highlight w:val="none"/>
          <w:lang w:val="en-US" w:eastAsia="zh-CN" w:bidi="ar-SA"/>
        </w:rPr>
        <w:t>有效提升了我州传承人群的学习能力、传承水平，进而提高了非遗项目《江格尔》的知名度。</w:t>
      </w:r>
    </w:p>
    <w:p w14:paraId="6203385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4EA6AAB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050AA5F8">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7387C8D0">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D23DC07">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23C181F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sz w:val="28"/>
          <w:szCs w:val="28"/>
        </w:rPr>
      </w:pPr>
      <w:r>
        <w:rPr>
          <w:rFonts w:hint="eastAsia" w:ascii="宋体" w:hAnsi="宋体"/>
          <w:sz w:val="28"/>
          <w:szCs w:val="28"/>
          <w:lang w:eastAsia="zh-CN"/>
        </w:rPr>
        <w:t>（上年结转）国家级非遗代表性项目《江格尔》补助费</w:t>
      </w:r>
    </w:p>
    <w:p w14:paraId="38D5E044">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504BC04E">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本次评价从项目决策（包括绩效目标、决策过程）、项目管理（包括项目资金、项目实施）、项目产出（包括项目产出数量、产出质量、产出时效和产出成本）项目效益四个维度进行</w:t>
      </w:r>
      <w:r>
        <w:rPr>
          <w:rFonts w:hint="eastAsia" w:ascii="宋体" w:hAnsi="宋体"/>
          <w:sz w:val="28"/>
          <w:szCs w:val="28"/>
          <w:lang w:eastAsia="zh-CN"/>
        </w:rPr>
        <w:t>（上年结转）国家级非遗代表性项目《江格尔》补助费</w:t>
      </w:r>
      <w:r>
        <w:rPr>
          <w:rFonts w:hint="eastAsia"/>
          <w:lang w:val="en-US" w:eastAsia="zh-CN"/>
        </w:rPr>
        <w:t>评价，评价核心为资金的支出完成情况和效果。</w:t>
      </w:r>
    </w:p>
    <w:p w14:paraId="41115EF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766C747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2205D93D">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0664E8C4">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（一）科学公正。本次项目支出绩效评价运用科学合理的方法，按照规范的程序，对项目绩效进行客观、公正的反映。</w:t>
      </w:r>
    </w:p>
    <w:p w14:paraId="30017528">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（二）统筹兼顾。本次项目支出绩效评价由本单位自主实施，即“谁支出、谁自评”。</w:t>
      </w:r>
    </w:p>
    <w:p w14:paraId="3C1A898E">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（三）激励约束。本次项目支出绩效评价结果与预算安排、政策调整、改进管理实质性挂钩，体现奖优罚劣和激励相容导向，有效要安排、低效要压减、无效要问责。</w:t>
      </w:r>
    </w:p>
    <w:p w14:paraId="3B1D879E">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（四）公开透明。本次项目支出绩效评价结果已依法依规公开在巴州人民政府网网站上，并自觉接受社会监督。</w:t>
      </w:r>
    </w:p>
    <w:p w14:paraId="3808947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w:t>
      </w:r>
    </w:p>
    <w:p w14:paraId="3D7CEFF7">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7A9DAA9F">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26679EA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F29B85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60BCF89F">
      <w:pPr>
        <w:pageBreakBefore w:val="0"/>
        <w:kinsoku/>
        <w:wordWrap/>
        <w:overflowPunct/>
        <w:topLinePunct w:val="0"/>
        <w:autoSpaceDE/>
        <w:autoSpaceDN/>
        <w:bidi w:val="0"/>
        <w:adjustRightInd/>
        <w:snapToGrid/>
        <w:spacing w:line="560" w:lineRule="exact"/>
        <w:ind w:firstLine="708" w:firstLineChars="200"/>
        <w:textAlignment w:val="auto"/>
        <w:rPr>
          <w:rFonts w:hint="eastAsia"/>
          <w:lang w:val="en-US" w:eastAsia="zh-CN"/>
        </w:rPr>
      </w:pPr>
      <w:r>
        <w:rPr>
          <w:rFonts w:eastAsia="仿宋_GB2312"/>
          <w:color w:val="000000"/>
          <w:spacing w:val="17"/>
          <w:sz w:val="32"/>
          <w:szCs w:val="32"/>
        </w:rPr>
        <w:t>确定各个指标相对于项目总体绩效的权重分值。在绩效评价指标体系中，</w:t>
      </w:r>
      <w:r>
        <w:rPr>
          <w:rFonts w:hint="eastAsia"/>
          <w:lang w:val="en-US" w:eastAsia="zh-CN"/>
        </w:rPr>
        <w:t>项目决策权重为20分，项目过程权重为20分，项目产出权重为40分，项目效益权重为20分。</w:t>
      </w:r>
    </w:p>
    <w:p w14:paraId="46D338A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609321EA">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67B24FB">
      <w:pPr>
        <w:pStyle w:val="1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625117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553088DE">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绩效评价从项目决策、项目过程、项目产出、项目效益四个维度进行评价。评价对象为项目目标实施情况，评价核心为资金的支出完成情况和项目的产出效益。</w:t>
      </w:r>
    </w:p>
    <w:p w14:paraId="5B9CB7D0">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本次评价指标中，既有定性指标又有定量指标，各类指标因考核内容不同和客观标准不同存在较大差异，因此核定具体指标时采用了不同方法，具体评价方法为因素分析法。</w:t>
      </w:r>
    </w:p>
    <w:p w14:paraId="7B9C500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348A6606">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绩效评价标准通常包括计划标准、行业标准、历史标准等，用于对绩效指标完成情况进行比较、分析、评价。本次评价主要采用了计划标准。</w:t>
      </w:r>
    </w:p>
    <w:p w14:paraId="5D1434D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24C8B6F0">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bookmarkStart w:id="7" w:name="_Toc68703834"/>
      <w:r>
        <w:rPr>
          <w:rFonts w:hint="eastAsia"/>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14:paraId="5CE633F4">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14:paraId="0C6271BD">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64040B7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115D212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3315497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4F9C0338">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0CB23E9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3586763B">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lang w:val="en-US" w:eastAsia="zh-CN"/>
        </w:rPr>
        <w:t>总得分为100分，属于“优”。其中，项目决策类指标权重为20分，得分为 20分，得分率为 100%。项目过程类指标权重为20分，得分为20分，得分率为100%。项目产出类指标权重为40分，得分为40分，得分率为100%。项目效益类指标权重为20分，得分为20分，得分率为100%。</w:t>
      </w:r>
    </w:p>
    <w:p w14:paraId="0D08DC9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4BFA7456">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4767C85B">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lang w:val="en-US" w:eastAsia="zh-CN"/>
        </w:rPr>
      </w:pPr>
      <w:r>
        <w:rPr>
          <w:rFonts w:hint="eastAsia"/>
          <w:lang w:val="en-US" w:eastAsia="zh-CN"/>
        </w:rPr>
        <w:t>（上年结转）国家级非遗代表性项目《江格尔》补助费项目评价得分情况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16FD7F3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077D55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8113260">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C4F2992">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299A76E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30088D4">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C14211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D1FC24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52D4715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863D9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EDFE2E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569D9D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34D3AE5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F4073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9CDE81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FF86B2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7BDE105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45DFE20">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EEE1FE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8D4C1A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0D7AF10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0148E1">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B79363A">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A7A2FBB">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3931F49F">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14:paraId="6625BA4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1440ECC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3739D43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4387D60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cs="Times New Roman"/>
          <w:kern w:val="2"/>
          <w:sz w:val="30"/>
          <w:szCs w:val="24"/>
          <w:highlight w:val="none"/>
          <w:lang w:val="en-US" w:eastAsia="zh-CN" w:bidi="ar-SA"/>
        </w:rPr>
      </w:pPr>
      <w:r>
        <w:rPr>
          <w:rFonts w:hint="eastAsia"/>
          <w:lang w:val="en-US" w:eastAsia="zh-CN"/>
        </w:rPr>
        <w:t>项目立项</w:t>
      </w:r>
      <w:r>
        <w:rPr>
          <w:rFonts w:hint="eastAsia" w:ascii="仿宋_GB2312" w:hAnsi="Times New Roman" w:eastAsia="仿宋_GB2312" w:cs="Times New Roman"/>
          <w:kern w:val="2"/>
          <w:sz w:val="30"/>
          <w:szCs w:val="24"/>
          <w:highlight w:val="none"/>
          <w:lang w:val="en-US" w:eastAsia="zh-CN" w:bidi="ar-SA"/>
        </w:rPr>
        <w:t>根据新财教（2022）50号巴财教（2022）86号文下达国家非物质文化遗产保护资金</w:t>
      </w:r>
      <w:r>
        <w:rPr>
          <w:rFonts w:hint="eastAsia" w:ascii="仿宋_GB2312" w:cs="Times New Roman"/>
          <w:kern w:val="2"/>
          <w:sz w:val="30"/>
          <w:szCs w:val="24"/>
          <w:highlight w:val="none"/>
          <w:lang w:val="en-US" w:eastAsia="zh-CN" w:bidi="ar-SA"/>
        </w:rPr>
        <w:t>通知立项。</w:t>
      </w:r>
    </w:p>
    <w:p w14:paraId="3E93B4C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5F17455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4D072A7F">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0058583">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74F843C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7623C8B5">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（上年结转）国家级非遗代表性项目《江格尔》补助费项目设立了项目绩效目标，与文化馆</w:t>
      </w:r>
      <w:r>
        <w:rPr>
          <w:rFonts w:hint="default" w:ascii="Times New Roman" w:hAnsi="Times New Roman" w:eastAsia="仿宋_GB2312" w:cs="Times New Roman"/>
          <w:b w:val="0"/>
          <w:bCs w:val="0"/>
          <w:kern w:val="2"/>
          <w:sz w:val="30"/>
          <w:szCs w:val="24"/>
          <w:lang w:val="en-US" w:eastAsia="zh-CN" w:bidi="ar-SA"/>
        </w:rPr>
        <w:t>事业发展规划和政策要求</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具有相关性，项目的预期产出效益和效果也均能符合正常的业绩水平，并且与预算确定的项目投资额或资金量相匹配。</w:t>
      </w:r>
    </w:p>
    <w:p w14:paraId="62DFCF8D">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36836FD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12482157">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ascii="Times New Roman" w:hAnsi="Times New Roman" w:eastAsia="仿宋_GB2312" w:cs="Times New Roman"/>
          <w:b w:val="0"/>
          <w:bCs w:val="0"/>
          <w:kern w:val="2"/>
          <w:sz w:val="30"/>
          <w:szCs w:val="24"/>
          <w:lang w:val="en-US" w:eastAsia="zh-CN" w:bidi="ar-SA"/>
        </w:rPr>
        <w:t>（上年结转）国家级非遗代表性项目《江格尔》补助费项目将项目绩效目标细化分解为具体的绩效指标，一级指标共4条，二级指标共5条，三级指标共8条，其中量化指标条数共8条，所有绩效指标均通过清晰、可衡量的指标值予以体现，并且做到了与项目目标任务数或计划数相对应。</w:t>
      </w:r>
      <w:bookmarkEnd w:id="12"/>
    </w:p>
    <w:p w14:paraId="6560ACA8">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5A388510">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5.预算编制科学性</w:t>
      </w:r>
    </w:p>
    <w:p w14:paraId="1E748D0D">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该项目预算编制合理，经过科学论证，预算内容与项目内容匹配，预算额度测算依据充分，按照标准编制，预算确定的项目投资金量与工作任务相匹配。</w:t>
      </w:r>
    </w:p>
    <w:p w14:paraId="1D791887">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07C1ADC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69F9DCC1">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预算资金分配</w:t>
      </w:r>
      <w:r>
        <w:rPr>
          <w:rFonts w:hint="eastAsia" w:cs="Times New Roman"/>
          <w:b w:val="0"/>
          <w:bCs w:val="0"/>
          <w:kern w:val="2"/>
          <w:sz w:val="30"/>
          <w:szCs w:val="24"/>
          <w:lang w:val="en-US" w:eastAsia="zh-CN" w:bidi="ar-SA"/>
        </w:rPr>
        <w:t>55</w:t>
      </w:r>
      <w:r>
        <w:rPr>
          <w:rFonts w:hint="default" w:ascii="Times New Roman" w:hAnsi="Times New Roman" w:eastAsia="仿宋_GB2312" w:cs="Times New Roman"/>
          <w:b w:val="0"/>
          <w:bCs w:val="0"/>
          <w:kern w:val="2"/>
          <w:sz w:val="30"/>
          <w:szCs w:val="24"/>
          <w:lang w:val="en-US" w:eastAsia="zh-CN" w:bidi="ar-SA"/>
        </w:rPr>
        <w:t>万元，</w:t>
      </w:r>
      <w:r>
        <w:rPr>
          <w:rFonts w:hint="eastAsia" w:cs="Times New Roman"/>
          <w:b w:val="0"/>
          <w:bCs w:val="0"/>
          <w:kern w:val="2"/>
          <w:sz w:val="30"/>
          <w:szCs w:val="24"/>
          <w:lang w:val="en-US" w:eastAsia="zh-CN" w:bidi="ar-SA"/>
        </w:rPr>
        <w:t>其中：</w:t>
      </w:r>
      <w:r>
        <w:rPr>
          <w:rFonts w:hint="eastAsia" w:ascii="仿宋_GB2312" w:hAnsi="仿宋_GB2312" w:cs="仿宋_GB2312"/>
          <w:b w:val="0"/>
          <w:bCs w:val="0"/>
          <w:color w:val="auto"/>
          <w:spacing w:val="0"/>
          <w:w w:val="100"/>
          <w:kern w:val="2"/>
          <w:position w:val="0"/>
          <w:sz w:val="32"/>
          <w:szCs w:val="32"/>
          <w:lang w:val="en-US" w:eastAsia="zh-CN" w:bidi="ar-SA"/>
        </w:rPr>
        <w:t>《江格尔》举办培训支出3.98万元，购买《江格尔》服装、文创产品等支出51.02万元，</w:t>
      </w:r>
      <w:r>
        <w:rPr>
          <w:rFonts w:hint="default" w:ascii="Times New Roman" w:hAnsi="Times New Roman" w:eastAsia="仿宋_GB2312" w:cs="Times New Roman"/>
          <w:b w:val="0"/>
          <w:bCs w:val="0"/>
          <w:kern w:val="2"/>
          <w:sz w:val="30"/>
          <w:szCs w:val="24"/>
          <w:lang w:val="en-US" w:eastAsia="zh-CN" w:bidi="ar-SA"/>
        </w:rPr>
        <w:t>预算资金分配依据充分，资金分配额度合理，与我</w:t>
      </w:r>
      <w:r>
        <w:rPr>
          <w:rFonts w:hint="eastAsia" w:ascii="Times New Roman" w:hAnsi="Times New Roman" w:eastAsia="仿宋_GB2312" w:cs="Times New Roman"/>
          <w:b w:val="0"/>
          <w:bCs w:val="0"/>
          <w:kern w:val="2"/>
          <w:sz w:val="30"/>
          <w:szCs w:val="24"/>
          <w:lang w:val="en-US" w:eastAsia="zh-CN" w:bidi="ar-SA"/>
        </w:rPr>
        <w:t>馆</w:t>
      </w:r>
      <w:r>
        <w:rPr>
          <w:rFonts w:hint="default" w:ascii="Times New Roman" w:hAnsi="Times New Roman" w:eastAsia="仿宋_GB2312" w:cs="Times New Roman"/>
          <w:b w:val="0"/>
          <w:bCs w:val="0"/>
          <w:kern w:val="2"/>
          <w:sz w:val="30"/>
          <w:szCs w:val="24"/>
          <w:lang w:val="en-US" w:eastAsia="zh-CN" w:bidi="ar-SA"/>
        </w:rPr>
        <w:t>实际相适应。</w:t>
      </w:r>
    </w:p>
    <w:p w14:paraId="200784F4">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14:paraId="39BABDA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63EE517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1E0FB70E">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万元，实际到位资金</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万元，资金到位率100%。</w:t>
      </w:r>
    </w:p>
    <w:p w14:paraId="5846C90F">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1454722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00F8F0F7">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年初预算数</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万元，全年预算数</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万元，全年执行数</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万元，预算执行率为100%。</w:t>
      </w:r>
    </w:p>
    <w:p w14:paraId="2F5A6DBC">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63334A0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10761FED">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6F32457">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418CE8F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22C9FCC4">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6EFC3CE8">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07E6039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72F0D93E">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bookmarkStart w:id="14" w:name="_Toc68703840"/>
      <w:r>
        <w:rPr>
          <w:rFonts w:hint="default" w:ascii="Times New Roman" w:hAnsi="Times New Roman" w:eastAsia="仿宋_GB2312" w:cs="Times New Roman"/>
          <w:b w:val="0"/>
          <w:bCs w:val="0"/>
          <w:kern w:val="2"/>
          <w:sz w:val="30"/>
          <w:szCs w:val="24"/>
          <w:lang w:val="en-US" w:eastAsia="zh-CN" w:bidi="ar-SA"/>
        </w:rPr>
        <w:t>遵守相关法律法规和相关管理规定，项目无调整及支出调整手续，项目合同书、验收报告、等资料齐全并及时归档，项目实施的人员条件、场地设备、信息支撑等落实到位。</w:t>
      </w:r>
    </w:p>
    <w:p w14:paraId="249128AC">
      <w:pPr>
        <w:pStyle w:val="12"/>
        <w:ind w:firstLine="600" w:firstLineChars="200"/>
        <w:jc w:val="left"/>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396920E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14:paraId="5676D154">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w:t>
      </w:r>
      <w:r>
        <w:rPr>
          <w:rFonts w:hint="eastAsia"/>
          <w:color w:val="auto"/>
          <w:lang w:val="en-US" w:eastAsia="zh-CN"/>
        </w:rPr>
        <w:t>补助国家级非遗代表性项目个数</w:t>
      </w:r>
      <w:r>
        <w:rPr>
          <w:rFonts w:hint="eastAsia"/>
          <w:color w:val="auto"/>
        </w:rPr>
        <w:t>，指标值：</w:t>
      </w:r>
      <w:r>
        <w:rPr>
          <w:rFonts w:hint="eastAsia"/>
          <w:color w:val="auto"/>
          <w:lang w:val="en-US" w:eastAsia="zh-CN"/>
        </w:rPr>
        <w:t>&gt;=1个</w:t>
      </w:r>
      <w:r>
        <w:rPr>
          <w:rFonts w:hint="eastAsia"/>
          <w:color w:val="auto"/>
        </w:rPr>
        <w:t>，实际完成值</w:t>
      </w:r>
      <w:r>
        <w:rPr>
          <w:rFonts w:hint="eastAsia"/>
          <w:color w:val="auto"/>
          <w:lang w:val="en-US" w:eastAsia="zh-CN"/>
        </w:rPr>
        <w:t>1个</w:t>
      </w:r>
      <w:r>
        <w:rPr>
          <w:rFonts w:hint="eastAsia"/>
          <w:color w:val="auto"/>
        </w:rPr>
        <w:t>，指标完成率</w:t>
      </w:r>
      <w:r>
        <w:rPr>
          <w:rFonts w:hint="eastAsia"/>
          <w:color w:val="auto"/>
          <w:lang w:val="en-US" w:eastAsia="zh-CN"/>
        </w:rPr>
        <w:t>100</w:t>
      </w:r>
      <w:r>
        <w:rPr>
          <w:rFonts w:hint="eastAsia"/>
          <w:color w:val="auto"/>
        </w:rPr>
        <w:t>%；指标2：</w:t>
      </w:r>
      <w:r>
        <w:rPr>
          <w:rFonts w:hint="eastAsia"/>
          <w:color w:val="auto"/>
          <w:lang w:val="en-US" w:eastAsia="zh-CN"/>
        </w:rPr>
        <w:t>开展非遗活动次数</w:t>
      </w:r>
      <w:r>
        <w:rPr>
          <w:rFonts w:hint="eastAsia"/>
          <w:color w:val="auto"/>
        </w:rPr>
        <w:t>，指标值：</w:t>
      </w:r>
      <w:r>
        <w:rPr>
          <w:rFonts w:hint="eastAsia"/>
          <w:color w:val="auto"/>
          <w:lang w:val="en-US" w:eastAsia="zh-CN"/>
        </w:rPr>
        <w:t>&gt;=1次</w:t>
      </w:r>
      <w:r>
        <w:rPr>
          <w:rFonts w:hint="eastAsia"/>
          <w:color w:val="auto"/>
        </w:rPr>
        <w:t>，实际完成值</w:t>
      </w:r>
      <w:r>
        <w:rPr>
          <w:rFonts w:hint="eastAsia"/>
          <w:color w:val="auto"/>
          <w:lang w:val="en-US" w:eastAsia="zh-CN"/>
        </w:rPr>
        <w:t>1次</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3</w:t>
      </w:r>
      <w:r>
        <w:rPr>
          <w:rFonts w:hint="eastAsia"/>
          <w:color w:val="auto"/>
        </w:rPr>
        <w:t>：</w:t>
      </w:r>
      <w:r>
        <w:rPr>
          <w:rFonts w:hint="eastAsia"/>
          <w:color w:val="auto"/>
          <w:lang w:val="en-US" w:eastAsia="zh-CN"/>
        </w:rPr>
        <w:t>参加非遗活动人数</w:t>
      </w:r>
      <w:r>
        <w:rPr>
          <w:rFonts w:hint="eastAsia"/>
          <w:color w:val="auto"/>
        </w:rPr>
        <w:t>，指标值：</w:t>
      </w:r>
      <w:r>
        <w:rPr>
          <w:rFonts w:hint="eastAsia"/>
          <w:color w:val="auto"/>
          <w:lang w:val="en-US" w:eastAsia="zh-CN"/>
        </w:rPr>
        <w:t>&gt;=20人</w:t>
      </w:r>
      <w:r>
        <w:rPr>
          <w:rFonts w:hint="eastAsia"/>
          <w:color w:val="auto"/>
        </w:rPr>
        <w:t>，实际完成值</w:t>
      </w:r>
      <w:r>
        <w:rPr>
          <w:rFonts w:hint="eastAsia"/>
          <w:color w:val="auto"/>
          <w:lang w:val="en-US" w:eastAsia="zh-CN"/>
        </w:rPr>
        <w:t>20人</w:t>
      </w:r>
      <w:r>
        <w:rPr>
          <w:rFonts w:hint="eastAsia"/>
          <w:color w:val="auto"/>
        </w:rPr>
        <w:t>，指标完成率</w:t>
      </w:r>
      <w:r>
        <w:rPr>
          <w:rFonts w:hint="eastAsia"/>
          <w:color w:val="auto"/>
          <w:lang w:val="en-US" w:eastAsia="zh-CN"/>
        </w:rPr>
        <w:t>100</w:t>
      </w:r>
      <w:r>
        <w:rPr>
          <w:rFonts w:hint="eastAsia"/>
          <w:color w:val="auto"/>
        </w:rPr>
        <w:t>%；</w:t>
      </w:r>
    </w:p>
    <w:p w14:paraId="0A7B7744">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此项权重分20分，得分20分。</w:t>
      </w:r>
    </w:p>
    <w:p w14:paraId="5ED983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2.</w:t>
      </w:r>
      <w:r>
        <w:rPr>
          <w:rFonts w:hint="eastAsia" w:ascii="仿宋_GB2312" w:hAnsi="仿宋_GB2312" w:eastAsia="仿宋_GB2312" w:cs="仿宋_GB2312"/>
          <w:b w:val="0"/>
          <w:bCs w:val="0"/>
          <w:color w:val="auto"/>
          <w:spacing w:val="0"/>
          <w:w w:val="100"/>
          <w:kern w:val="2"/>
          <w:position w:val="0"/>
          <w:sz w:val="32"/>
          <w:szCs w:val="32"/>
          <w:lang w:val="en-US" w:eastAsia="zh-CN" w:bidi="ar-SA"/>
        </w:rPr>
        <w:t>质量指标完成情况：指标1：国家级非遗代表性项目保护工作年度完成率，指标值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&gt;=90%，实际完成值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%，指标完成率111.11%</w:t>
      </w:r>
      <w:r>
        <w:rPr>
          <w:rFonts w:hint="eastAsia" w:ascii="仿宋_GB2312" w:hAnsi="仿宋_GB2312" w:cs="仿宋_GB2312"/>
          <w:b w:val="0"/>
          <w:bCs w:val="0"/>
          <w:color w:val="auto"/>
          <w:spacing w:val="0"/>
          <w:w w:val="100"/>
          <w:kern w:val="2"/>
          <w:position w:val="0"/>
          <w:sz w:val="32"/>
          <w:szCs w:val="32"/>
          <w:lang w:val="en-US" w:eastAsia="zh-CN" w:bidi="ar-SA"/>
        </w:rPr>
        <w:t>，偏差原因：按照工作计划，能圆满完成非遗工作；</w:t>
      </w:r>
      <w:r>
        <w:rPr>
          <w:rFonts w:hint="eastAsia"/>
          <w:color w:val="auto"/>
        </w:rPr>
        <w:t>指标2：</w:t>
      </w:r>
      <w:r>
        <w:rPr>
          <w:rFonts w:hint="eastAsia"/>
          <w:color w:val="auto"/>
          <w:lang w:val="en-US" w:eastAsia="zh-CN"/>
        </w:rPr>
        <w:t>参加活动人员参与率</w:t>
      </w:r>
      <w:r>
        <w:rPr>
          <w:rFonts w:hint="eastAsia"/>
          <w:color w:val="auto"/>
        </w:rPr>
        <w:t>，指标值：</w:t>
      </w:r>
      <w:r>
        <w:rPr>
          <w:rFonts w:hint="eastAsia"/>
          <w:color w:val="auto"/>
          <w:lang w:val="en-US" w:eastAsia="zh-CN"/>
        </w:rPr>
        <w:t>&gt;=95%</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105.26%，偏差原因：培训活动宣传力度较大，参加活动人员能积极参加。</w:t>
      </w:r>
    </w:p>
    <w:p w14:paraId="76552CB0">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11DF90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3.时效指标完成情况：指标1：完成国家级非遗项目保护工作工作年度任务，指标值：2023年1月-12月，实际完成值2023年1月-12月，指标完成率100%。</w:t>
      </w:r>
    </w:p>
    <w:p w14:paraId="4991A709">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72DF8AA5">
      <w:pPr>
        <w:pStyle w:val="12"/>
        <w:ind w:firstLine="640" w:firstLineChars="200"/>
        <w:jc w:val="left"/>
        <w:rPr>
          <w:rFonts w:hint="eastAsia"/>
        </w:rPr>
      </w:pPr>
      <w:r>
        <w:rPr>
          <w:rFonts w:hint="eastAsia" w:ascii="仿宋_GB2312" w:hAnsi="仿宋_GB2312" w:cs="仿宋_GB2312"/>
          <w:b w:val="0"/>
          <w:bCs w:val="0"/>
          <w:color w:val="auto"/>
          <w:spacing w:val="0"/>
          <w:w w:val="100"/>
          <w:kern w:val="2"/>
          <w:position w:val="0"/>
          <w:sz w:val="32"/>
          <w:szCs w:val="32"/>
          <w:lang w:val="en-US" w:eastAsia="zh-CN" w:bidi="ar-SA"/>
        </w:rPr>
        <w:t>4.经济成本指标完成情况：无</w:t>
      </w:r>
    </w:p>
    <w:p w14:paraId="1BE085D5">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eastAsia="zh-CN"/>
        </w:rPr>
      </w:pPr>
      <w:r>
        <w:rPr>
          <w:rFonts w:hint="eastAsia"/>
          <w:color w:val="auto"/>
          <w:highlight w:val="none"/>
          <w:lang w:val="en-US" w:eastAsia="zh-CN"/>
        </w:rPr>
        <w:t>5.社会成本指标完成情况</w:t>
      </w:r>
      <w:r>
        <w:rPr>
          <w:rFonts w:hint="eastAsia"/>
          <w:color w:val="auto"/>
          <w:highlight w:val="none"/>
          <w:lang w:eastAsia="zh-CN"/>
        </w:rPr>
        <w:t>：</w:t>
      </w:r>
      <w:r>
        <w:rPr>
          <w:rFonts w:hint="eastAsia"/>
          <w:color w:val="auto"/>
          <w:highlight w:val="none"/>
          <w:lang w:val="en-US" w:eastAsia="zh-CN"/>
        </w:rPr>
        <w:t>无</w:t>
      </w:r>
    </w:p>
    <w:p w14:paraId="0722441F">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lang w:val="en-US" w:eastAsia="zh-CN"/>
        </w:rPr>
        <w:t>6.生态成本指标完成情况：无</w:t>
      </w:r>
    </w:p>
    <w:p w14:paraId="0C6DD51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7DCDCE77">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无</w:t>
      </w:r>
    </w:p>
    <w:p w14:paraId="065BFE5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非遗保护与传承受益公众增长率</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&gt;=5%</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5</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100</w:t>
      </w:r>
      <w:r>
        <w:rPr>
          <w:rFonts w:hint="eastAsia"/>
          <w:color w:val="auto"/>
        </w:rPr>
        <w:t>%；</w:t>
      </w:r>
    </w:p>
    <w:p w14:paraId="3C19AAEF">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14:paraId="262BC79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生态效益指标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无</w:t>
      </w:r>
    </w:p>
    <w:p w14:paraId="2E36452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4.</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非遗保护与传承活动受益公正满意率</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&gt;=9</w:t>
      </w:r>
      <w:r>
        <w:rPr>
          <w:rFonts w:hint="eastAsia" w:ascii="仿宋_GB2312" w:hAnsi="仿宋_GB2312" w:cs="仿宋_GB2312"/>
          <w:color w:val="000000"/>
          <w:spacing w:val="0"/>
          <w:w w:val="100"/>
          <w:position w:val="0"/>
          <w:sz w:val="32"/>
          <w:szCs w:val="32"/>
          <w:lang w:val="en-US" w:eastAsia="zh-CN"/>
        </w:rPr>
        <w:t>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，实际完成值</w:t>
      </w:r>
      <w:r>
        <w:rPr>
          <w:rFonts w:hint="eastAsia" w:ascii="仿宋_GB2312" w:hAnsi="仿宋_GB2312" w:eastAsia="仿宋_GB2312" w:cs="仿宋_GB2312"/>
          <w:color w:val="000000"/>
          <w:spacing w:val="0"/>
          <w:w w:val="100"/>
          <w:position w:val="0"/>
          <w:sz w:val="32"/>
          <w:szCs w:val="32"/>
          <w:lang w:val="en-US" w:eastAsia="zh-CN"/>
        </w:rPr>
        <w:t>90%</w:t>
      </w:r>
      <w:r>
        <w:rPr>
          <w:rFonts w:hint="eastAsia"/>
          <w:color w:val="auto"/>
        </w:rPr>
        <w:t>，指标完成率</w:t>
      </w:r>
      <w:r>
        <w:rPr>
          <w:rFonts w:hint="eastAsia"/>
          <w:color w:val="auto"/>
          <w:lang w:val="en-US" w:eastAsia="zh-CN"/>
        </w:rPr>
        <w:t>100</w:t>
      </w:r>
      <w:r>
        <w:rPr>
          <w:rFonts w:hint="eastAsia"/>
          <w:color w:val="auto"/>
        </w:rPr>
        <w:t>%；</w:t>
      </w:r>
    </w:p>
    <w:p w14:paraId="7CFCDDC1">
      <w:pPr>
        <w:pStyle w:val="12"/>
        <w:ind w:firstLine="600" w:firstLineChars="200"/>
        <w:jc w:val="left"/>
        <w:rPr>
          <w:rFonts w:hint="eastAsia"/>
        </w:rPr>
      </w:pPr>
      <w:bookmarkStart w:id="16" w:name="_Toc68703842"/>
      <w:r>
        <w:rPr>
          <w:rFonts w:hint="eastAsia" w:ascii="Times New Roman" w:hAnsi="Times New Roman" w:eastAsia="仿宋_GB2312" w:cs="Times New Roman"/>
          <w:b w:val="0"/>
          <w:bCs w:val="0"/>
          <w:kern w:val="2"/>
          <w:sz w:val="30"/>
          <w:szCs w:val="24"/>
          <w:lang w:val="en-US" w:eastAsia="zh-CN" w:bidi="ar-SA"/>
        </w:rPr>
        <w:t>此项权重分10分，得分10分。</w:t>
      </w:r>
    </w:p>
    <w:p w14:paraId="78A751D8">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381BA14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eastAsia="zh-CN"/>
        </w:rPr>
        <w:t>（上年结转）国家级非遗代表性项目《江格尔》补助费项目年初预算</w:t>
      </w:r>
      <w:r>
        <w:rPr>
          <w:rFonts w:hint="eastAsia"/>
          <w:color w:val="auto"/>
          <w:highlight w:val="none"/>
          <w:lang w:val="en-US" w:eastAsia="zh-CN"/>
        </w:rPr>
        <w:t>55</w:t>
      </w:r>
      <w:r>
        <w:rPr>
          <w:rFonts w:hint="eastAsia"/>
          <w:color w:val="auto"/>
          <w:highlight w:val="none"/>
          <w:lang w:eastAsia="zh-CN"/>
        </w:rPr>
        <w:t>万元，全年预算</w:t>
      </w:r>
      <w:r>
        <w:rPr>
          <w:rFonts w:hint="eastAsia"/>
          <w:color w:val="auto"/>
          <w:highlight w:val="none"/>
          <w:lang w:val="en-US" w:eastAsia="zh-CN"/>
        </w:rPr>
        <w:t>55</w:t>
      </w:r>
      <w:r>
        <w:rPr>
          <w:rFonts w:hint="eastAsia"/>
          <w:color w:val="auto"/>
          <w:highlight w:val="none"/>
          <w:lang w:eastAsia="zh-CN"/>
        </w:rPr>
        <w:t>万元，实际支出</w:t>
      </w:r>
      <w:r>
        <w:rPr>
          <w:rFonts w:hint="eastAsia"/>
          <w:color w:val="auto"/>
          <w:highlight w:val="none"/>
          <w:lang w:val="en-US" w:eastAsia="zh-CN"/>
        </w:rPr>
        <w:t>55</w:t>
      </w:r>
      <w:r>
        <w:rPr>
          <w:rFonts w:hint="eastAsia"/>
          <w:color w:val="auto"/>
          <w:highlight w:val="none"/>
          <w:lang w:eastAsia="zh-CN"/>
        </w:rPr>
        <w:t>万元，预算执行率为</w:t>
      </w:r>
      <w:r>
        <w:rPr>
          <w:rFonts w:hint="eastAsia"/>
          <w:color w:val="auto"/>
          <w:highlight w:val="none"/>
          <w:lang w:val="en-US" w:eastAsia="zh-CN"/>
        </w:rPr>
        <w:t>100</w:t>
      </w:r>
      <w:r>
        <w:rPr>
          <w:rFonts w:hint="eastAsia"/>
          <w:color w:val="auto"/>
          <w:highlight w:val="none"/>
          <w:lang w:eastAsia="zh-CN"/>
        </w:rPr>
        <w:t>%，项目绩效指标总体完成率为</w:t>
      </w:r>
      <w:r>
        <w:rPr>
          <w:rFonts w:hint="eastAsia"/>
          <w:color w:val="auto"/>
          <w:highlight w:val="none"/>
          <w:lang w:val="en-US" w:eastAsia="zh-CN"/>
        </w:rPr>
        <w:t>102.05</w:t>
      </w:r>
      <w:r>
        <w:rPr>
          <w:rFonts w:hint="eastAsia"/>
          <w:color w:val="auto"/>
          <w:highlight w:val="none"/>
          <w:lang w:eastAsia="zh-CN"/>
        </w:rPr>
        <w:t>%，偏差原因：</w:t>
      </w:r>
      <w:r>
        <w:rPr>
          <w:rFonts w:hint="eastAsia"/>
          <w:color w:val="auto"/>
          <w:highlight w:val="none"/>
          <w:lang w:val="en-US" w:eastAsia="zh-CN"/>
        </w:rPr>
        <w:t>按照财政部设定的绩效目标均已全部完成，实际完成的工作量较年初较高。</w:t>
      </w:r>
    </w:p>
    <w:p w14:paraId="4447DD6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4B47888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33C5A80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8" w:name="_Toc68703844"/>
      <w:r>
        <w:rPr>
          <w:rFonts w:hint="default"/>
          <w:color w:val="auto"/>
          <w:highlight w:val="none"/>
          <w:lang w:val="en-US" w:eastAsia="zh-CN"/>
        </w:rPr>
        <w:t>每年年度末，根据</w:t>
      </w:r>
      <w:r>
        <w:rPr>
          <w:rFonts w:hint="eastAsia"/>
          <w:color w:val="auto"/>
          <w:highlight w:val="none"/>
          <w:lang w:val="en-US" w:eastAsia="zh-CN"/>
        </w:rPr>
        <w:t>本</w:t>
      </w:r>
      <w:r>
        <w:rPr>
          <w:rFonts w:hint="default"/>
          <w:color w:val="auto"/>
          <w:highlight w:val="none"/>
          <w:lang w:val="en-US" w:eastAsia="zh-CN"/>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p>
    <w:p w14:paraId="50D6AFF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5AA2B5E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9" w:name="_Toc68703845"/>
      <w:r>
        <w:rPr>
          <w:rFonts w:hint="eastAsia"/>
          <w:color w:val="auto"/>
          <w:highlight w:val="none"/>
          <w:lang w:val="en-US" w:eastAsia="zh-CN"/>
        </w:rPr>
        <w:t>存在的问题：质量目标设置的目标率较大，存在偏差。</w:t>
      </w:r>
    </w:p>
    <w:p w14:paraId="3D46C3C7">
      <w:pPr>
        <w:pStyle w:val="2"/>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color w:val="auto"/>
          <w:highlight w:val="none"/>
          <w:lang w:val="en-US" w:eastAsia="zh-CN"/>
        </w:rPr>
        <w:t xml:space="preserve">    </w:t>
      </w:r>
      <w:r>
        <w:rPr>
          <w:rFonts w:hint="eastAsia" w:ascii="Times New Roman" w:hAnsi="Times New Roman" w:eastAsia="仿宋_GB2312" w:cs="Times New Roman"/>
          <w:b w:val="0"/>
          <w:bCs w:val="0"/>
          <w:color w:val="auto"/>
          <w:kern w:val="2"/>
          <w:sz w:val="30"/>
          <w:szCs w:val="24"/>
          <w:highlight w:val="none"/>
          <w:lang w:val="en-US" w:eastAsia="zh-CN" w:bidi="ar-SA"/>
        </w:rPr>
        <w:t xml:space="preserve"> 原因分析：年初设置的目标完成率较低，实际完成的工作量较年初较高。</w:t>
      </w:r>
    </w:p>
    <w:p w14:paraId="3A1669A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p>
    <w:p w14:paraId="1AE0E71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1.多进行有关绩效管理工作方面的培训。积极组织第三方开展绩效管理工作培训，进一步夯实业务基础，提高我单位绩效人员水平。</w:t>
      </w:r>
    </w:p>
    <w:p w14:paraId="1120B29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2.专门设定对绩效工作人员定职、定岗、定责等相关制度措施，进一步提升我单位绩效管理工作业务水平，扎实做好绩效管理工作。</w:t>
      </w:r>
    </w:p>
    <w:p w14:paraId="125C01A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12F2E27">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14:paraId="379EEF2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1D8AF1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581FAF9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无</w:t>
      </w:r>
    </w:p>
    <w:p w14:paraId="4361AFB6">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zNTYwZGM4NjVlMmQ5ZGZiOTE3NWNhMjNhYj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120124"/>
    <w:rsid w:val="05227DA5"/>
    <w:rsid w:val="07737806"/>
    <w:rsid w:val="07E23C72"/>
    <w:rsid w:val="08D20D13"/>
    <w:rsid w:val="09A10EDD"/>
    <w:rsid w:val="0A180221"/>
    <w:rsid w:val="0A306006"/>
    <w:rsid w:val="0B6C1E78"/>
    <w:rsid w:val="0BC66E3F"/>
    <w:rsid w:val="0C4D0F1B"/>
    <w:rsid w:val="0E59465B"/>
    <w:rsid w:val="0F2A6BF7"/>
    <w:rsid w:val="105F2E17"/>
    <w:rsid w:val="11BA3663"/>
    <w:rsid w:val="13E455B8"/>
    <w:rsid w:val="19E724EE"/>
    <w:rsid w:val="1D723F37"/>
    <w:rsid w:val="1D785367"/>
    <w:rsid w:val="220152DE"/>
    <w:rsid w:val="22D123D2"/>
    <w:rsid w:val="24171230"/>
    <w:rsid w:val="245F149B"/>
    <w:rsid w:val="2C2075B3"/>
    <w:rsid w:val="32AE0DEC"/>
    <w:rsid w:val="347204E0"/>
    <w:rsid w:val="355F4973"/>
    <w:rsid w:val="36B72533"/>
    <w:rsid w:val="36DE34A6"/>
    <w:rsid w:val="39B747A8"/>
    <w:rsid w:val="3B0C3234"/>
    <w:rsid w:val="3DF147A6"/>
    <w:rsid w:val="3ED44A26"/>
    <w:rsid w:val="3F196097"/>
    <w:rsid w:val="3F20651D"/>
    <w:rsid w:val="3F8D6E7D"/>
    <w:rsid w:val="4057649F"/>
    <w:rsid w:val="41BD05BC"/>
    <w:rsid w:val="43182414"/>
    <w:rsid w:val="4414342A"/>
    <w:rsid w:val="46507BB3"/>
    <w:rsid w:val="48DB6907"/>
    <w:rsid w:val="4A7C25BE"/>
    <w:rsid w:val="4BA6195C"/>
    <w:rsid w:val="4C22332E"/>
    <w:rsid w:val="4F6A505C"/>
    <w:rsid w:val="50B25872"/>
    <w:rsid w:val="518E1E3B"/>
    <w:rsid w:val="546C212F"/>
    <w:rsid w:val="556B2821"/>
    <w:rsid w:val="56796849"/>
    <w:rsid w:val="5DA95371"/>
    <w:rsid w:val="5E2C6C63"/>
    <w:rsid w:val="5F0B12EF"/>
    <w:rsid w:val="61F3227D"/>
    <w:rsid w:val="624B1238"/>
    <w:rsid w:val="627A29E2"/>
    <w:rsid w:val="63E638BD"/>
    <w:rsid w:val="646215BF"/>
    <w:rsid w:val="67843822"/>
    <w:rsid w:val="67D131C8"/>
    <w:rsid w:val="68E5052E"/>
    <w:rsid w:val="68F11999"/>
    <w:rsid w:val="6923367B"/>
    <w:rsid w:val="6BD42F1E"/>
    <w:rsid w:val="6C4D333F"/>
    <w:rsid w:val="6C742D41"/>
    <w:rsid w:val="6EC05342"/>
    <w:rsid w:val="6F20011E"/>
    <w:rsid w:val="733C129F"/>
    <w:rsid w:val="736D7934"/>
    <w:rsid w:val="73942E89"/>
    <w:rsid w:val="73E156BC"/>
    <w:rsid w:val="763A0251"/>
    <w:rsid w:val="76746FA2"/>
    <w:rsid w:val="76EC6BCA"/>
    <w:rsid w:val="77414717"/>
    <w:rsid w:val="777F2759"/>
    <w:rsid w:val="783B59B9"/>
    <w:rsid w:val="7A293A71"/>
    <w:rsid w:val="7EC2417C"/>
    <w:rsid w:val="7F2D54DA"/>
    <w:rsid w:val="7F923FF5"/>
    <w:rsid w:val="7FB840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5907</Words>
  <Characters>6155</Characters>
  <Lines>37</Lines>
  <Paragraphs>10</Paragraphs>
  <TotalTime>1</TotalTime>
  <ScaleCrop>false</ScaleCrop>
  <LinksUpToDate>false</LinksUpToDate>
  <CharactersWithSpaces>6172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2024-05-06T04:51:00Z</cp:lastPrinted>
  <dcterms:modified xsi:type="dcterms:W3CDTF">2024-11-18T14:30:37Z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72C0E54CBCB34A6D8C6535BC09A47EA2_13</vt:lpwstr>
  </property>
</Properties>
</file>