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color w:val="auto"/>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color w:val="auto"/>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color w:val="auto"/>
          <w:sz w:val="48"/>
          <w:szCs w:val="48"/>
        </w:rPr>
      </w:pPr>
    </w:p>
    <w:p>
      <w:pPr>
        <w:pageBreakBefore w:val="0"/>
        <w:kinsoku/>
        <w:wordWrap/>
        <w:overflowPunct/>
        <w:topLinePunct w:val="0"/>
        <w:autoSpaceDE/>
        <w:autoSpaceDN/>
        <w:bidi w:val="0"/>
        <w:adjustRightInd/>
        <w:snapToGrid/>
        <w:spacing w:line="560" w:lineRule="exact"/>
        <w:ind w:firstLine="1044" w:firstLineChars="200"/>
        <w:jc w:val="center"/>
        <w:textAlignment w:val="auto"/>
        <w:rPr>
          <w:rFonts w:ascii="宋体" w:hAnsi="宋体" w:eastAsia="宋体" w:cs="Arial"/>
          <w:b/>
          <w:bCs/>
          <w:color w:val="auto"/>
          <w:sz w:val="52"/>
          <w:szCs w:val="52"/>
        </w:rPr>
      </w:pPr>
      <w:r>
        <w:rPr>
          <w:rFonts w:hint="eastAsia" w:ascii="宋体" w:hAnsi="宋体" w:eastAsia="宋体" w:cs="Arial"/>
          <w:b/>
          <w:bCs/>
          <w:color w:val="auto"/>
          <w:sz w:val="52"/>
          <w:szCs w:val="52"/>
        </w:rPr>
        <w:t>项目支出绩效评价报告</w:t>
      </w: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color w:val="auto"/>
          <w:sz w:val="48"/>
          <w:szCs w:val="48"/>
        </w:rPr>
      </w:pPr>
    </w:p>
    <w:p>
      <w:pPr>
        <w:pageBreakBefore w:val="0"/>
        <w:widowControl/>
        <w:kinsoku/>
        <w:wordWrap/>
        <w:overflowPunct/>
        <w:topLinePunct w:val="0"/>
        <w:autoSpaceDE/>
        <w:autoSpaceDN/>
        <w:bidi w:val="0"/>
        <w:adjustRightInd/>
        <w:snapToGrid/>
        <w:spacing w:line="560" w:lineRule="exact"/>
        <w:ind w:firstLine="720" w:firstLineChars="200"/>
        <w:jc w:val="center"/>
        <w:textAlignment w:val="auto"/>
        <w:rPr>
          <w:rFonts w:ascii="仿宋_GB2312" w:hAnsi="仿宋_GB2312" w:cs="仿宋_GB2312"/>
          <w:b/>
          <w:color w:val="auto"/>
          <w:kern w:val="0"/>
          <w:sz w:val="50"/>
          <w:szCs w:val="50"/>
          <w:lang w:bidi="en-US"/>
        </w:rPr>
      </w:pPr>
      <w:r>
        <w:rPr>
          <w:rFonts w:hint="eastAsia" w:ascii="红豆小标宋简体" w:hAnsi="红豆小标宋简体" w:eastAsia="红豆小标宋简体" w:cs="红豆小标宋简体"/>
          <w:color w:val="auto"/>
          <w:kern w:val="0"/>
          <w:sz w:val="36"/>
          <w:szCs w:val="36"/>
        </w:rPr>
        <w:t>（2</w:t>
      </w:r>
      <w:r>
        <w:rPr>
          <w:rFonts w:ascii="红豆小标宋简体" w:hAnsi="红豆小标宋简体" w:eastAsia="红豆小标宋简体" w:cs="红豆小标宋简体"/>
          <w:color w:val="auto"/>
          <w:kern w:val="0"/>
          <w:sz w:val="36"/>
          <w:szCs w:val="36"/>
        </w:rPr>
        <w:t>02</w:t>
      </w:r>
      <w:r>
        <w:rPr>
          <w:rFonts w:hint="eastAsia" w:ascii="红豆小标宋简体" w:hAnsi="红豆小标宋简体" w:eastAsia="红豆小标宋简体" w:cs="红豆小标宋简体"/>
          <w:color w:val="auto"/>
          <w:kern w:val="0"/>
          <w:sz w:val="36"/>
          <w:szCs w:val="36"/>
          <w:lang w:val="en-US" w:eastAsia="zh-CN"/>
        </w:rPr>
        <w:t>3</w:t>
      </w:r>
      <w:r>
        <w:rPr>
          <w:rFonts w:hint="eastAsia" w:ascii="红豆小标宋简体" w:hAnsi="红豆小标宋简体" w:eastAsia="红豆小标宋简体" w:cs="红豆小标宋简体"/>
          <w:color w:val="auto"/>
          <w:kern w:val="0"/>
          <w:sz w:val="36"/>
          <w:szCs w:val="36"/>
        </w:rPr>
        <w:t>年度）</w:t>
      </w: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color w:val="auto"/>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color w:val="auto"/>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color w:val="auto"/>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color w:val="auto"/>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color w:val="auto"/>
          <w:kern w:val="0"/>
          <w:sz w:val="50"/>
          <w:szCs w:val="50"/>
          <w:lang w:bidi="en-US"/>
        </w:rPr>
      </w:pP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宋体"/>
          <w:color w:val="auto"/>
          <w:kern w:val="0"/>
          <w:sz w:val="32"/>
          <w:szCs w:val="32"/>
          <w:lang w:val="en-US" w:eastAsia="zh-CN"/>
        </w:rPr>
      </w:pPr>
      <w:r>
        <w:rPr>
          <w:rFonts w:hint="eastAsia" w:ascii="宋体" w:hAnsi="宋体" w:eastAsia="宋体" w:cs="仿宋_GB2312"/>
          <w:b/>
          <w:bCs/>
          <w:color w:val="auto"/>
          <w:kern w:val="0"/>
          <w:sz w:val="32"/>
          <w:szCs w:val="32"/>
        </w:rPr>
        <w:t>项目名称：</w:t>
      </w:r>
      <w:r>
        <w:rPr>
          <w:rFonts w:hint="eastAsia" w:ascii="宋体" w:hAnsi="宋体" w:eastAsia="宋体" w:cs="仿宋_GB2312"/>
          <w:b/>
          <w:bCs/>
          <w:color w:val="auto"/>
          <w:kern w:val="0"/>
          <w:sz w:val="32"/>
          <w:szCs w:val="32"/>
          <w:lang w:eastAsia="zh-CN"/>
        </w:rPr>
        <w:t>保障养老院运行项目</w:t>
      </w:r>
    </w:p>
    <w:p>
      <w:pPr>
        <w:pageBreakBefore w:val="0"/>
        <w:kinsoku/>
        <w:wordWrap/>
        <w:overflowPunct/>
        <w:topLinePunct w:val="0"/>
        <w:autoSpaceDE/>
        <w:autoSpaceDN/>
        <w:bidi w:val="0"/>
        <w:adjustRightInd/>
        <w:snapToGrid/>
        <w:spacing w:line="560" w:lineRule="exact"/>
        <w:ind w:left="3527" w:leftChars="212" w:hanging="2891" w:hangingChars="900"/>
        <w:textAlignment w:val="auto"/>
        <w:rPr>
          <w:rFonts w:hint="eastAsia" w:ascii="宋体" w:hAnsi="宋体" w:eastAsia="宋体" w:cs="宋体"/>
          <w:color w:val="auto"/>
          <w:kern w:val="0"/>
          <w:sz w:val="32"/>
          <w:szCs w:val="32"/>
          <w:lang w:eastAsia="zh-CN"/>
        </w:rPr>
      </w:pPr>
      <w:r>
        <w:rPr>
          <w:rFonts w:hint="eastAsia" w:ascii="宋体" w:hAnsi="宋体" w:eastAsia="宋体" w:cs="仿宋_GB2312"/>
          <w:b/>
          <w:bCs/>
          <w:color w:val="auto"/>
          <w:kern w:val="0"/>
          <w:sz w:val="32"/>
          <w:szCs w:val="32"/>
        </w:rPr>
        <w:t>实施单位（公章）：</w:t>
      </w:r>
      <w:r>
        <w:rPr>
          <w:rFonts w:hint="eastAsia" w:ascii="宋体" w:hAnsi="宋体" w:eastAsia="宋体" w:cs="仿宋_GB2312"/>
          <w:b/>
          <w:bCs/>
          <w:color w:val="auto"/>
          <w:kern w:val="0"/>
          <w:sz w:val="32"/>
          <w:szCs w:val="32"/>
          <w:lang w:eastAsia="zh-CN"/>
        </w:rPr>
        <w:t>新疆巴</w:t>
      </w:r>
      <w:r>
        <w:rPr>
          <w:rFonts w:hint="eastAsia" w:ascii="仿宋_GB2312" w:hAnsi="仿宋_GB2312" w:eastAsia="仿宋_GB2312" w:cs="仿宋_GB2312"/>
          <w:b/>
          <w:color w:val="auto"/>
          <w:kern w:val="0"/>
          <w:sz w:val="50"/>
          <w:szCs w:val="50"/>
          <w:lang w:eastAsia="zh-CN" w:bidi="en-US"/>
        </w:rPr>
        <w:drawing>
          <wp:anchor distT="0" distB="0" distL="114300" distR="114300" simplePos="0" relativeHeight="251659264" behindDoc="1" locked="0" layoutInCell="1" allowOverlap="1">
            <wp:simplePos x="0" y="0"/>
            <wp:positionH relativeFrom="column">
              <wp:posOffset>2330450</wp:posOffset>
            </wp:positionH>
            <wp:positionV relativeFrom="page">
              <wp:posOffset>5328285</wp:posOffset>
            </wp:positionV>
            <wp:extent cx="1348740" cy="1348740"/>
            <wp:effectExtent l="0" t="0" r="3810" b="3810"/>
            <wp:wrapNone/>
            <wp:docPr id="1" name="图片 1" descr="老年公寓电子章"/>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老年公寓电子章"/>
                    <pic:cNvPicPr>
                      <a:picLocks noChangeAspect="1"/>
                    </pic:cNvPicPr>
                  </pic:nvPicPr>
                  <pic:blipFill>
                    <a:blip r:embed="rId4"/>
                    <a:stretch>
                      <a:fillRect/>
                    </a:stretch>
                  </pic:blipFill>
                  <pic:spPr>
                    <a:xfrm>
                      <a:off x="0" y="0"/>
                      <a:ext cx="1348740" cy="1348740"/>
                    </a:xfrm>
                    <a:prstGeom prst="rect">
                      <a:avLst/>
                    </a:prstGeom>
                  </pic:spPr>
                </pic:pic>
              </a:graphicData>
            </a:graphic>
          </wp:anchor>
        </w:drawing>
      </w:r>
      <w:r>
        <w:rPr>
          <w:rFonts w:hint="eastAsia" w:ascii="宋体" w:hAnsi="宋体" w:eastAsia="宋体" w:cs="仿宋_GB2312"/>
          <w:b/>
          <w:bCs/>
          <w:color w:val="auto"/>
          <w:kern w:val="0"/>
          <w:sz w:val="32"/>
          <w:szCs w:val="32"/>
          <w:lang w:eastAsia="zh-CN"/>
        </w:rPr>
        <w:t>音郭楞蒙古自治州福康老年公寓服务管理中心</w:t>
      </w: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宋体"/>
          <w:color w:val="auto"/>
          <w:kern w:val="0"/>
          <w:sz w:val="32"/>
          <w:szCs w:val="32"/>
          <w:lang w:eastAsia="zh-CN"/>
        </w:rPr>
      </w:pPr>
      <w:r>
        <w:rPr>
          <w:rFonts w:hint="eastAsia" w:ascii="宋体" w:hAnsi="宋体" w:eastAsia="宋体" w:cs="仿宋_GB2312"/>
          <w:b/>
          <w:bCs/>
          <w:color w:val="auto"/>
          <w:kern w:val="0"/>
          <w:sz w:val="32"/>
          <w:szCs w:val="32"/>
        </w:rPr>
        <w:t>主管部门（公章）：</w:t>
      </w:r>
      <w:r>
        <w:rPr>
          <w:rFonts w:hint="eastAsia" w:ascii="宋体" w:hAnsi="宋体" w:eastAsia="宋体" w:cs="仿宋_GB2312"/>
          <w:b/>
          <w:bCs/>
          <w:color w:val="auto"/>
          <w:kern w:val="0"/>
          <w:sz w:val="32"/>
          <w:szCs w:val="32"/>
          <w:lang w:eastAsia="zh-CN"/>
        </w:rPr>
        <w:t>巴州卫生健康委员会</w:t>
      </w:r>
    </w:p>
    <w:p>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宋体"/>
          <w:color w:val="auto"/>
          <w:kern w:val="0"/>
          <w:sz w:val="32"/>
          <w:szCs w:val="32"/>
        </w:rPr>
      </w:pPr>
      <w:r>
        <w:rPr>
          <w:rFonts w:hint="eastAsia" w:ascii="宋体" w:hAnsi="宋体" w:eastAsia="宋体" w:cs="仿宋_GB2312"/>
          <w:b/>
          <w:bCs/>
          <w:color w:val="auto"/>
          <w:kern w:val="0"/>
          <w:sz w:val="32"/>
          <w:szCs w:val="32"/>
        </w:rPr>
        <w:t>项目负责人（签章）：邱万山</w:t>
      </w:r>
    </w:p>
    <w:p>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仿宋_GB2312"/>
          <w:color w:val="auto"/>
          <w:kern w:val="0"/>
          <w:sz w:val="32"/>
          <w:szCs w:val="32"/>
        </w:rPr>
      </w:pPr>
      <w:r>
        <w:rPr>
          <w:rFonts w:hint="eastAsia" w:ascii="宋体" w:hAnsi="宋体" w:eastAsia="宋体" w:cs="仿宋_GB2312"/>
          <w:b/>
          <w:bCs/>
          <w:color w:val="auto"/>
          <w:kern w:val="0"/>
          <w:sz w:val="32"/>
          <w:szCs w:val="32"/>
        </w:rPr>
        <w:t>填报时间：</w:t>
      </w:r>
      <w:r>
        <w:rPr>
          <w:rFonts w:hint="eastAsia" w:ascii="宋体" w:hAnsi="宋体" w:eastAsia="宋体" w:cs="仿宋_GB2312"/>
          <w:color w:val="auto"/>
          <w:kern w:val="0"/>
          <w:sz w:val="32"/>
          <w:szCs w:val="32"/>
        </w:rPr>
        <w:t>202</w:t>
      </w:r>
      <w:r>
        <w:rPr>
          <w:rFonts w:hint="eastAsia" w:ascii="宋体" w:hAnsi="宋体" w:eastAsia="宋体" w:cs="仿宋_GB2312"/>
          <w:color w:val="auto"/>
          <w:kern w:val="0"/>
          <w:sz w:val="32"/>
          <w:szCs w:val="32"/>
          <w:lang w:val="en-US" w:eastAsia="zh-CN"/>
        </w:rPr>
        <w:t xml:space="preserve">4 </w:t>
      </w:r>
      <w:r>
        <w:rPr>
          <w:rFonts w:hint="eastAsia" w:ascii="宋体" w:hAnsi="宋体" w:eastAsia="宋体" w:cs="仿宋_GB2312"/>
          <w:color w:val="auto"/>
          <w:kern w:val="0"/>
          <w:sz w:val="32"/>
          <w:szCs w:val="32"/>
        </w:rPr>
        <w:t xml:space="preserve">年 </w:t>
      </w:r>
      <w:r>
        <w:rPr>
          <w:rFonts w:hint="eastAsia" w:ascii="宋体" w:hAnsi="宋体" w:eastAsia="宋体" w:cs="仿宋_GB2312"/>
          <w:color w:val="auto"/>
          <w:kern w:val="0"/>
          <w:sz w:val="32"/>
          <w:szCs w:val="32"/>
          <w:lang w:val="en-US" w:eastAsia="zh-CN"/>
        </w:rPr>
        <w:t>5</w:t>
      </w:r>
      <w:r>
        <w:rPr>
          <w:rFonts w:hint="eastAsia" w:ascii="宋体" w:hAnsi="宋体" w:eastAsia="宋体" w:cs="仿宋_GB2312"/>
          <w:color w:val="auto"/>
          <w:kern w:val="0"/>
          <w:sz w:val="32"/>
          <w:szCs w:val="32"/>
        </w:rPr>
        <w:t xml:space="preserve"> 月 </w:t>
      </w:r>
      <w:r>
        <w:rPr>
          <w:rFonts w:hint="eastAsia" w:ascii="宋体" w:hAnsi="宋体" w:eastAsia="宋体" w:cs="仿宋_GB2312"/>
          <w:color w:val="auto"/>
          <w:kern w:val="0"/>
          <w:sz w:val="32"/>
          <w:szCs w:val="32"/>
          <w:lang w:val="en-US" w:eastAsia="zh-CN"/>
        </w:rPr>
        <w:t>5</w:t>
      </w:r>
      <w:r>
        <w:rPr>
          <w:rFonts w:hint="eastAsia" w:ascii="宋体" w:hAnsi="宋体" w:eastAsia="宋体" w:cs="仿宋_GB2312"/>
          <w:color w:val="auto"/>
          <w:kern w:val="0"/>
          <w:sz w:val="32"/>
          <w:szCs w:val="32"/>
        </w:rPr>
        <w:t xml:space="preserve"> 日</w:t>
      </w:r>
    </w:p>
    <w:p>
      <w:pPr>
        <w:pageBreakBefore w:val="0"/>
        <w:widowControl/>
        <w:kinsoku/>
        <w:wordWrap/>
        <w:overflowPunct/>
        <w:topLinePunct w:val="0"/>
        <w:autoSpaceDE/>
        <w:autoSpaceDN/>
        <w:bidi w:val="0"/>
        <w:adjustRightInd/>
        <w:snapToGrid/>
        <w:spacing w:line="560" w:lineRule="exact"/>
        <w:ind w:firstLine="723" w:firstLineChars="200"/>
        <w:jc w:val="left"/>
        <w:textAlignment w:val="auto"/>
        <w:rPr>
          <w:rFonts w:ascii="宋体" w:hAnsi="宋体" w:eastAsia="宋体" w:cs="Arial"/>
          <w:b/>
          <w:bCs/>
          <w:color w:val="auto"/>
          <w:sz w:val="36"/>
          <w:szCs w:val="36"/>
        </w:rPr>
      </w:pPr>
      <w:r>
        <w:rPr>
          <w:rFonts w:ascii="宋体" w:hAnsi="宋体" w:eastAsia="宋体" w:cs="Arial"/>
          <w:b/>
          <w:bCs/>
          <w:color w:val="auto"/>
          <w:sz w:val="36"/>
          <w:szCs w:val="36"/>
        </w:rPr>
        <w:br w:type="page"/>
      </w:r>
    </w:p>
    <w:p>
      <w:pPr>
        <w:pageBreakBefore w:val="0"/>
        <w:kinsoku/>
        <w:wordWrap/>
        <w:overflowPunct/>
        <w:topLinePunct w:val="0"/>
        <w:autoSpaceDE/>
        <w:autoSpaceDN/>
        <w:bidi w:val="0"/>
        <w:adjustRightInd/>
        <w:snapToGrid/>
        <w:spacing w:line="560" w:lineRule="exact"/>
        <w:ind w:firstLine="723" w:firstLineChars="200"/>
        <w:jc w:val="center"/>
        <w:textAlignment w:val="auto"/>
        <w:rPr>
          <w:rFonts w:ascii="Arial" w:hAnsi="Arial" w:eastAsia="宋体" w:cs="Arial"/>
          <w:b/>
          <w:bCs/>
          <w:color w:val="auto"/>
          <w:sz w:val="36"/>
          <w:szCs w:val="36"/>
        </w:rPr>
      </w:pPr>
      <w:r>
        <w:rPr>
          <w:rFonts w:hint="eastAsia" w:ascii="宋体" w:hAnsi="宋体" w:eastAsia="宋体" w:cs="Arial"/>
          <w:b/>
          <w:bCs/>
          <w:color w:val="auto"/>
          <w:sz w:val="36"/>
          <w:szCs w:val="36"/>
        </w:rPr>
        <w:t>项目支出</w:t>
      </w:r>
      <w:r>
        <w:rPr>
          <w:rFonts w:ascii="宋体" w:hAnsi="宋体" w:eastAsia="宋体" w:cs="Arial"/>
          <w:b/>
          <w:bCs/>
          <w:color w:val="auto"/>
          <w:sz w:val="36"/>
          <w:szCs w:val="36"/>
        </w:rPr>
        <w:t>绩效</w:t>
      </w:r>
      <w:r>
        <w:rPr>
          <w:rFonts w:hint="eastAsia" w:ascii="宋体" w:hAnsi="宋体" w:eastAsia="宋体" w:cs="Arial"/>
          <w:b/>
          <w:bCs/>
          <w:color w:val="auto"/>
          <w:sz w:val="36"/>
          <w:szCs w:val="36"/>
        </w:rPr>
        <w:t>评价报告</w:t>
      </w:r>
    </w:p>
    <w:p>
      <w:pPr>
        <w:pageBreakBefore w:val="0"/>
        <w:kinsoku/>
        <w:wordWrap/>
        <w:overflowPunct/>
        <w:topLinePunct w:val="0"/>
        <w:autoSpaceDE/>
        <w:autoSpaceDN/>
        <w:bidi w:val="0"/>
        <w:adjustRightInd/>
        <w:snapToGrid/>
        <w:spacing w:line="560" w:lineRule="exact"/>
        <w:ind w:firstLine="600" w:firstLineChars="200"/>
        <w:jc w:val="center"/>
        <w:textAlignment w:val="auto"/>
        <w:rPr>
          <w:rFonts w:ascii="仿宋_GB2312"/>
          <w:color w:val="auto"/>
          <w:szCs w:val="30"/>
        </w:rPr>
      </w:pP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color w:val="auto"/>
          <w:sz w:val="32"/>
          <w:szCs w:val="32"/>
        </w:rPr>
      </w:pPr>
      <w:bookmarkStart w:id="0" w:name="_Toc68703827"/>
      <w:r>
        <w:rPr>
          <w:rFonts w:hint="eastAsia" w:ascii="宋体" w:hAnsi="宋体" w:eastAsia="宋体"/>
          <w:color w:val="auto"/>
          <w:sz w:val="32"/>
          <w:szCs w:val="32"/>
        </w:rPr>
        <w:t>一、基本情况</w:t>
      </w:r>
      <w:bookmarkEnd w:id="0"/>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color w:val="auto"/>
        </w:rPr>
      </w:pPr>
      <w:bookmarkStart w:id="1" w:name="_Toc68703828"/>
      <w:r>
        <w:rPr>
          <w:rFonts w:hint="eastAsia" w:ascii="仿宋_GB2312" w:eastAsia="仿宋_GB2312"/>
          <w:b w:val="0"/>
          <w:bCs w:val="0"/>
          <w:color w:val="auto"/>
        </w:rPr>
        <w:t>（一）项目概况。</w:t>
      </w:r>
      <w:bookmarkEnd w:id="1"/>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rPr>
      </w:pPr>
      <w:r>
        <w:rPr>
          <w:rFonts w:hint="eastAsia" w:ascii="仿宋_GB2312"/>
          <w:color w:val="auto"/>
          <w:highlight w:val="none"/>
          <w:lang w:val="en-US" w:eastAsia="zh-CN"/>
        </w:rPr>
        <w:t>1.</w:t>
      </w:r>
      <w:r>
        <w:rPr>
          <w:rFonts w:hint="eastAsia" w:ascii="仿宋_GB2312"/>
          <w:color w:val="auto"/>
          <w:highlight w:val="none"/>
        </w:rPr>
        <w:t>项目背景，主要内容及实施情况</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rPr>
      </w:pPr>
      <w:r>
        <w:rPr>
          <w:rFonts w:hint="eastAsia" w:ascii="仿宋_GB2312"/>
          <w:color w:val="auto"/>
          <w:highlight w:val="none"/>
        </w:rPr>
        <w:t>（1）项目背景</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 xml:space="preserve"> 根据州卫健委党组会议通过《巴州福康老年公寓重启筹备实施方案》的决定，自重启开业后，对老人入住公寓的收费标准进行了调整。目前福康养老院有4名在职在编人员，因实际工作需要，需要招聘9名外聘人员，保障单位的正常运营，同时支付电费、水费、燃气费以及厨房厨具的更换及维修，采购新鲜时蔬及健康食品，提高老年人的幸福指数，做好服务及管理工作，以保障机关日常行政事务的开展。</w:t>
      </w:r>
    </w:p>
    <w:p>
      <w:pPr>
        <w:pageBreakBefore w:val="0"/>
        <w:kinsoku/>
        <w:wordWrap/>
        <w:overflowPunct/>
        <w:topLinePunct w:val="0"/>
        <w:autoSpaceDE/>
        <w:autoSpaceDN/>
        <w:bidi w:val="0"/>
        <w:adjustRightInd/>
        <w:snapToGrid/>
        <w:spacing w:line="560" w:lineRule="exact"/>
        <w:ind w:firstLine="600" w:firstLineChars="200"/>
        <w:textAlignment w:val="auto"/>
        <w:rPr>
          <w:rFonts w:ascii="仿宋_GB2312"/>
          <w:color w:val="auto"/>
          <w:highlight w:val="none"/>
        </w:rPr>
      </w:pPr>
      <w:r>
        <w:rPr>
          <w:rFonts w:hint="eastAsia" w:ascii="仿宋_GB2312"/>
          <w:color w:val="auto"/>
          <w:highlight w:val="none"/>
        </w:rPr>
        <w:t>（</w:t>
      </w:r>
      <w:r>
        <w:rPr>
          <w:rFonts w:hint="eastAsia" w:ascii="仿宋_GB2312"/>
          <w:color w:val="auto"/>
          <w:highlight w:val="none"/>
          <w:lang w:val="en-US" w:eastAsia="zh-CN"/>
        </w:rPr>
        <w:t>2</w:t>
      </w:r>
      <w:r>
        <w:rPr>
          <w:rFonts w:hint="eastAsia" w:ascii="仿宋_GB2312"/>
          <w:color w:val="auto"/>
          <w:highlight w:val="none"/>
        </w:rPr>
        <w:t>）主要内容</w:t>
      </w:r>
      <w:r>
        <w:rPr>
          <w:rFonts w:hint="eastAsia"/>
          <w:color w:val="auto"/>
          <w:highlight w:val="none"/>
        </w:rPr>
        <w:t>及</w:t>
      </w:r>
      <w:r>
        <w:rPr>
          <w:rFonts w:hint="eastAsia" w:ascii="仿宋_GB2312"/>
          <w:color w:val="auto"/>
          <w:highlight w:val="none"/>
        </w:rPr>
        <w:t>实施情况</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rPr>
      </w:pPr>
      <w:r>
        <w:rPr>
          <w:rFonts w:hint="eastAsia" w:ascii="仿宋_GB2312"/>
          <w:color w:val="auto"/>
          <w:highlight w:val="none"/>
        </w:rPr>
        <w:t>主要内容：为促进老年公寓管理的良性发展，需要9名劳务人员，依此及时、准确的发放本单位劳务人员的工资，并且及时、准确的采购老年公寓的所需新鲜时蔬及健康食品，同时支付电费、水费、燃气费以及厨房厨具的更换及维修，照顾养老院老人的生活起居和健康状况，提高老年人的幸福指数，保障单位的正常运营，做好高质量的服务及管理工作。</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Times New Roman" w:cs="Times New Roman"/>
          <w:bCs/>
          <w:color w:val="auto"/>
          <w:sz w:val="32"/>
          <w:szCs w:val="32"/>
          <w:highlight w:val="none"/>
          <w:lang w:val="en-US" w:eastAsia="zh-CN"/>
        </w:rPr>
      </w:pPr>
      <w:r>
        <w:rPr>
          <w:rFonts w:hint="eastAsia" w:ascii="仿宋_GB2312"/>
          <w:color w:val="auto"/>
          <w:highlight w:val="none"/>
        </w:rPr>
        <w:t>实施情况：</w:t>
      </w:r>
      <w:r>
        <w:rPr>
          <w:rFonts w:hint="eastAsia" w:ascii="仿宋_GB2312"/>
          <w:color w:val="auto"/>
          <w:highlight w:val="none"/>
          <w:lang w:eastAsia="zh-CN"/>
        </w:rPr>
        <w:t>为满足实际工作需要，</w:t>
      </w:r>
      <w:r>
        <w:rPr>
          <w:rFonts w:hint="eastAsia"/>
          <w:color w:val="auto"/>
          <w:highlight w:val="none"/>
          <w:lang w:eastAsia="zh-CN"/>
        </w:rPr>
        <w:t>按月及时支付</w:t>
      </w:r>
      <w:r>
        <w:rPr>
          <w:rFonts w:hint="eastAsia"/>
          <w:color w:val="auto"/>
          <w:highlight w:val="none"/>
          <w:lang w:val="en-US" w:eastAsia="zh-CN"/>
        </w:rPr>
        <w:t>8名劳务派遣人员工资，为保障单位正常运转，</w:t>
      </w:r>
      <w:r>
        <w:rPr>
          <w:rFonts w:hint="eastAsia" w:ascii="仿宋_GB2312"/>
          <w:bCs/>
          <w:color w:val="auto"/>
          <w:sz w:val="32"/>
          <w:szCs w:val="32"/>
          <w:highlight w:val="none"/>
          <w:lang w:val="en-US" w:eastAsia="zh-CN"/>
        </w:rPr>
        <w:t>按实际支</w:t>
      </w:r>
      <w:r>
        <w:rPr>
          <w:rFonts w:hint="eastAsia" w:ascii="仿宋_GB2312" w:hAnsi="Times New Roman" w:cs="Times New Roman"/>
          <w:bCs/>
          <w:color w:val="auto"/>
          <w:sz w:val="32"/>
          <w:szCs w:val="32"/>
          <w:highlight w:val="none"/>
          <w:lang w:val="en-US" w:eastAsia="zh-CN"/>
        </w:rPr>
        <w:t>付</w:t>
      </w:r>
      <w:r>
        <w:rPr>
          <w:rFonts w:hint="eastAsia" w:ascii="仿宋_GB2312" w:cs="Times New Roman"/>
          <w:bCs/>
          <w:color w:val="auto"/>
          <w:sz w:val="32"/>
          <w:szCs w:val="32"/>
          <w:highlight w:val="none"/>
          <w:lang w:val="en-US" w:eastAsia="zh-CN"/>
        </w:rPr>
        <w:t>日常开支，包括</w:t>
      </w:r>
      <w:r>
        <w:rPr>
          <w:rFonts w:hint="eastAsia" w:ascii="仿宋_GB2312" w:hAnsi="Times New Roman" w:cs="Times New Roman"/>
          <w:bCs/>
          <w:color w:val="auto"/>
          <w:sz w:val="32"/>
          <w:szCs w:val="32"/>
          <w:highlight w:val="none"/>
          <w:lang w:val="en-US" w:eastAsia="zh-CN"/>
        </w:rPr>
        <w:t>电信费、自来水费及污水处理费</w:t>
      </w:r>
      <w:r>
        <w:rPr>
          <w:rFonts w:hint="eastAsia" w:ascii="仿宋_GB2312" w:cs="Times New Roman"/>
          <w:bCs/>
          <w:color w:val="auto"/>
          <w:sz w:val="32"/>
          <w:szCs w:val="32"/>
          <w:highlight w:val="none"/>
          <w:lang w:val="en-US" w:eastAsia="zh-CN"/>
        </w:rPr>
        <w:t>、</w:t>
      </w:r>
      <w:r>
        <w:rPr>
          <w:rFonts w:hint="eastAsia" w:ascii="仿宋_GB2312" w:hAnsi="Times New Roman" w:cs="Times New Roman"/>
          <w:bCs/>
          <w:color w:val="auto"/>
          <w:sz w:val="32"/>
          <w:szCs w:val="32"/>
          <w:highlight w:val="none"/>
          <w:lang w:val="en-US" w:eastAsia="zh-CN"/>
        </w:rPr>
        <w:t>餐厅食材费用</w:t>
      </w:r>
      <w:r>
        <w:rPr>
          <w:rFonts w:hint="eastAsia" w:ascii="仿宋_GB2312" w:cs="Times New Roman"/>
          <w:bCs/>
          <w:color w:val="auto"/>
          <w:sz w:val="32"/>
          <w:szCs w:val="32"/>
          <w:highlight w:val="none"/>
          <w:lang w:val="en-US" w:eastAsia="zh-CN"/>
        </w:rPr>
        <w:t>，满足食堂的食材供应，保障单位日常工作正常开展。</w:t>
      </w:r>
    </w:p>
    <w:p>
      <w:pPr>
        <w:pageBreakBefore w:val="0"/>
        <w:kinsoku/>
        <w:wordWrap/>
        <w:overflowPunct/>
        <w:topLinePunct w:val="0"/>
        <w:autoSpaceDE/>
        <w:autoSpaceDN/>
        <w:bidi w:val="0"/>
        <w:adjustRightInd/>
        <w:snapToGrid/>
        <w:spacing w:line="560" w:lineRule="exact"/>
        <w:ind w:firstLine="600" w:firstLineChars="200"/>
        <w:textAlignment w:val="auto"/>
        <w:rPr>
          <w:rFonts w:ascii="仿宋_GB2312"/>
          <w:color w:val="auto"/>
          <w:highlight w:val="none"/>
        </w:rPr>
      </w:pPr>
      <w:r>
        <w:rPr>
          <w:rFonts w:hint="eastAsia" w:ascii="仿宋_GB2312"/>
          <w:color w:val="auto"/>
          <w:highlight w:val="none"/>
          <w:lang w:val="en-US" w:eastAsia="zh-CN"/>
        </w:rPr>
        <w:t>2.</w:t>
      </w:r>
      <w:r>
        <w:rPr>
          <w:rFonts w:hint="eastAsia" w:ascii="仿宋_GB2312"/>
          <w:color w:val="auto"/>
          <w:highlight w:val="none"/>
        </w:rPr>
        <w:t>资金投入和使用情况</w:t>
      </w:r>
    </w:p>
    <w:p>
      <w:pPr>
        <w:pageBreakBefore w:val="0"/>
        <w:kinsoku/>
        <w:wordWrap/>
        <w:overflowPunct/>
        <w:topLinePunct w:val="0"/>
        <w:autoSpaceDE/>
        <w:autoSpaceDN/>
        <w:bidi w:val="0"/>
        <w:adjustRightInd/>
        <w:snapToGrid/>
        <w:spacing w:line="560" w:lineRule="exact"/>
        <w:ind w:firstLine="600" w:firstLineChars="200"/>
        <w:textAlignment w:val="auto"/>
        <w:rPr>
          <w:color w:val="auto"/>
        </w:rPr>
      </w:pPr>
      <w:r>
        <w:rPr>
          <w:rFonts w:hint="eastAsia"/>
          <w:color w:val="auto"/>
          <w:lang w:eastAsia="zh-CN"/>
        </w:rPr>
        <w:t>（</w:t>
      </w:r>
      <w:r>
        <w:rPr>
          <w:rFonts w:hint="eastAsia"/>
          <w:color w:val="auto"/>
          <w:lang w:val="en-US" w:eastAsia="zh-CN"/>
        </w:rPr>
        <w:t>1</w:t>
      </w:r>
      <w:r>
        <w:rPr>
          <w:rFonts w:hint="eastAsia"/>
          <w:color w:val="auto"/>
          <w:lang w:eastAsia="zh-CN"/>
        </w:rPr>
        <w:t>）</w:t>
      </w:r>
      <w:r>
        <w:rPr>
          <w:rFonts w:hint="eastAsia"/>
          <w:color w:val="auto"/>
        </w:rPr>
        <w:t>资金投入情况：该项目年初预算数</w:t>
      </w:r>
      <w:r>
        <w:rPr>
          <w:rFonts w:hint="eastAsia"/>
          <w:color w:val="auto"/>
          <w:lang w:val="en-US" w:eastAsia="zh-CN"/>
        </w:rPr>
        <w:t>70</w:t>
      </w:r>
      <w:r>
        <w:rPr>
          <w:rFonts w:hint="eastAsia"/>
          <w:color w:val="auto"/>
        </w:rPr>
        <w:t>万元，全年预算数</w:t>
      </w:r>
      <w:r>
        <w:rPr>
          <w:rFonts w:hint="eastAsia"/>
          <w:color w:val="auto"/>
          <w:lang w:val="en-US" w:eastAsia="zh-CN"/>
        </w:rPr>
        <w:t>70</w:t>
      </w:r>
      <w:r>
        <w:rPr>
          <w:rFonts w:hint="eastAsia"/>
          <w:color w:val="auto"/>
        </w:rPr>
        <w:t>万元，实际总投入</w:t>
      </w:r>
      <w:r>
        <w:rPr>
          <w:rFonts w:hint="eastAsia"/>
          <w:color w:val="auto"/>
          <w:lang w:val="en-US" w:eastAsia="zh-CN"/>
        </w:rPr>
        <w:t>44.84</w:t>
      </w:r>
      <w:r>
        <w:rPr>
          <w:rFonts w:hint="eastAsia"/>
          <w:color w:val="auto"/>
        </w:rPr>
        <w:t>万元，该项目资金落实到位</w:t>
      </w:r>
      <w:r>
        <w:rPr>
          <w:rFonts w:hint="eastAsia"/>
          <w:color w:val="auto"/>
          <w:lang w:val="en-US" w:eastAsia="zh-CN"/>
        </w:rPr>
        <w:t>44.84</w:t>
      </w:r>
      <w:r>
        <w:rPr>
          <w:rFonts w:hint="eastAsia"/>
          <w:color w:val="auto"/>
        </w:rPr>
        <w:t>万元，资金来源为</w:t>
      </w:r>
      <w:r>
        <w:rPr>
          <w:rFonts w:hint="eastAsia"/>
          <w:color w:val="auto"/>
          <w:lang w:val="en-US" w:eastAsia="zh-CN"/>
        </w:rPr>
        <w:t>单位资金</w:t>
      </w:r>
      <w:r>
        <w:rPr>
          <w:rFonts w:hint="eastAsia"/>
          <w:color w:val="auto"/>
        </w:rPr>
        <w:t>。</w:t>
      </w:r>
    </w:p>
    <w:p>
      <w:pPr>
        <w:pageBreakBefore w:val="0"/>
        <w:kinsoku/>
        <w:wordWrap/>
        <w:overflowPunct/>
        <w:topLinePunct w:val="0"/>
        <w:autoSpaceDE/>
        <w:autoSpaceDN/>
        <w:bidi w:val="0"/>
        <w:adjustRightInd/>
        <w:snapToGrid/>
        <w:spacing w:line="560" w:lineRule="exact"/>
        <w:ind w:firstLine="600" w:firstLineChars="200"/>
        <w:textAlignment w:val="auto"/>
        <w:rPr>
          <w:color w:val="auto"/>
        </w:rPr>
      </w:pPr>
      <w:r>
        <w:rPr>
          <w:rFonts w:hint="eastAsia"/>
          <w:color w:val="auto"/>
          <w:lang w:eastAsia="zh-CN"/>
        </w:rPr>
        <w:t>（</w:t>
      </w:r>
      <w:r>
        <w:rPr>
          <w:rFonts w:hint="eastAsia"/>
          <w:color w:val="auto"/>
          <w:lang w:val="en-US" w:eastAsia="zh-CN"/>
        </w:rPr>
        <w:t>2</w:t>
      </w:r>
      <w:r>
        <w:rPr>
          <w:rFonts w:hint="eastAsia"/>
          <w:color w:val="auto"/>
          <w:lang w:eastAsia="zh-CN"/>
        </w:rPr>
        <w:t>）</w:t>
      </w:r>
      <w:r>
        <w:rPr>
          <w:rFonts w:hint="eastAsia"/>
          <w:color w:val="auto"/>
        </w:rPr>
        <w:t>资金使用情况：该项目年初预算数</w:t>
      </w:r>
      <w:r>
        <w:rPr>
          <w:rFonts w:hint="eastAsia"/>
          <w:color w:val="auto"/>
          <w:lang w:val="en-US" w:eastAsia="zh-CN"/>
        </w:rPr>
        <w:t>70</w:t>
      </w:r>
      <w:r>
        <w:rPr>
          <w:rFonts w:hint="eastAsia"/>
          <w:color w:val="auto"/>
        </w:rPr>
        <w:t>万元，全年预算数</w:t>
      </w:r>
      <w:r>
        <w:rPr>
          <w:rFonts w:hint="eastAsia"/>
          <w:color w:val="auto"/>
          <w:lang w:val="en-US" w:eastAsia="zh-CN"/>
        </w:rPr>
        <w:t>70</w:t>
      </w:r>
      <w:r>
        <w:rPr>
          <w:rFonts w:hint="eastAsia"/>
          <w:color w:val="auto"/>
        </w:rPr>
        <w:t>万元，全年执行数</w:t>
      </w:r>
      <w:r>
        <w:rPr>
          <w:rFonts w:hint="eastAsia"/>
          <w:color w:val="auto"/>
          <w:lang w:val="en-US" w:eastAsia="zh-CN"/>
        </w:rPr>
        <w:t>44.84</w:t>
      </w:r>
      <w:r>
        <w:rPr>
          <w:rFonts w:hint="eastAsia"/>
          <w:color w:val="auto"/>
        </w:rPr>
        <w:t>万元，预算执行率为</w:t>
      </w:r>
      <w:r>
        <w:rPr>
          <w:rFonts w:hint="eastAsia"/>
          <w:color w:val="auto"/>
          <w:lang w:val="en-US" w:eastAsia="zh-CN"/>
        </w:rPr>
        <w:t>64.06</w:t>
      </w:r>
      <w:r>
        <w:rPr>
          <w:rFonts w:hint="eastAsia"/>
          <w:color w:val="auto"/>
        </w:rPr>
        <w:t>%，用于：</w:t>
      </w:r>
      <w:r>
        <w:rPr>
          <w:rFonts w:hint="eastAsia"/>
          <w:color w:val="auto"/>
          <w:lang w:eastAsia="zh-CN"/>
        </w:rPr>
        <w:t>及时、准确的支付</w:t>
      </w:r>
      <w:r>
        <w:rPr>
          <w:rFonts w:hint="eastAsia"/>
          <w:color w:val="auto"/>
          <w:lang w:val="en-US" w:eastAsia="zh-CN"/>
        </w:rPr>
        <w:t>8名劳务派遣人员工资22.84万元，为保障单位正常运转，支付电信费1.82万元、餐厅食材费用15.22万元、自来水费3.1万元及污水处理费1.86</w:t>
      </w:r>
      <w:r>
        <w:rPr>
          <w:rFonts w:hint="eastAsia"/>
          <w:color w:val="auto"/>
        </w:rPr>
        <w:t>万元</w:t>
      </w:r>
      <w:r>
        <w:rPr>
          <w:rFonts w:hint="eastAsia"/>
          <w:color w:val="auto"/>
          <w:lang w:eastAsia="zh-CN"/>
        </w:rPr>
        <w:t>，共计</w:t>
      </w:r>
      <w:r>
        <w:rPr>
          <w:rFonts w:hint="eastAsia"/>
          <w:color w:val="auto"/>
          <w:lang w:val="en-US" w:eastAsia="zh-CN"/>
        </w:rPr>
        <w:t>44.84万元</w:t>
      </w:r>
      <w:r>
        <w:rPr>
          <w:rFonts w:hint="eastAsia"/>
          <w:color w:val="auto"/>
        </w:rPr>
        <w:t>。</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仿宋_GB2312" w:eastAsia="仿宋_GB2312"/>
          <w:b w:val="0"/>
          <w:bCs w:val="0"/>
          <w:color w:val="auto"/>
          <w:lang w:val="en-US" w:eastAsia="zh-CN"/>
        </w:rPr>
      </w:pPr>
      <w:bookmarkStart w:id="2" w:name="_Toc68703829"/>
      <w:r>
        <w:rPr>
          <w:rFonts w:hint="eastAsia" w:ascii="仿宋_GB2312" w:eastAsia="仿宋_GB2312"/>
          <w:b w:val="0"/>
          <w:bCs w:val="0"/>
          <w:color w:val="auto"/>
        </w:rPr>
        <w:t>（二）项目绩效目标</w:t>
      </w:r>
      <w:bookmarkEnd w:id="2"/>
      <w:r>
        <w:rPr>
          <w:rFonts w:hint="eastAsia" w:ascii="仿宋_GB2312" w:eastAsia="仿宋_GB2312"/>
          <w:b w:val="0"/>
          <w:bCs w:val="0"/>
          <w:color w:val="auto"/>
          <w:lang w:eastAsia="zh-CN"/>
        </w:rPr>
        <w:t>，</w:t>
      </w:r>
      <w:r>
        <w:rPr>
          <w:rFonts w:hint="eastAsia"/>
          <w:color w:val="auto"/>
        </w:rPr>
        <w:t>包括总体目标和阶段性目标。</w:t>
      </w:r>
    </w:p>
    <w:p>
      <w:pPr>
        <w:pageBreakBefore w:val="0"/>
        <w:kinsoku/>
        <w:wordWrap/>
        <w:overflowPunct/>
        <w:topLinePunct w:val="0"/>
        <w:autoSpaceDE/>
        <w:autoSpaceDN/>
        <w:bidi w:val="0"/>
        <w:adjustRightInd/>
        <w:snapToGrid/>
        <w:spacing w:line="560" w:lineRule="exact"/>
        <w:ind w:firstLine="600" w:firstLineChars="200"/>
        <w:textAlignment w:val="auto"/>
        <w:rPr>
          <w:color w:val="auto"/>
        </w:rPr>
      </w:pPr>
      <w:r>
        <w:rPr>
          <w:rFonts w:hint="eastAsia"/>
          <w:color w:val="auto"/>
        </w:rPr>
        <w:t>1</w:t>
      </w:r>
      <w:r>
        <w:rPr>
          <w:rFonts w:hint="eastAsia"/>
          <w:color w:val="auto"/>
          <w:lang w:val="en-US" w:eastAsia="zh-CN"/>
        </w:rPr>
        <w:t>.</w:t>
      </w:r>
      <w:r>
        <w:rPr>
          <w:rFonts w:hint="eastAsia"/>
          <w:color w:val="auto"/>
        </w:rPr>
        <w:t>总体目标：保障单位的正常运营，提高老年人的幸福指数，做好服务及管理工作。努力推进预算绩效管理，确保资金使用管理规范、合法、高效，提高工作质量和工作效率，以保障机关日常行政事务的开展。单位运转经费42.88万元，外聘人员工资27.12万元。</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color w:val="auto"/>
        </w:rPr>
        <w:t>2</w:t>
      </w:r>
      <w:r>
        <w:rPr>
          <w:rFonts w:hint="eastAsia"/>
          <w:color w:val="auto"/>
          <w:lang w:val="en-US" w:eastAsia="zh-CN"/>
        </w:rPr>
        <w:t>.</w:t>
      </w:r>
      <w:r>
        <w:rPr>
          <w:rFonts w:hint="eastAsia"/>
          <w:color w:val="auto"/>
        </w:rPr>
        <w:t>阶段性目标：</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lang w:val="en-US" w:eastAsia="zh-CN"/>
        </w:rPr>
      </w:pPr>
      <w:r>
        <w:rPr>
          <w:rFonts w:hint="eastAsia"/>
          <w:color w:val="auto"/>
          <w:lang w:val="en-US" w:eastAsia="zh-CN"/>
        </w:rPr>
        <w:t>第一季度目标，对纳入预算编制的单位资金制定资金使用计划。</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lang w:val="en-US" w:eastAsia="zh-CN"/>
        </w:rPr>
      </w:pPr>
      <w:r>
        <w:rPr>
          <w:rFonts w:hint="eastAsia"/>
          <w:color w:val="auto"/>
          <w:lang w:val="en-US" w:eastAsia="zh-CN"/>
        </w:rPr>
        <w:t>第二季度目标，拟定在4月召开会议对保障养老院运转类项目范围内需要支付的劳务派遣人员工资，为保障单位正常运转的电信费、餐厅食材费用、自来水费及污水处理费相关事宜进行商讨。</w:t>
      </w:r>
    </w:p>
    <w:p>
      <w:pPr>
        <w:pageBreakBefore w:val="0"/>
        <w:kinsoku/>
        <w:wordWrap/>
        <w:overflowPunct/>
        <w:topLinePunct w:val="0"/>
        <w:autoSpaceDE/>
        <w:autoSpaceDN/>
        <w:bidi w:val="0"/>
        <w:adjustRightInd/>
        <w:snapToGrid/>
        <w:spacing w:line="560" w:lineRule="exact"/>
        <w:ind w:firstLine="600" w:firstLineChars="200"/>
        <w:textAlignment w:val="auto"/>
        <w:rPr>
          <w:color w:val="auto"/>
          <w:lang w:val="en-US"/>
        </w:rPr>
      </w:pPr>
      <w:r>
        <w:rPr>
          <w:rFonts w:hint="eastAsia"/>
          <w:color w:val="auto"/>
          <w:lang w:val="en-US" w:eastAsia="zh-CN"/>
        </w:rPr>
        <w:t>第三、四季度目标，对通过会议后的劳务派遣人员及运转经费按照资金支付审批程序报批并支付，在项目实施过程中收集并归档项目资料包括会议纪要、支付手续、验收单等，保障项目的顺利开展。</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color w:val="auto"/>
          <w:sz w:val="32"/>
          <w:szCs w:val="32"/>
        </w:rPr>
      </w:pPr>
      <w:bookmarkStart w:id="3" w:name="_Toc68703830"/>
      <w:r>
        <w:rPr>
          <w:rFonts w:hint="eastAsia" w:ascii="宋体" w:hAnsi="宋体" w:eastAsia="宋体"/>
          <w:color w:val="auto"/>
          <w:sz w:val="32"/>
          <w:szCs w:val="32"/>
        </w:rPr>
        <w:t>二、绩效评价工作开展情况</w:t>
      </w:r>
      <w:bookmarkEnd w:id="3"/>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eastAsia="仿宋_GB2312"/>
          <w:color w:val="auto"/>
          <w:lang w:val="en-US" w:eastAsia="zh-CN"/>
        </w:rPr>
      </w:pPr>
      <w:bookmarkStart w:id="4" w:name="_Toc68703831"/>
      <w:r>
        <w:rPr>
          <w:rFonts w:hint="eastAsia" w:ascii="仿宋_GB2312" w:eastAsia="仿宋_GB2312"/>
          <w:b w:val="0"/>
          <w:bCs w:val="0"/>
          <w:color w:val="auto"/>
        </w:rPr>
        <w:t>（一）绩效评价目的、对象和范围。</w:t>
      </w:r>
      <w:bookmarkEnd w:id="4"/>
    </w:p>
    <w:p>
      <w:pPr>
        <w:pageBreakBefore w:val="0"/>
        <w:kinsoku/>
        <w:wordWrap/>
        <w:overflowPunct/>
        <w:topLinePunct w:val="0"/>
        <w:autoSpaceDE/>
        <w:autoSpaceDN/>
        <w:bidi w:val="0"/>
        <w:adjustRightInd/>
        <w:snapToGrid/>
        <w:spacing w:line="560" w:lineRule="exact"/>
        <w:ind w:firstLine="600" w:firstLineChars="200"/>
        <w:textAlignment w:val="auto"/>
        <w:rPr>
          <w:color w:val="auto"/>
        </w:rPr>
      </w:pPr>
      <w:r>
        <w:rPr>
          <w:rFonts w:hint="eastAsia"/>
          <w:color w:val="auto"/>
          <w:lang w:val="en-US" w:eastAsia="zh-CN"/>
        </w:rPr>
        <w:t>1.</w:t>
      </w:r>
      <w:r>
        <w:rPr>
          <w:rFonts w:hint="eastAsia"/>
          <w:color w:val="auto"/>
        </w:rPr>
        <w:t>绩效评价目的：</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bCs/>
          <w:color w:val="auto"/>
          <w:sz w:val="32"/>
          <w:szCs w:val="32"/>
        </w:rPr>
      </w:pPr>
      <w:r>
        <w:rPr>
          <w:rFonts w:hint="eastAsia" w:ascii="仿宋_GB2312"/>
          <w:bCs/>
          <w:color w:val="auto"/>
          <w:sz w:val="32"/>
          <w:szCs w:val="32"/>
        </w:rPr>
        <w:t>通过绩效评价，客观地评判项目的管理绩效，了解和掌握</w:t>
      </w:r>
      <w:r>
        <w:rPr>
          <w:rFonts w:hint="eastAsia" w:ascii="仿宋_GB2312"/>
          <w:bCs/>
          <w:color w:val="auto"/>
          <w:sz w:val="32"/>
          <w:szCs w:val="32"/>
          <w:lang w:eastAsia="zh-CN"/>
        </w:rPr>
        <w:t>保障养老院运行项目</w:t>
      </w:r>
      <w:r>
        <w:rPr>
          <w:rFonts w:hint="eastAsia" w:ascii="仿宋_GB2312"/>
          <w:bCs/>
          <w:color w:val="auto"/>
          <w:sz w:val="32"/>
          <w:szCs w:val="32"/>
        </w:rPr>
        <w:t>经费的具体情况，评价该项目资金安排的科学性、合理性、规范性和资金的使用成效，及时总结项目管理经验，完善项目管理办法，提高项目管理水平和资金使用效益。促使我</w:t>
      </w:r>
      <w:r>
        <w:rPr>
          <w:rFonts w:hint="eastAsia" w:ascii="仿宋_GB2312"/>
          <w:bCs/>
          <w:color w:val="auto"/>
          <w:sz w:val="32"/>
          <w:szCs w:val="32"/>
          <w:lang w:val="en-US" w:eastAsia="zh-CN"/>
        </w:rPr>
        <w:t>单位</w:t>
      </w:r>
      <w:r>
        <w:rPr>
          <w:rFonts w:hint="eastAsia" w:ascii="仿宋_GB2312"/>
          <w:bCs/>
          <w:color w:val="auto"/>
          <w:sz w:val="32"/>
          <w:szCs w:val="32"/>
        </w:rPr>
        <w:t>根据绩效评价中发现的问题，认真加以整改，及时调整和完善单位的工作计划并加强项目</w:t>
      </w:r>
      <w:r>
        <w:rPr>
          <w:rFonts w:hint="eastAsia" w:ascii="仿宋_GB2312"/>
          <w:bCs/>
          <w:color w:val="auto"/>
          <w:sz w:val="32"/>
          <w:szCs w:val="32"/>
          <w:lang w:val="en-US" w:eastAsia="zh-CN"/>
        </w:rPr>
        <w:t>绩效</w:t>
      </w:r>
      <w:r>
        <w:rPr>
          <w:rFonts w:hint="eastAsia" w:ascii="仿宋_GB2312"/>
          <w:bCs/>
          <w:color w:val="auto"/>
          <w:sz w:val="32"/>
          <w:szCs w:val="32"/>
        </w:rPr>
        <w:t>管理，同时为项目后续资金投入、分配和管理提供决策依据。</w:t>
      </w:r>
    </w:p>
    <w:p>
      <w:pPr>
        <w:pageBreakBefore w:val="0"/>
        <w:kinsoku/>
        <w:wordWrap/>
        <w:overflowPunct/>
        <w:topLinePunct w:val="0"/>
        <w:autoSpaceDE/>
        <w:autoSpaceDN/>
        <w:bidi w:val="0"/>
        <w:adjustRightInd/>
        <w:snapToGrid/>
        <w:spacing w:line="560" w:lineRule="exact"/>
        <w:ind w:firstLine="600" w:firstLineChars="200"/>
        <w:jc w:val="left"/>
        <w:textAlignment w:val="auto"/>
        <w:rPr>
          <w:color w:val="auto"/>
        </w:rPr>
      </w:pPr>
      <w:r>
        <w:rPr>
          <w:rFonts w:hint="eastAsia"/>
          <w:color w:val="auto"/>
          <w:lang w:val="en-US" w:eastAsia="zh-CN"/>
        </w:rPr>
        <w:t>2.</w:t>
      </w:r>
      <w:r>
        <w:rPr>
          <w:rFonts w:hint="eastAsia"/>
          <w:color w:val="auto"/>
        </w:rPr>
        <w:t>绩效评价对象：</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lang w:val="en-US" w:eastAsia="zh-CN"/>
        </w:rPr>
      </w:pPr>
      <w:r>
        <w:rPr>
          <w:rFonts w:hint="eastAsia"/>
          <w:color w:val="auto"/>
          <w:lang w:val="en-US" w:eastAsia="zh-CN"/>
        </w:rPr>
        <w:t>保障养老院运转类项目</w:t>
      </w:r>
    </w:p>
    <w:p>
      <w:pPr>
        <w:pageBreakBefore w:val="0"/>
        <w:kinsoku/>
        <w:wordWrap/>
        <w:overflowPunct/>
        <w:topLinePunct w:val="0"/>
        <w:autoSpaceDE/>
        <w:autoSpaceDN/>
        <w:bidi w:val="0"/>
        <w:adjustRightInd/>
        <w:snapToGrid/>
        <w:spacing w:line="560" w:lineRule="exact"/>
        <w:ind w:firstLine="600" w:firstLineChars="200"/>
        <w:textAlignment w:val="auto"/>
        <w:rPr>
          <w:color w:val="auto"/>
        </w:rPr>
      </w:pPr>
      <w:r>
        <w:rPr>
          <w:rFonts w:hint="eastAsia"/>
          <w:color w:val="auto"/>
          <w:lang w:val="en-US" w:eastAsia="zh-CN"/>
        </w:rPr>
        <w:t>3.</w:t>
      </w:r>
      <w:r>
        <w:rPr>
          <w:rFonts w:hint="eastAsia"/>
          <w:color w:val="auto"/>
        </w:rPr>
        <w:t>绩效评价范围：</w:t>
      </w:r>
    </w:p>
    <w:p>
      <w:pPr>
        <w:pageBreakBefore w:val="0"/>
        <w:kinsoku/>
        <w:wordWrap/>
        <w:overflowPunct/>
        <w:topLinePunct w:val="0"/>
        <w:autoSpaceDE/>
        <w:autoSpaceDN/>
        <w:bidi w:val="0"/>
        <w:adjustRightInd/>
        <w:snapToGrid/>
        <w:spacing w:line="560" w:lineRule="exact"/>
        <w:ind w:firstLine="600" w:firstLineChars="200"/>
        <w:textAlignment w:val="auto"/>
        <w:rPr>
          <w:color w:val="auto"/>
        </w:rPr>
      </w:pPr>
      <w:r>
        <w:rPr>
          <w:rFonts w:hint="eastAsia"/>
          <w:color w:val="auto"/>
        </w:rPr>
        <w:t>本次评价从项目决策（包括绩效目标、决策过程）、项目管理（包括项目资金、项目实施）、项目产出（包括项目产出数量、产出质量、产出时效和产出成本）项目效益四个维度进行保障养老院运转类项目评价，评价核心为资金的支出完成情况和效果。</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color w:val="auto"/>
        </w:rPr>
      </w:pPr>
      <w:bookmarkStart w:id="5" w:name="_Toc68703832"/>
      <w:r>
        <w:rPr>
          <w:rFonts w:hint="eastAsia" w:ascii="仿宋_GB2312" w:eastAsia="仿宋_GB2312"/>
          <w:b w:val="0"/>
          <w:bCs w:val="0"/>
          <w:color w:val="auto"/>
        </w:rPr>
        <w:t>（二）绩效评价原则、评价指标体系</w:t>
      </w:r>
      <w:r>
        <w:rPr>
          <w:rFonts w:hint="eastAsia" w:ascii="仿宋_GB2312" w:eastAsia="仿宋_GB2312"/>
          <w:b w:val="0"/>
          <w:bCs w:val="0"/>
          <w:color w:val="auto"/>
          <w:lang w:eastAsia="zh-CN"/>
        </w:rPr>
        <w:t>（附表说明）</w:t>
      </w:r>
      <w:r>
        <w:rPr>
          <w:rFonts w:hint="eastAsia" w:ascii="仿宋_GB2312" w:eastAsia="仿宋_GB2312"/>
          <w:b w:val="0"/>
          <w:bCs w:val="0"/>
          <w:color w:val="auto"/>
        </w:rPr>
        <w:t>、评价方法、评价标准等。</w:t>
      </w:r>
      <w:bookmarkEnd w:id="5"/>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color w:val="auto"/>
        </w:rPr>
      </w:pPr>
      <w:r>
        <w:rPr>
          <w:rFonts w:hint="eastAsia"/>
          <w:color w:val="auto"/>
        </w:rPr>
        <w:t>1</w:t>
      </w:r>
      <w:r>
        <w:rPr>
          <w:rFonts w:hint="eastAsia"/>
          <w:color w:val="auto"/>
          <w:lang w:val="en-US" w:eastAsia="zh-CN"/>
        </w:rPr>
        <w:t>.</w:t>
      </w:r>
      <w:r>
        <w:rPr>
          <w:rFonts w:hint="eastAsia"/>
          <w:color w:val="auto"/>
        </w:rPr>
        <w:t>绩效评价原则</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rPr>
      </w:pPr>
      <w:r>
        <w:rPr>
          <w:rFonts w:eastAsia="仿宋_GB2312"/>
          <w:color w:val="auto"/>
          <w:sz w:val="32"/>
          <w:szCs w:val="32"/>
        </w:rPr>
        <w:t>本次项目绩效评价遵循以下基本原则：</w:t>
      </w:r>
    </w:p>
    <w:p>
      <w:pPr>
        <w:pageBreakBefore w:val="0"/>
        <w:kinsoku/>
        <w:wordWrap/>
        <w:overflowPunct/>
        <w:topLinePunct w:val="0"/>
        <w:autoSpaceDE/>
        <w:autoSpaceDN/>
        <w:bidi w:val="0"/>
        <w:adjustRightInd/>
        <w:snapToGrid/>
        <w:spacing w:line="560" w:lineRule="exact"/>
        <w:ind w:firstLine="640" w:firstLineChars="200"/>
        <w:textAlignment w:val="auto"/>
        <w:rPr>
          <w:rFonts w:ascii="仿宋_GB2312"/>
          <w:bCs/>
          <w:color w:val="auto"/>
          <w:sz w:val="32"/>
          <w:szCs w:val="32"/>
        </w:rPr>
      </w:pPr>
      <w:r>
        <w:rPr>
          <w:rFonts w:hint="eastAsia" w:ascii="仿宋_GB2312"/>
          <w:bCs/>
          <w:color w:val="auto"/>
          <w:sz w:val="32"/>
          <w:szCs w:val="32"/>
        </w:rPr>
        <w:t>（一）科学公正。本次保障养老院运转类项目支出绩效评价运用科学合理的方法，</w:t>
      </w:r>
      <w:r>
        <w:rPr>
          <w:rFonts w:hint="eastAsia" w:ascii="仿宋_GB2312"/>
          <w:bCs/>
          <w:color w:val="auto"/>
          <w:sz w:val="32"/>
          <w:szCs w:val="32"/>
          <w:lang w:val="en-US" w:eastAsia="zh-CN"/>
        </w:rPr>
        <w:t>以支付凭证、调查问卷、调查分析报告为评价依据，</w:t>
      </w:r>
      <w:r>
        <w:rPr>
          <w:rFonts w:hint="eastAsia" w:ascii="仿宋_GB2312"/>
          <w:bCs/>
          <w:color w:val="auto"/>
          <w:sz w:val="32"/>
          <w:szCs w:val="32"/>
        </w:rPr>
        <w:t>按照</w:t>
      </w:r>
      <w:r>
        <w:rPr>
          <w:rFonts w:hint="eastAsia" w:ascii="仿宋_GB2312"/>
          <w:bCs/>
          <w:color w:val="auto"/>
          <w:sz w:val="32"/>
          <w:szCs w:val="32"/>
          <w:lang w:val="en-US" w:eastAsia="zh-CN"/>
        </w:rPr>
        <w:t>单位绩效人员评价、业务科室及绩效科审核等</w:t>
      </w:r>
      <w:r>
        <w:rPr>
          <w:rFonts w:hint="eastAsia" w:ascii="仿宋_GB2312"/>
          <w:bCs/>
          <w:color w:val="auto"/>
          <w:sz w:val="32"/>
          <w:szCs w:val="32"/>
        </w:rPr>
        <w:t>规范的程序，对项目绩效进行客观、公正的反映。</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bCs/>
          <w:color w:val="auto"/>
          <w:sz w:val="32"/>
          <w:szCs w:val="32"/>
          <w:lang w:val="en-US" w:eastAsia="zh-CN"/>
        </w:rPr>
      </w:pPr>
      <w:r>
        <w:rPr>
          <w:rFonts w:hint="eastAsia" w:ascii="仿宋_GB2312"/>
          <w:bCs/>
          <w:color w:val="auto"/>
          <w:sz w:val="32"/>
          <w:szCs w:val="32"/>
        </w:rPr>
        <w:t>（二）统筹兼顾。本次项目支出绩效评价由本单位自主实施，即“谁支出、谁自评”</w:t>
      </w:r>
      <w:r>
        <w:rPr>
          <w:rFonts w:hint="eastAsia" w:ascii="仿宋_GB2312"/>
          <w:bCs/>
          <w:color w:val="auto"/>
          <w:sz w:val="32"/>
          <w:szCs w:val="32"/>
          <w:lang w:eastAsia="zh-CN"/>
        </w:rPr>
        <w:t>，</w:t>
      </w:r>
      <w:r>
        <w:rPr>
          <w:rFonts w:hint="eastAsia" w:ascii="仿宋_GB2312"/>
          <w:bCs/>
          <w:color w:val="auto"/>
          <w:sz w:val="32"/>
          <w:szCs w:val="32"/>
          <w:lang w:val="en-US" w:eastAsia="zh-CN"/>
        </w:rPr>
        <w:t>办公室人员制定资金使用计划，负责采购及财务的人员按照采购及支付的程序审批，绩效评价人员收集材料为自评作基础准备。</w:t>
      </w:r>
    </w:p>
    <w:p>
      <w:pPr>
        <w:pageBreakBefore w:val="0"/>
        <w:kinsoku/>
        <w:wordWrap/>
        <w:overflowPunct/>
        <w:topLinePunct w:val="0"/>
        <w:autoSpaceDE/>
        <w:autoSpaceDN/>
        <w:bidi w:val="0"/>
        <w:adjustRightInd/>
        <w:snapToGrid/>
        <w:spacing w:line="560" w:lineRule="exact"/>
        <w:ind w:firstLine="640" w:firstLineChars="200"/>
        <w:textAlignment w:val="auto"/>
        <w:rPr>
          <w:rFonts w:ascii="仿宋_GB2312"/>
          <w:bCs/>
          <w:color w:val="auto"/>
          <w:sz w:val="32"/>
          <w:szCs w:val="32"/>
        </w:rPr>
      </w:pPr>
      <w:r>
        <w:rPr>
          <w:rFonts w:hint="eastAsia" w:ascii="仿宋_GB2312"/>
          <w:bCs/>
          <w:color w:val="auto"/>
          <w:sz w:val="32"/>
          <w:szCs w:val="32"/>
        </w:rPr>
        <w:t>（三）激励约束。本次项目支出绩效评价结果与</w:t>
      </w:r>
      <w:r>
        <w:rPr>
          <w:rFonts w:hint="eastAsia" w:ascii="仿宋_GB2312"/>
          <w:bCs/>
          <w:color w:val="auto"/>
          <w:sz w:val="32"/>
          <w:szCs w:val="32"/>
          <w:lang w:val="en-US" w:eastAsia="zh-CN"/>
        </w:rPr>
        <w:t>2023年实际预决</w:t>
      </w:r>
      <w:r>
        <w:rPr>
          <w:rFonts w:hint="eastAsia" w:ascii="仿宋_GB2312"/>
          <w:bCs/>
          <w:color w:val="auto"/>
          <w:sz w:val="32"/>
          <w:szCs w:val="32"/>
        </w:rPr>
        <w:t>算、政策调整、改进管理实质性挂钩，</w:t>
      </w:r>
      <w:r>
        <w:rPr>
          <w:rFonts w:hint="eastAsia" w:ascii="仿宋_GB2312"/>
          <w:bCs/>
          <w:color w:val="auto"/>
          <w:sz w:val="32"/>
          <w:szCs w:val="32"/>
          <w:lang w:val="en-US" w:eastAsia="zh-CN"/>
        </w:rPr>
        <w:t>项目执行过程中统计劳务派遣人数，按实际支</w:t>
      </w:r>
      <w:r>
        <w:rPr>
          <w:rFonts w:hint="eastAsia" w:ascii="仿宋_GB2312" w:hAnsi="Times New Roman" w:cs="Times New Roman"/>
          <w:bCs/>
          <w:color w:val="auto"/>
          <w:sz w:val="32"/>
          <w:szCs w:val="32"/>
          <w:lang w:val="en-US" w:eastAsia="zh-CN"/>
        </w:rPr>
        <w:t>付电信费、餐厅食材费用、自来水费及污水处理费，</w:t>
      </w:r>
      <w:r>
        <w:rPr>
          <w:rFonts w:hint="eastAsia" w:ascii="仿宋_GB2312" w:hAnsi="Times New Roman" w:cs="Times New Roman"/>
          <w:bCs/>
          <w:color w:val="auto"/>
          <w:sz w:val="32"/>
          <w:szCs w:val="32"/>
        </w:rPr>
        <w:t>体现奖优罚劣和激</w:t>
      </w:r>
      <w:r>
        <w:rPr>
          <w:rFonts w:hint="eastAsia" w:ascii="仿宋_GB2312"/>
          <w:bCs/>
          <w:color w:val="auto"/>
          <w:sz w:val="32"/>
          <w:szCs w:val="32"/>
        </w:rPr>
        <w:t>励相容导向，有效要安排、低效要压减、无效要问责。</w:t>
      </w:r>
    </w:p>
    <w:p>
      <w:pPr>
        <w:pageBreakBefore w:val="0"/>
        <w:kinsoku/>
        <w:wordWrap/>
        <w:overflowPunct/>
        <w:topLinePunct w:val="0"/>
        <w:autoSpaceDE/>
        <w:autoSpaceDN/>
        <w:bidi w:val="0"/>
        <w:adjustRightInd/>
        <w:snapToGrid/>
        <w:spacing w:line="560" w:lineRule="exact"/>
        <w:ind w:firstLine="640" w:firstLineChars="200"/>
        <w:textAlignment w:val="auto"/>
        <w:rPr>
          <w:color w:val="auto"/>
        </w:rPr>
      </w:pPr>
      <w:r>
        <w:rPr>
          <w:rFonts w:hint="eastAsia" w:ascii="仿宋_GB2312"/>
          <w:bCs/>
          <w:color w:val="auto"/>
          <w:sz w:val="32"/>
          <w:szCs w:val="32"/>
        </w:rPr>
        <w:t>（四）公开透明。本次项目支出绩效评价结果已依法依规公开在巴音郭楞蒙古自治州政府网网站上，并自觉接受社会监督。</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color w:val="auto"/>
        </w:rPr>
      </w:pPr>
      <w:r>
        <w:rPr>
          <w:rFonts w:hint="eastAsia"/>
          <w:color w:val="auto"/>
        </w:rPr>
        <w:t>2、评价指标体系（附表说明）</w:t>
      </w:r>
    </w:p>
    <w:p>
      <w:pPr>
        <w:pageBreakBefore w:val="0"/>
        <w:kinsoku/>
        <w:wordWrap/>
        <w:overflowPunct/>
        <w:topLinePunct w:val="0"/>
        <w:autoSpaceDE/>
        <w:autoSpaceDN/>
        <w:bidi w:val="0"/>
        <w:adjustRightInd/>
        <w:snapToGrid/>
        <w:spacing w:line="560" w:lineRule="exact"/>
        <w:ind w:firstLine="708" w:firstLineChars="200"/>
        <w:textAlignment w:val="auto"/>
        <w:rPr>
          <w:color w:val="auto"/>
          <w:spacing w:val="17"/>
          <w:sz w:val="32"/>
          <w:szCs w:val="32"/>
        </w:rPr>
      </w:pPr>
      <w:r>
        <w:rPr>
          <w:rFonts w:eastAsia="仿宋_GB2312"/>
          <w:color w:val="auto"/>
          <w:spacing w:val="17"/>
          <w:sz w:val="32"/>
          <w:szCs w:val="32"/>
        </w:rPr>
        <w:t>绩效评价框架是开展绩效评价的核心。绩效评价框架包括评价准则、关键评价问题、评价指标、数据来源、数据收集方法等。指标体系建立过程如下：</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auto"/>
          <w:spacing w:val="17"/>
          <w:sz w:val="32"/>
          <w:szCs w:val="32"/>
        </w:rPr>
      </w:pPr>
      <w:r>
        <w:rPr>
          <w:rFonts w:eastAsia="仿宋_GB2312"/>
          <w:color w:val="auto"/>
          <w:spacing w:val="17"/>
          <w:sz w:val="32"/>
          <w:szCs w:val="32"/>
        </w:rPr>
        <w:t>（1）确定评价指标</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auto"/>
          <w:spacing w:val="17"/>
          <w:sz w:val="32"/>
          <w:szCs w:val="32"/>
        </w:rPr>
      </w:pPr>
      <w:r>
        <w:rPr>
          <w:rFonts w:eastAsia="仿宋_GB2312"/>
          <w:color w:val="auto"/>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auto"/>
          <w:spacing w:val="17"/>
          <w:sz w:val="32"/>
          <w:szCs w:val="32"/>
        </w:rPr>
      </w:pPr>
      <w:r>
        <w:rPr>
          <w:rFonts w:eastAsia="仿宋_GB2312"/>
          <w:color w:val="auto"/>
          <w:spacing w:val="17"/>
          <w:sz w:val="32"/>
          <w:szCs w:val="32"/>
        </w:rPr>
        <w:t>（2）确定权重</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lang w:eastAsia="zh-CN"/>
        </w:rPr>
      </w:pPr>
      <w:r>
        <w:rPr>
          <w:rFonts w:eastAsia="仿宋_GB2312"/>
          <w:color w:val="auto"/>
          <w:spacing w:val="17"/>
          <w:sz w:val="32"/>
          <w:szCs w:val="32"/>
        </w:rPr>
        <w:t>确定各个指标相对于项目总体绩效的权重分值。在绩效评价指标体系中，项目决策权重为20分，项目过程权重为</w:t>
      </w:r>
      <w:r>
        <w:rPr>
          <w:rFonts w:hint="eastAsia"/>
          <w:color w:val="auto"/>
          <w:spacing w:val="17"/>
          <w:sz w:val="32"/>
          <w:szCs w:val="32"/>
          <w:lang w:val="en-US" w:eastAsia="zh-CN"/>
        </w:rPr>
        <w:t>20</w:t>
      </w:r>
      <w:r>
        <w:rPr>
          <w:rFonts w:eastAsia="仿宋_GB2312"/>
          <w:color w:val="auto"/>
          <w:spacing w:val="17"/>
          <w:sz w:val="32"/>
          <w:szCs w:val="32"/>
        </w:rPr>
        <w:t>分，项目产出权重为</w:t>
      </w:r>
      <w:r>
        <w:rPr>
          <w:rFonts w:hint="eastAsia"/>
          <w:color w:val="auto"/>
          <w:spacing w:val="17"/>
          <w:sz w:val="32"/>
          <w:szCs w:val="32"/>
          <w:lang w:val="en-US" w:eastAsia="zh-CN"/>
        </w:rPr>
        <w:t>40</w:t>
      </w:r>
      <w:r>
        <w:rPr>
          <w:rFonts w:eastAsia="仿宋_GB2312"/>
          <w:color w:val="auto"/>
          <w:spacing w:val="17"/>
          <w:sz w:val="32"/>
          <w:szCs w:val="32"/>
        </w:rPr>
        <w:t>分，项目效益权重为20分。</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auto"/>
          <w:spacing w:val="17"/>
          <w:sz w:val="32"/>
          <w:szCs w:val="32"/>
        </w:rPr>
      </w:pPr>
      <w:r>
        <w:rPr>
          <w:rFonts w:eastAsia="仿宋_GB2312"/>
          <w:color w:val="auto"/>
          <w:spacing w:val="17"/>
          <w:sz w:val="32"/>
          <w:szCs w:val="32"/>
        </w:rPr>
        <w:t>（3）确定指标标准值</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auto"/>
          <w:spacing w:val="17"/>
          <w:sz w:val="32"/>
          <w:szCs w:val="32"/>
        </w:rPr>
      </w:pPr>
      <w:r>
        <w:rPr>
          <w:rFonts w:eastAsia="仿宋_GB2312"/>
          <w:color w:val="auto"/>
          <w:spacing w:val="17"/>
          <w:sz w:val="32"/>
          <w:szCs w:val="32"/>
        </w:rPr>
        <w:t>指标标准值是绩效评价指标的尺度，既要反映同类项目的先进水平，又要符合项目的实际绩效水平。具体采用计划标准等确定此次绩效评价指标标准值。</w:t>
      </w:r>
    </w:p>
    <w:p>
      <w:pPr>
        <w:pStyle w:val="2"/>
        <w:pageBreakBefore w:val="0"/>
        <w:kinsoku/>
        <w:wordWrap/>
        <w:overflowPunct/>
        <w:topLinePunct w:val="0"/>
        <w:autoSpaceDE/>
        <w:autoSpaceDN/>
        <w:bidi w:val="0"/>
        <w:adjustRightInd/>
        <w:snapToGrid/>
        <w:spacing w:before="0" w:after="0" w:line="560" w:lineRule="exact"/>
        <w:ind w:firstLine="708" w:firstLineChars="200"/>
        <w:jc w:val="both"/>
        <w:textAlignment w:val="auto"/>
        <w:rPr>
          <w:rFonts w:ascii="Times New Roman" w:hAnsi="Times New Roman" w:eastAsia="仿宋_GB2312"/>
          <w:b w:val="0"/>
          <w:bCs w:val="0"/>
          <w:color w:val="auto"/>
          <w:spacing w:val="17"/>
          <w:kern w:val="2"/>
        </w:rPr>
      </w:pPr>
      <w:r>
        <w:rPr>
          <w:rFonts w:ascii="Times New Roman" w:hAnsi="Times New Roman" w:eastAsia="仿宋_GB2312"/>
          <w:b w:val="0"/>
          <w:bCs w:val="0"/>
          <w:color w:val="auto"/>
          <w:spacing w:val="17"/>
          <w:kern w:val="2"/>
        </w:rPr>
        <w:t>绩效评价总分值</w:t>
      </w:r>
      <w:r>
        <w:rPr>
          <w:rFonts w:hint="eastAsia" w:ascii="Times New Roman" w:hAnsi="Times New Roman" w:eastAsia="仿宋_GB2312"/>
          <w:b w:val="0"/>
          <w:bCs w:val="0"/>
          <w:color w:val="auto"/>
          <w:spacing w:val="17"/>
          <w:kern w:val="2"/>
          <w:lang w:val="en-US" w:eastAsia="zh-CN"/>
        </w:rPr>
        <w:t>100</w:t>
      </w:r>
      <w:r>
        <w:rPr>
          <w:rFonts w:ascii="Times New Roman" w:hAnsi="Times New Roman" w:eastAsia="仿宋_GB2312"/>
          <w:b w:val="0"/>
          <w:bCs w:val="0"/>
          <w:color w:val="auto"/>
          <w:spacing w:val="17"/>
          <w:kern w:val="2"/>
        </w:rPr>
        <w:t>分，根据综合评分结果，评价计分90分-100分（含90分）对应的评分结果级别为优，80-90分（含80分）对应的评分结果级别为良，60-80分（含60分）对应的评分结果级别为中，60分以下对应的评分结果级别为差。</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color w:val="auto"/>
        </w:rPr>
      </w:pPr>
      <w:r>
        <w:rPr>
          <w:rFonts w:hint="eastAsia"/>
          <w:color w:val="auto"/>
        </w:rPr>
        <w:t>3、评价方法</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auto"/>
          <w:spacing w:val="17"/>
          <w:sz w:val="32"/>
          <w:szCs w:val="32"/>
        </w:rPr>
      </w:pPr>
      <w:r>
        <w:rPr>
          <w:rFonts w:eastAsia="仿宋_GB2312"/>
          <w:color w:val="auto"/>
          <w:spacing w:val="17"/>
          <w:sz w:val="32"/>
          <w:szCs w:val="32"/>
        </w:rPr>
        <w:t>绩效评价从项目决策、项目过程、项目产出、项目效益四个维度进行评价。评价对象为项目目标实施情况，  评价核心为资金的支出完成情况和项目的产出效益。</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auto"/>
          <w:spacing w:val="17"/>
          <w:sz w:val="32"/>
          <w:szCs w:val="32"/>
        </w:rPr>
      </w:pPr>
      <w:r>
        <w:rPr>
          <w:rFonts w:eastAsia="仿宋_GB2312"/>
          <w:color w:val="auto"/>
          <w:spacing w:val="17"/>
          <w:sz w:val="32"/>
          <w:szCs w:val="32"/>
        </w:rPr>
        <w:t>本次评价指标中，既有定性指标又有定量指标，各类指标因考核内容不同和客观标准不同存在较大差异，因此核定具体指标时采用了不同方法，具体评价方法如下：</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color w:val="000000" w:themeColor="text1"/>
          <w:highlight w:val="none"/>
          <w:lang w:eastAsia="zh-CN"/>
        </w:rPr>
      </w:pPr>
      <w:r>
        <w:rPr>
          <w:rFonts w:hint="eastAsia"/>
          <w:bCs/>
          <w:color w:val="auto"/>
          <w:sz w:val="32"/>
          <w:szCs w:val="32"/>
        </w:rPr>
        <w:t>因素分析法</w:t>
      </w:r>
      <w:r>
        <w:rPr>
          <w:rFonts w:hint="eastAsia"/>
          <w:color w:val="auto"/>
          <w:spacing w:val="17"/>
          <w:sz w:val="32"/>
          <w:szCs w:val="32"/>
          <w:lang w:eastAsia="zh-CN"/>
        </w:rPr>
        <w:t>，</w:t>
      </w:r>
      <w:r>
        <w:rPr>
          <w:rFonts w:hint="eastAsia"/>
          <w:color w:val="auto"/>
          <w:spacing w:val="17"/>
          <w:sz w:val="32"/>
          <w:szCs w:val="32"/>
          <w:lang w:val="en-US" w:eastAsia="zh-CN"/>
        </w:rPr>
        <w:t>原因是保障养老院运转类项目</w:t>
      </w:r>
      <w:r>
        <w:rPr>
          <w:rFonts w:hint="eastAsia"/>
          <w:bCs/>
          <w:color w:val="auto"/>
          <w:sz w:val="32"/>
          <w:szCs w:val="32"/>
        </w:rPr>
        <w:t>综合分析</w:t>
      </w:r>
      <w:r>
        <w:rPr>
          <w:rFonts w:hint="eastAsia"/>
          <w:bCs/>
          <w:color w:val="auto"/>
          <w:sz w:val="32"/>
          <w:szCs w:val="32"/>
          <w:lang w:val="en-US" w:eastAsia="zh-CN"/>
        </w:rPr>
        <w:t>发放次数、发放人数、发放资金数及每月运转经费等</w:t>
      </w:r>
      <w:r>
        <w:rPr>
          <w:rFonts w:hint="eastAsia"/>
          <w:bCs/>
          <w:color w:val="auto"/>
          <w:sz w:val="32"/>
          <w:szCs w:val="32"/>
        </w:rPr>
        <w:t>影响绩效目标</w:t>
      </w:r>
      <w:r>
        <w:rPr>
          <w:rFonts w:hint="eastAsia"/>
          <w:bCs/>
          <w:color w:val="auto"/>
          <w:sz w:val="32"/>
          <w:szCs w:val="32"/>
          <w:highlight w:val="none"/>
        </w:rPr>
        <w:t>实现</w:t>
      </w:r>
      <w:r>
        <w:rPr>
          <w:rFonts w:hint="eastAsia"/>
          <w:bCs/>
          <w:color w:val="auto"/>
          <w:sz w:val="32"/>
          <w:szCs w:val="32"/>
          <w:highlight w:val="none"/>
          <w:lang w:eastAsia="zh-CN"/>
        </w:rPr>
        <w:t>，保障单位日常行政事务的开展，提高老年人的幸福指数</w:t>
      </w:r>
      <w:r>
        <w:rPr>
          <w:rFonts w:hint="eastAsia"/>
          <w:bCs/>
          <w:color w:val="000000" w:themeColor="text1"/>
          <w:sz w:val="32"/>
          <w:szCs w:val="32"/>
          <w:highlight w:val="none"/>
          <w:lang w:eastAsia="zh-CN"/>
        </w:rPr>
        <w:t>的</w:t>
      </w:r>
      <w:r>
        <w:rPr>
          <w:rFonts w:hint="eastAsia"/>
          <w:bCs/>
          <w:color w:val="000000" w:themeColor="text1"/>
          <w:sz w:val="32"/>
          <w:szCs w:val="32"/>
          <w:highlight w:val="none"/>
        </w:rPr>
        <w:t>实施效果</w:t>
      </w:r>
      <w:r>
        <w:rPr>
          <w:rFonts w:hint="eastAsia"/>
          <w:bCs/>
          <w:color w:val="000000" w:themeColor="text1"/>
          <w:sz w:val="32"/>
          <w:szCs w:val="32"/>
          <w:highlight w:val="none"/>
          <w:lang w:eastAsia="zh-CN"/>
        </w:rPr>
        <w:t>等</w:t>
      </w:r>
      <w:r>
        <w:rPr>
          <w:rFonts w:hint="eastAsia"/>
          <w:bCs/>
          <w:color w:val="000000" w:themeColor="text1"/>
          <w:sz w:val="32"/>
          <w:szCs w:val="32"/>
          <w:highlight w:val="none"/>
        </w:rPr>
        <w:t>内外部因素</w:t>
      </w:r>
      <w:r>
        <w:rPr>
          <w:rFonts w:hint="eastAsia"/>
          <w:bCs/>
          <w:color w:val="000000" w:themeColor="text1"/>
          <w:sz w:val="32"/>
          <w:szCs w:val="32"/>
          <w:highlight w:val="none"/>
          <w:lang w:eastAsia="zh-CN"/>
        </w:rPr>
        <w:t>进行评价</w:t>
      </w:r>
      <w:r>
        <w:rPr>
          <w:rFonts w:hint="eastAsia"/>
          <w:bCs/>
          <w:color w:val="000000" w:themeColor="text1"/>
          <w:sz w:val="32"/>
          <w:szCs w:val="32"/>
          <w:highlight w:val="none"/>
        </w:rPr>
        <w:t>。</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color w:val="auto"/>
          <w:highlight w:val="none"/>
        </w:rPr>
      </w:pPr>
      <w:r>
        <w:rPr>
          <w:rFonts w:hint="eastAsia"/>
          <w:color w:val="auto"/>
          <w:highlight w:val="none"/>
        </w:rPr>
        <w:t>4</w:t>
      </w:r>
      <w:r>
        <w:rPr>
          <w:rFonts w:hint="eastAsia"/>
          <w:color w:val="auto"/>
          <w:highlight w:val="none"/>
          <w:lang w:val="en-US" w:eastAsia="zh-CN"/>
        </w:rPr>
        <w:t>.</w:t>
      </w:r>
      <w:r>
        <w:rPr>
          <w:rFonts w:hint="eastAsia"/>
          <w:color w:val="auto"/>
          <w:highlight w:val="none"/>
        </w:rPr>
        <w:t>评价标准</w:t>
      </w:r>
    </w:p>
    <w:p>
      <w:pPr>
        <w:pageBreakBefore w:val="0"/>
        <w:kinsoku/>
        <w:wordWrap/>
        <w:overflowPunct/>
        <w:topLinePunct w:val="0"/>
        <w:autoSpaceDE/>
        <w:autoSpaceDN/>
        <w:bidi w:val="0"/>
        <w:adjustRightInd/>
        <w:snapToGrid/>
        <w:spacing w:line="560" w:lineRule="exact"/>
        <w:ind w:firstLine="708" w:firstLineChars="200"/>
        <w:textAlignment w:val="auto"/>
        <w:rPr>
          <w:bCs/>
          <w:color w:val="auto"/>
          <w:sz w:val="32"/>
          <w:szCs w:val="32"/>
        </w:rPr>
      </w:pPr>
      <w:r>
        <w:rPr>
          <w:rFonts w:hint="eastAsia" w:eastAsia="仿宋_GB2312"/>
          <w:color w:val="auto"/>
          <w:spacing w:val="17"/>
          <w:sz w:val="32"/>
          <w:szCs w:val="32"/>
        </w:rPr>
        <w:t>绩效评价标准通常包括计划标准、行业标准、历史标准等，用于对绩效指标完成情况进行比较、分析、评价。本次评价主要采用了</w:t>
      </w:r>
      <w:r>
        <w:rPr>
          <w:rFonts w:hint="eastAsia"/>
          <w:color w:val="auto"/>
          <w:spacing w:val="17"/>
          <w:sz w:val="32"/>
          <w:szCs w:val="32"/>
          <w:lang w:val="en-US" w:eastAsia="zh-CN"/>
        </w:rPr>
        <w:t>计划标准</w:t>
      </w:r>
      <w:r>
        <w:rPr>
          <w:rFonts w:hint="eastAsia"/>
          <w:color w:val="auto"/>
          <w:spacing w:val="17"/>
          <w:sz w:val="32"/>
          <w:szCs w:val="32"/>
          <w:lang w:eastAsia="zh-CN"/>
        </w:rPr>
        <w:t>，</w:t>
      </w:r>
      <w:r>
        <w:rPr>
          <w:rFonts w:hint="eastAsia"/>
          <w:color w:val="auto"/>
          <w:spacing w:val="17"/>
          <w:sz w:val="32"/>
          <w:szCs w:val="32"/>
          <w:lang w:val="en-US" w:eastAsia="zh-CN"/>
        </w:rPr>
        <w:t>原因是计划标准预先</w:t>
      </w:r>
      <w:r>
        <w:rPr>
          <w:rFonts w:hint="eastAsia"/>
          <w:bCs/>
          <w:color w:val="auto"/>
          <w:sz w:val="32"/>
          <w:szCs w:val="32"/>
        </w:rPr>
        <w:t>制定的目标、计划、预算、定额等</w:t>
      </w:r>
      <w:r>
        <w:rPr>
          <w:rFonts w:hint="eastAsia"/>
          <w:bCs/>
          <w:color w:val="auto"/>
          <w:sz w:val="32"/>
          <w:szCs w:val="32"/>
          <w:lang w:eastAsia="zh-CN"/>
        </w:rPr>
        <w:t>，</w:t>
      </w:r>
      <w:r>
        <w:rPr>
          <w:rFonts w:hint="eastAsia"/>
          <w:bCs/>
          <w:color w:val="auto"/>
          <w:sz w:val="32"/>
          <w:szCs w:val="32"/>
          <w:lang w:val="en-US" w:eastAsia="zh-CN"/>
        </w:rPr>
        <w:t>科学合理地帮助保障养老院运转类项目明确发放人数等指标，提高绩效评估的效率。</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color w:val="auto"/>
        </w:rPr>
      </w:pPr>
      <w:bookmarkStart w:id="6" w:name="_Toc68703833"/>
      <w:r>
        <w:rPr>
          <w:rFonts w:hint="eastAsia" w:ascii="仿宋_GB2312" w:eastAsia="仿宋_GB2312"/>
          <w:b w:val="0"/>
          <w:bCs w:val="0"/>
          <w:color w:val="auto"/>
        </w:rPr>
        <w:t>（三）绩效评价工作过程。</w:t>
      </w:r>
      <w:bookmarkEnd w:id="6"/>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color w:val="auto"/>
          <w:sz w:val="32"/>
          <w:szCs w:val="32"/>
        </w:rPr>
      </w:pPr>
      <w:bookmarkStart w:id="7" w:name="_Toc68703834"/>
      <w:r>
        <w:rPr>
          <w:rFonts w:hint="eastAsia" w:eastAsia="仿宋_GB2312"/>
          <w:bCs/>
          <w:color w:val="auto"/>
          <w:sz w:val="32"/>
          <w:szCs w:val="32"/>
          <w:lang w:val="en-US" w:eastAsia="zh-CN"/>
        </w:rPr>
        <w:t>1.</w:t>
      </w:r>
      <w:r>
        <w:rPr>
          <w:rFonts w:hint="eastAsia" w:eastAsia="仿宋_GB2312"/>
          <w:bCs/>
          <w:color w:val="auto"/>
          <w:sz w:val="32"/>
          <w:szCs w:val="32"/>
        </w:rPr>
        <w:t>前期准备。首先成立</w:t>
      </w:r>
      <w:r>
        <w:rPr>
          <w:rFonts w:hint="eastAsia"/>
          <w:bCs/>
          <w:color w:val="auto"/>
          <w:sz w:val="32"/>
          <w:szCs w:val="32"/>
          <w:lang w:val="en-US" w:eastAsia="zh-CN"/>
        </w:rPr>
        <w:t>单位绩效</w:t>
      </w:r>
      <w:r>
        <w:rPr>
          <w:rFonts w:hint="eastAsia" w:eastAsia="仿宋_GB2312"/>
          <w:bCs/>
          <w:color w:val="auto"/>
          <w:sz w:val="32"/>
          <w:szCs w:val="32"/>
        </w:rPr>
        <w:t>评价工作组，</w:t>
      </w:r>
      <w:r>
        <w:rPr>
          <w:rFonts w:hint="eastAsia"/>
          <w:bCs/>
          <w:color w:val="auto"/>
          <w:sz w:val="32"/>
          <w:szCs w:val="32"/>
          <w:lang w:val="en-US" w:eastAsia="zh-CN"/>
        </w:rPr>
        <w:t>项目</w:t>
      </w:r>
      <w:r>
        <w:rPr>
          <w:rFonts w:hint="eastAsia" w:eastAsia="仿宋_GB2312"/>
          <w:bCs/>
          <w:color w:val="auto"/>
          <w:sz w:val="32"/>
          <w:szCs w:val="32"/>
        </w:rPr>
        <w:t>开展前期调研</w:t>
      </w:r>
      <w:r>
        <w:rPr>
          <w:rFonts w:hint="eastAsia"/>
          <w:bCs/>
          <w:color w:val="auto"/>
          <w:sz w:val="32"/>
          <w:szCs w:val="32"/>
          <w:lang w:val="en-US" w:eastAsia="zh-CN"/>
        </w:rPr>
        <w:t>需要发放的人数及每月运转所需的费用</w:t>
      </w:r>
      <w:r>
        <w:rPr>
          <w:rFonts w:hint="eastAsia" w:eastAsia="仿宋_GB2312"/>
          <w:bCs/>
          <w:color w:val="auto"/>
          <w:sz w:val="32"/>
          <w:szCs w:val="32"/>
        </w:rPr>
        <w:t>；其次</w:t>
      </w:r>
      <w:r>
        <w:rPr>
          <w:rFonts w:hint="eastAsia"/>
          <w:bCs/>
          <w:color w:val="auto"/>
          <w:sz w:val="32"/>
          <w:szCs w:val="32"/>
          <w:lang w:val="en-US" w:eastAsia="zh-CN"/>
        </w:rPr>
        <w:t>按照资金使用计划</w:t>
      </w:r>
      <w:r>
        <w:rPr>
          <w:rFonts w:hint="eastAsia" w:eastAsia="仿宋_GB2312"/>
          <w:bCs/>
          <w:color w:val="auto"/>
          <w:sz w:val="32"/>
          <w:szCs w:val="32"/>
        </w:rPr>
        <w:t>明确项目绩效目标，设计绩效评价指标体系并确定绩效评价方法；接着确定现场和非现场评价范围，设计资料清单</w:t>
      </w:r>
      <w:r>
        <w:rPr>
          <w:rFonts w:hint="eastAsia"/>
          <w:bCs/>
          <w:color w:val="auto"/>
          <w:sz w:val="32"/>
          <w:szCs w:val="32"/>
          <w:lang w:eastAsia="zh-CN"/>
        </w:rPr>
        <w:t>，</w:t>
      </w:r>
      <w:r>
        <w:rPr>
          <w:rFonts w:hint="eastAsia"/>
          <w:bCs/>
          <w:color w:val="auto"/>
          <w:sz w:val="32"/>
          <w:szCs w:val="32"/>
          <w:lang w:val="en-US" w:eastAsia="zh-CN"/>
        </w:rPr>
        <w:t>包括调查问卷及相关分析报告</w:t>
      </w:r>
      <w:r>
        <w:rPr>
          <w:rFonts w:hint="eastAsia" w:eastAsia="仿宋_GB2312"/>
          <w:bCs/>
          <w:color w:val="auto"/>
          <w:sz w:val="32"/>
          <w:szCs w:val="32"/>
        </w:rPr>
        <w:t>；最后制定</w:t>
      </w:r>
      <w:r>
        <w:rPr>
          <w:rFonts w:hint="eastAsia"/>
          <w:bCs/>
          <w:color w:val="auto"/>
          <w:sz w:val="32"/>
          <w:szCs w:val="32"/>
          <w:lang w:val="en-US" w:eastAsia="zh-CN"/>
        </w:rPr>
        <w:t>项目</w:t>
      </w:r>
      <w:r>
        <w:rPr>
          <w:rFonts w:hint="eastAsia" w:eastAsia="仿宋_GB2312"/>
          <w:bCs/>
          <w:color w:val="auto"/>
          <w:sz w:val="32"/>
          <w:szCs w:val="32"/>
        </w:rPr>
        <w:t>评价</w:t>
      </w:r>
      <w:r>
        <w:rPr>
          <w:rFonts w:hint="eastAsia"/>
          <w:bCs/>
          <w:color w:val="auto"/>
          <w:sz w:val="32"/>
          <w:szCs w:val="32"/>
          <w:lang w:val="en-US" w:eastAsia="zh-CN"/>
        </w:rPr>
        <w:t>的</w:t>
      </w:r>
      <w:r>
        <w:rPr>
          <w:rFonts w:hint="eastAsia" w:eastAsia="仿宋_GB2312"/>
          <w:bCs/>
          <w:color w:val="auto"/>
          <w:sz w:val="32"/>
          <w:szCs w:val="32"/>
        </w:rPr>
        <w:t>实施方案</w:t>
      </w:r>
      <w:r>
        <w:rPr>
          <w:rFonts w:hint="eastAsia"/>
          <w:bCs/>
          <w:color w:val="auto"/>
          <w:sz w:val="32"/>
          <w:szCs w:val="32"/>
          <w:lang w:val="en-US" w:eastAsia="zh-CN"/>
        </w:rPr>
        <w:t>通过集体决策</w:t>
      </w:r>
      <w:r>
        <w:rPr>
          <w:rFonts w:hint="eastAsia" w:eastAsia="仿宋_GB2312"/>
          <w:bCs/>
          <w:color w:val="auto"/>
          <w:sz w:val="32"/>
          <w:szCs w:val="32"/>
        </w:rPr>
        <w:t>进行论证。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color w:val="auto"/>
          <w:sz w:val="32"/>
          <w:szCs w:val="32"/>
        </w:rPr>
      </w:pPr>
      <w:r>
        <w:rPr>
          <w:rFonts w:hint="eastAsia" w:eastAsia="仿宋_GB2312"/>
          <w:bCs/>
          <w:color w:val="auto"/>
          <w:sz w:val="32"/>
          <w:szCs w:val="32"/>
          <w:lang w:val="en-US" w:eastAsia="zh-CN"/>
        </w:rPr>
        <w:t>2.</w:t>
      </w:r>
      <w:r>
        <w:rPr>
          <w:rFonts w:hint="eastAsia" w:eastAsia="仿宋_GB2312"/>
          <w:bCs/>
          <w:color w:val="auto"/>
          <w:sz w:val="32"/>
          <w:szCs w:val="32"/>
        </w:rPr>
        <w:t>组织实施。制定绩效评价工作方案，具体包括项目概况、评价思路、方法手段、组织实施、进度安排等。收集项目立项依据、相关会议纪要、</w:t>
      </w:r>
      <w:r>
        <w:rPr>
          <w:rFonts w:hint="eastAsia"/>
          <w:bCs/>
          <w:color w:val="auto"/>
          <w:sz w:val="32"/>
          <w:szCs w:val="32"/>
          <w:lang w:val="en-US" w:eastAsia="zh-CN"/>
        </w:rPr>
        <w:t>具体</w:t>
      </w:r>
      <w:r>
        <w:rPr>
          <w:rFonts w:hint="eastAsia" w:eastAsia="仿宋_GB2312"/>
          <w:bCs/>
          <w:color w:val="auto"/>
          <w:sz w:val="32"/>
          <w:szCs w:val="32"/>
        </w:rPr>
        <w:t>实施方案、财政资金分配方案、支付管理情况</w:t>
      </w:r>
      <w:r>
        <w:rPr>
          <w:rFonts w:hint="eastAsia"/>
          <w:bCs/>
          <w:color w:val="auto"/>
          <w:sz w:val="32"/>
          <w:szCs w:val="32"/>
          <w:lang w:eastAsia="zh-CN"/>
        </w:rPr>
        <w:t>（</w:t>
      </w:r>
      <w:r>
        <w:rPr>
          <w:rFonts w:hint="eastAsia"/>
          <w:bCs/>
          <w:color w:val="auto"/>
          <w:sz w:val="32"/>
          <w:szCs w:val="32"/>
          <w:lang w:val="en-US" w:eastAsia="zh-CN"/>
        </w:rPr>
        <w:t>支付凭证，验收单</w:t>
      </w:r>
      <w:r>
        <w:rPr>
          <w:rFonts w:hint="eastAsia"/>
          <w:bCs/>
          <w:color w:val="auto"/>
          <w:sz w:val="32"/>
          <w:szCs w:val="32"/>
          <w:lang w:eastAsia="zh-CN"/>
        </w:rPr>
        <w:t>）、</w:t>
      </w:r>
      <w:r>
        <w:rPr>
          <w:rFonts w:hint="eastAsia"/>
          <w:bCs/>
          <w:color w:val="auto"/>
          <w:sz w:val="32"/>
          <w:szCs w:val="32"/>
          <w:lang w:val="en-US" w:eastAsia="zh-CN"/>
        </w:rPr>
        <w:t>资金使用计划，调查问卷</w:t>
      </w:r>
      <w:r>
        <w:rPr>
          <w:rFonts w:hint="eastAsia" w:eastAsia="仿宋_GB2312"/>
          <w:bCs/>
          <w:color w:val="auto"/>
          <w:sz w:val="32"/>
          <w:szCs w:val="32"/>
        </w:rPr>
        <w:t>等相关评价资料并进行梳理。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color w:val="auto"/>
          <w:sz w:val="32"/>
          <w:szCs w:val="32"/>
        </w:rPr>
      </w:pPr>
      <w:r>
        <w:rPr>
          <w:rFonts w:hint="eastAsia" w:eastAsia="仿宋_GB2312"/>
          <w:bCs/>
          <w:color w:val="auto"/>
          <w:sz w:val="32"/>
          <w:szCs w:val="32"/>
          <w:lang w:val="en-US" w:eastAsia="zh-CN"/>
        </w:rPr>
        <w:t>3.</w:t>
      </w:r>
      <w:r>
        <w:rPr>
          <w:rFonts w:hint="eastAsia" w:eastAsia="仿宋_GB2312"/>
          <w:bCs/>
          <w:color w:val="auto"/>
          <w:sz w:val="32"/>
          <w:szCs w:val="32"/>
        </w:rPr>
        <w:t>分析评价。根据收集梳理的资料围绕保障养老院运转类项目立项、</w:t>
      </w:r>
      <w:r>
        <w:rPr>
          <w:rFonts w:hint="eastAsia"/>
          <w:bCs/>
          <w:color w:val="auto"/>
          <w:sz w:val="32"/>
          <w:szCs w:val="32"/>
          <w:lang w:val="en-US" w:eastAsia="zh-CN"/>
        </w:rPr>
        <w:t>支付的劳务派遣人员工资及每月运转经费的</w:t>
      </w:r>
      <w:r>
        <w:rPr>
          <w:rFonts w:hint="eastAsia" w:eastAsia="仿宋_GB2312"/>
          <w:bCs/>
          <w:color w:val="auto"/>
          <w:sz w:val="32"/>
          <w:szCs w:val="32"/>
        </w:rPr>
        <w:t>资金落实、</w:t>
      </w:r>
      <w:r>
        <w:rPr>
          <w:rFonts w:hint="eastAsia"/>
          <w:bCs/>
          <w:color w:val="auto"/>
          <w:sz w:val="32"/>
          <w:szCs w:val="32"/>
          <w:lang w:val="en-US" w:eastAsia="zh-CN"/>
        </w:rPr>
        <w:t>采购</w:t>
      </w:r>
      <w:r>
        <w:rPr>
          <w:rFonts w:hint="eastAsia" w:eastAsia="仿宋_GB2312"/>
          <w:bCs/>
          <w:color w:val="auto"/>
          <w:sz w:val="32"/>
          <w:szCs w:val="32"/>
        </w:rPr>
        <w:t>业务管理、财务管理、项目产出、项目保障各项业务正常</w:t>
      </w:r>
      <w:r>
        <w:rPr>
          <w:rFonts w:hint="eastAsia"/>
          <w:bCs/>
          <w:color w:val="auto"/>
          <w:sz w:val="32"/>
          <w:szCs w:val="32"/>
          <w:lang w:val="en-US" w:eastAsia="zh-CN"/>
        </w:rPr>
        <w:t>的</w:t>
      </w:r>
      <w:r>
        <w:rPr>
          <w:rFonts w:hint="eastAsia" w:eastAsia="仿宋_GB2312"/>
          <w:bCs/>
          <w:color w:val="auto"/>
          <w:sz w:val="32"/>
          <w:szCs w:val="32"/>
        </w:rPr>
        <w:t>效益</w:t>
      </w:r>
      <w:r>
        <w:rPr>
          <w:rFonts w:hint="eastAsia"/>
          <w:bCs/>
          <w:color w:val="auto"/>
          <w:sz w:val="32"/>
          <w:szCs w:val="32"/>
          <w:lang w:eastAsia="zh-CN"/>
        </w:rPr>
        <w:t>、</w:t>
      </w:r>
      <w:r>
        <w:rPr>
          <w:rFonts w:hint="eastAsia"/>
          <w:bCs/>
          <w:color w:val="auto"/>
          <w:sz w:val="32"/>
          <w:szCs w:val="32"/>
          <w:lang w:val="en-US" w:eastAsia="zh-CN"/>
        </w:rPr>
        <w:t>问卷分析报告</w:t>
      </w:r>
      <w:r>
        <w:rPr>
          <w:rFonts w:hint="eastAsia" w:eastAsia="仿宋_GB2312"/>
          <w:bCs/>
          <w:color w:val="auto"/>
          <w:sz w:val="32"/>
          <w:szCs w:val="32"/>
        </w:rPr>
        <w:t>等内容，对照已确定的绩效评价指标进行详细全面的分析评价，逐项打分并形成绩效评价最终结果。</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color w:val="auto"/>
          <w:sz w:val="32"/>
          <w:szCs w:val="32"/>
        </w:rPr>
      </w:pPr>
      <w:r>
        <w:rPr>
          <w:rFonts w:hint="eastAsia" w:ascii="宋体" w:hAnsi="宋体" w:eastAsia="宋体"/>
          <w:color w:val="auto"/>
          <w:sz w:val="32"/>
          <w:szCs w:val="32"/>
        </w:rPr>
        <w:t>三、综合评价情况及评价结论</w:t>
      </w:r>
      <w:bookmarkEnd w:id="7"/>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color w:val="auto"/>
          <w:lang w:eastAsia="zh-CN"/>
        </w:rPr>
      </w:pPr>
      <w:bookmarkStart w:id="8" w:name="_Toc68703835"/>
      <w:r>
        <w:rPr>
          <w:rFonts w:hint="eastAsia" w:ascii="仿宋_GB2312" w:eastAsia="仿宋_GB2312"/>
          <w:b w:val="0"/>
          <w:bCs w:val="0"/>
          <w:color w:val="auto"/>
        </w:rPr>
        <w:t>（一）综合评价情况</w:t>
      </w:r>
      <w:bookmarkEnd w:id="8"/>
      <w:r>
        <w:rPr>
          <w:rFonts w:hint="eastAsia" w:ascii="仿宋_GB2312" w:eastAsia="仿宋_GB2312"/>
          <w:b w:val="0"/>
          <w:bCs w:val="0"/>
          <w:color w:val="auto"/>
          <w:lang w:eastAsia="zh-CN"/>
        </w:rPr>
        <w:t>及评价结论</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color w:val="auto"/>
          <w:kern w:val="28"/>
          <w:sz w:val="32"/>
          <w:szCs w:val="32"/>
          <w:lang w:val="en-US" w:eastAsia="zh-CN" w:bidi="ar-SA"/>
        </w:rPr>
      </w:pPr>
      <w:r>
        <w:rPr>
          <w:rFonts w:hint="eastAsia" w:ascii="仿宋_GB2312"/>
          <w:b w:val="0"/>
          <w:bCs w:val="0"/>
          <w:color w:val="auto"/>
          <w:lang w:val="en-US" w:eastAsia="zh-CN"/>
        </w:rPr>
        <w:t>1.</w:t>
      </w:r>
      <w:r>
        <w:rPr>
          <w:rFonts w:hint="eastAsia" w:ascii="仿宋_GB2312" w:eastAsia="仿宋_GB2312"/>
          <w:b w:val="0"/>
          <w:bCs w:val="0"/>
          <w:color w:val="auto"/>
        </w:rPr>
        <w:t>综合评价情况</w:t>
      </w:r>
      <w:r>
        <w:rPr>
          <w:rFonts w:hint="eastAsia" w:ascii="仿宋_GB2312"/>
          <w:b w:val="0"/>
          <w:bCs w:val="0"/>
          <w:color w:val="auto"/>
          <w:lang w:eastAsia="zh-CN"/>
        </w:rPr>
        <w:t>：</w:t>
      </w:r>
      <w:r>
        <w:rPr>
          <w:rFonts w:hint="eastAsia" w:ascii="Times New Roman" w:hAnsi="Times New Roman" w:eastAsia="仿宋_GB2312" w:cs="Times New Roman"/>
          <w:b w:val="0"/>
          <w:bCs w:val="0"/>
          <w:color w:val="auto"/>
          <w:kern w:val="28"/>
          <w:sz w:val="32"/>
          <w:szCs w:val="32"/>
          <w:lang w:val="en-US" w:eastAsia="zh-CN" w:bidi="ar-SA"/>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pageBreakBefore w:val="0"/>
        <w:kinsoku/>
        <w:wordWrap/>
        <w:overflowPunct/>
        <w:topLinePunct w:val="0"/>
        <w:autoSpaceDE/>
        <w:autoSpaceDN/>
        <w:bidi w:val="0"/>
        <w:adjustRightInd/>
        <w:snapToGrid/>
        <w:spacing w:line="560" w:lineRule="exact"/>
        <w:ind w:firstLine="600" w:firstLineChars="200"/>
        <w:textAlignment w:val="auto"/>
        <w:rPr>
          <w:color w:val="auto"/>
        </w:rPr>
      </w:pPr>
      <w:r>
        <w:rPr>
          <w:rFonts w:hint="eastAsia"/>
          <w:color w:val="auto"/>
        </w:rPr>
        <w:t>本项目严格按照</w:t>
      </w:r>
      <w:r>
        <w:rPr>
          <w:rFonts w:hint="eastAsia" w:ascii="仿宋_GB2312"/>
          <w:bCs/>
          <w:color w:val="auto"/>
          <w:kern w:val="0"/>
          <w:sz w:val="32"/>
          <w:szCs w:val="32"/>
        </w:rPr>
        <w:t>科学公正、统筹兼顾、激励约束、公开透明的</w:t>
      </w:r>
      <w:r>
        <w:rPr>
          <w:rFonts w:hint="eastAsia"/>
          <w:color w:val="auto"/>
        </w:rPr>
        <w:t>绩效评价原则，采用</w:t>
      </w:r>
      <w:r>
        <w:rPr>
          <w:rFonts w:hint="eastAsia"/>
          <w:color w:val="auto"/>
          <w:lang w:eastAsia="zh-CN"/>
        </w:rPr>
        <w:t>因素分析法</w:t>
      </w:r>
      <w:r>
        <w:rPr>
          <w:rFonts w:hint="eastAsia"/>
          <w:color w:val="auto"/>
        </w:rPr>
        <w:t>，坚持</w:t>
      </w:r>
      <w:r>
        <w:rPr>
          <w:rFonts w:hint="eastAsia"/>
          <w:color w:val="auto"/>
          <w:lang w:eastAsia="zh-CN"/>
        </w:rPr>
        <w:t>计划标准和预算支出标准</w:t>
      </w:r>
      <w:r>
        <w:rPr>
          <w:rFonts w:hint="eastAsia"/>
          <w:color w:val="auto"/>
        </w:rPr>
        <w:t>对本项目的立项、绩效目标、资金投入、资金管理、组织实施、产出数量、产出质量、产出时效、产出成本、项目效益进行了综合评价。</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color w:val="auto"/>
        </w:rPr>
      </w:pPr>
      <w:bookmarkStart w:id="9" w:name="_Toc68703836"/>
      <w:r>
        <w:rPr>
          <w:rFonts w:hint="eastAsia" w:ascii="仿宋_GB2312" w:eastAsia="仿宋_GB2312"/>
          <w:b w:val="0"/>
          <w:bCs w:val="0"/>
          <w:color w:val="auto"/>
          <w:lang w:val="en-US" w:eastAsia="zh-CN"/>
        </w:rPr>
        <w:t>2.</w:t>
      </w:r>
      <w:r>
        <w:rPr>
          <w:rFonts w:hint="eastAsia" w:ascii="仿宋_GB2312" w:eastAsia="仿宋_GB2312"/>
          <w:b w:val="0"/>
          <w:bCs w:val="0"/>
          <w:color w:val="auto"/>
        </w:rPr>
        <w:t>评价结论</w:t>
      </w:r>
      <w:bookmarkEnd w:id="9"/>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b w:val="0"/>
          <w:bCs w:val="0"/>
          <w:color w:val="auto"/>
          <w:highlight w:val="none"/>
        </w:rPr>
      </w:pPr>
      <w:r>
        <w:rPr>
          <w:rFonts w:hint="eastAsia" w:ascii="Times New Roman" w:hAnsi="Times New Roman" w:eastAsia="仿宋_GB2312"/>
          <w:b w:val="0"/>
          <w:bCs w:val="0"/>
          <w:color w:val="auto"/>
        </w:rPr>
        <w:t>运用绩效评价组制定的评价指标体系以及财政部《项目支出绩效评价管理办法》（财预〔2020〕10号）文件的评分标准，通过数据采集、问卷调查及访谈等方式，对本项目进行客观评价，最终评分结果：</w:t>
      </w:r>
      <w:r>
        <w:rPr>
          <w:rFonts w:hint="eastAsia" w:ascii="Times New Roman" w:hAnsi="Times New Roman" w:eastAsia="仿宋_GB2312"/>
          <w:b w:val="0"/>
          <w:bCs w:val="0"/>
          <w:color w:val="auto"/>
          <w:highlight w:val="none"/>
        </w:rPr>
        <w:t>总得分为</w:t>
      </w:r>
      <w:r>
        <w:rPr>
          <w:rFonts w:hint="eastAsia"/>
          <w:b w:val="0"/>
          <w:bCs w:val="0"/>
          <w:color w:val="auto"/>
          <w:highlight w:val="none"/>
          <w:lang w:val="en-US" w:eastAsia="zh-CN"/>
        </w:rPr>
        <w:t>99.28</w:t>
      </w:r>
      <w:r>
        <w:rPr>
          <w:rFonts w:hint="eastAsia" w:ascii="Times New Roman" w:hAnsi="Times New Roman" w:eastAsia="仿宋_GB2312"/>
          <w:b w:val="0"/>
          <w:bCs w:val="0"/>
          <w:color w:val="auto"/>
          <w:highlight w:val="none"/>
        </w:rPr>
        <w:t>分，属于“优”。其中，项目决策类指标权重为20分，得分为</w:t>
      </w:r>
      <w:r>
        <w:rPr>
          <w:rFonts w:hint="eastAsia"/>
          <w:b w:val="0"/>
          <w:bCs w:val="0"/>
          <w:color w:val="auto"/>
          <w:highlight w:val="none"/>
          <w:lang w:val="en-US" w:eastAsia="zh-CN"/>
        </w:rPr>
        <w:t>20</w:t>
      </w:r>
      <w:r>
        <w:rPr>
          <w:rFonts w:hint="eastAsia" w:ascii="Times New Roman" w:hAnsi="Times New Roman" w:eastAsia="仿宋_GB2312"/>
          <w:b w:val="0"/>
          <w:bCs w:val="0"/>
          <w:color w:val="auto"/>
          <w:highlight w:val="none"/>
        </w:rPr>
        <w:t>分，得分率为</w:t>
      </w:r>
      <w:r>
        <w:rPr>
          <w:rFonts w:hint="eastAsia"/>
          <w:b w:val="0"/>
          <w:bCs w:val="0"/>
          <w:color w:val="auto"/>
          <w:highlight w:val="none"/>
          <w:lang w:val="en-US" w:eastAsia="zh-CN"/>
        </w:rPr>
        <w:t>100</w:t>
      </w:r>
      <w:r>
        <w:rPr>
          <w:rFonts w:hint="eastAsia" w:ascii="Times New Roman" w:hAnsi="Times New Roman" w:eastAsia="仿宋_GB2312"/>
          <w:b w:val="0"/>
          <w:bCs w:val="0"/>
          <w:color w:val="auto"/>
          <w:highlight w:val="none"/>
        </w:rPr>
        <w:t>%。项目过程类指标权重为20分，得分为</w:t>
      </w:r>
      <w:r>
        <w:rPr>
          <w:rFonts w:hint="eastAsia"/>
          <w:b w:val="0"/>
          <w:bCs w:val="0"/>
          <w:color w:val="auto"/>
          <w:highlight w:val="none"/>
          <w:lang w:val="en-US" w:eastAsia="zh-CN"/>
        </w:rPr>
        <w:t>19.28</w:t>
      </w:r>
      <w:r>
        <w:rPr>
          <w:rFonts w:hint="eastAsia" w:ascii="Times New Roman" w:hAnsi="Times New Roman" w:eastAsia="仿宋_GB2312"/>
          <w:b w:val="0"/>
          <w:bCs w:val="0"/>
          <w:color w:val="auto"/>
          <w:highlight w:val="none"/>
        </w:rPr>
        <w:t>分，得分率为</w:t>
      </w:r>
      <w:r>
        <w:rPr>
          <w:rFonts w:hint="eastAsia"/>
          <w:b w:val="0"/>
          <w:bCs w:val="0"/>
          <w:color w:val="auto"/>
          <w:highlight w:val="none"/>
          <w:lang w:val="en-US" w:eastAsia="zh-CN"/>
        </w:rPr>
        <w:t>96.4</w:t>
      </w:r>
      <w:r>
        <w:rPr>
          <w:rFonts w:hint="eastAsia" w:ascii="Times New Roman" w:hAnsi="Times New Roman" w:eastAsia="仿宋_GB2312"/>
          <w:b w:val="0"/>
          <w:bCs w:val="0"/>
          <w:color w:val="auto"/>
          <w:highlight w:val="none"/>
        </w:rPr>
        <w:t>%。项目产出类指标权重为40分，得分为</w:t>
      </w:r>
      <w:r>
        <w:rPr>
          <w:rFonts w:hint="eastAsia"/>
          <w:b w:val="0"/>
          <w:bCs w:val="0"/>
          <w:color w:val="auto"/>
          <w:highlight w:val="none"/>
          <w:lang w:val="en-US" w:eastAsia="zh-CN"/>
        </w:rPr>
        <w:t>40</w:t>
      </w:r>
      <w:r>
        <w:rPr>
          <w:rFonts w:hint="eastAsia" w:ascii="Times New Roman" w:hAnsi="Times New Roman" w:eastAsia="仿宋_GB2312"/>
          <w:b w:val="0"/>
          <w:bCs w:val="0"/>
          <w:color w:val="auto"/>
          <w:highlight w:val="none"/>
        </w:rPr>
        <w:t>分，得分率为</w:t>
      </w:r>
      <w:r>
        <w:rPr>
          <w:rFonts w:hint="eastAsia"/>
          <w:b w:val="0"/>
          <w:bCs w:val="0"/>
          <w:color w:val="auto"/>
          <w:highlight w:val="none"/>
          <w:lang w:val="en-US" w:eastAsia="zh-CN"/>
        </w:rPr>
        <w:t>100</w:t>
      </w:r>
      <w:r>
        <w:rPr>
          <w:rFonts w:hint="eastAsia" w:ascii="Times New Roman" w:hAnsi="Times New Roman" w:eastAsia="仿宋_GB2312"/>
          <w:b w:val="0"/>
          <w:bCs w:val="0"/>
          <w:color w:val="auto"/>
          <w:highlight w:val="none"/>
        </w:rPr>
        <w:t>%。项目效益类指标权重为20分，得分为</w:t>
      </w:r>
      <w:r>
        <w:rPr>
          <w:rFonts w:hint="eastAsia"/>
          <w:b w:val="0"/>
          <w:bCs w:val="0"/>
          <w:color w:val="auto"/>
          <w:highlight w:val="none"/>
          <w:lang w:val="en-US" w:eastAsia="zh-CN"/>
        </w:rPr>
        <w:t>20</w:t>
      </w:r>
      <w:r>
        <w:rPr>
          <w:rFonts w:hint="eastAsia" w:ascii="Times New Roman" w:hAnsi="Times New Roman" w:eastAsia="仿宋_GB2312"/>
          <w:b w:val="0"/>
          <w:bCs w:val="0"/>
          <w:color w:val="auto"/>
          <w:highlight w:val="none"/>
        </w:rPr>
        <w:t>分，得分率为</w:t>
      </w:r>
      <w:r>
        <w:rPr>
          <w:rFonts w:hint="eastAsia"/>
          <w:b w:val="0"/>
          <w:bCs w:val="0"/>
          <w:color w:val="auto"/>
          <w:highlight w:val="none"/>
          <w:lang w:val="en-US" w:eastAsia="zh-CN"/>
        </w:rPr>
        <w:t>100</w:t>
      </w:r>
      <w:r>
        <w:rPr>
          <w:rFonts w:hint="eastAsia" w:ascii="Times New Roman" w:hAnsi="Times New Roman" w:eastAsia="仿宋_GB2312"/>
          <w:b w:val="0"/>
          <w:bCs w:val="0"/>
          <w:color w:val="auto"/>
          <w:highlight w:val="none"/>
        </w:rPr>
        <w:t>%。</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color w:val="auto"/>
          <w:highlight w:val="none"/>
          <w:lang w:eastAsia="zh-CN"/>
        </w:rPr>
      </w:pPr>
      <w:r>
        <w:rPr>
          <w:rFonts w:hint="eastAsia" w:ascii="仿宋_GB2312" w:eastAsia="仿宋_GB2312"/>
          <w:b w:val="0"/>
          <w:bCs w:val="0"/>
          <w:color w:val="auto"/>
          <w:highlight w:val="none"/>
        </w:rPr>
        <w:t>（</w:t>
      </w:r>
      <w:r>
        <w:rPr>
          <w:rFonts w:hint="eastAsia" w:ascii="仿宋_GB2312" w:eastAsia="仿宋_GB2312"/>
          <w:b w:val="0"/>
          <w:bCs w:val="0"/>
          <w:color w:val="auto"/>
          <w:highlight w:val="none"/>
          <w:lang w:eastAsia="zh-CN"/>
        </w:rPr>
        <w:t>二</w:t>
      </w:r>
      <w:r>
        <w:rPr>
          <w:rFonts w:hint="eastAsia" w:ascii="仿宋_GB2312" w:eastAsia="仿宋_GB2312"/>
          <w:b w:val="0"/>
          <w:bCs w:val="0"/>
          <w:color w:val="auto"/>
          <w:highlight w:val="none"/>
        </w:rPr>
        <w:t>）</w:t>
      </w:r>
      <w:r>
        <w:rPr>
          <w:rFonts w:hint="eastAsia" w:ascii="仿宋_GB2312" w:eastAsia="仿宋_GB2312"/>
          <w:b w:val="0"/>
          <w:bCs w:val="0"/>
          <w:color w:val="auto"/>
          <w:highlight w:val="none"/>
          <w:lang w:eastAsia="zh-CN"/>
        </w:rPr>
        <w:t>相关评分表</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b w:val="0"/>
          <w:bCs w:val="0"/>
          <w:color w:val="auto"/>
          <w:highlight w:val="none"/>
          <w:lang w:eastAsia="zh-CN"/>
        </w:rPr>
      </w:pPr>
      <w:r>
        <w:rPr>
          <w:rFonts w:hint="eastAsia" w:ascii="Times New Roman" w:hAnsi="Times New Roman" w:eastAsia="仿宋_GB2312"/>
          <w:b w:val="0"/>
          <w:bCs w:val="0"/>
          <w:color w:val="auto"/>
          <w:highlight w:val="none"/>
        </w:rPr>
        <w:t>具体打分情况详见：附件1综合评分表</w:t>
      </w:r>
      <w:r>
        <w:rPr>
          <w:rFonts w:hint="eastAsia" w:ascii="Times New Roman" w:hAnsi="Times New Roman" w:eastAsia="仿宋_GB2312"/>
          <w:b w:val="0"/>
          <w:bCs w:val="0"/>
          <w:color w:val="auto"/>
          <w:highlight w:val="none"/>
          <w:lang w:eastAsia="zh-CN"/>
        </w:rPr>
        <w:t>。</w:t>
      </w:r>
    </w:p>
    <w:p>
      <w:pPr>
        <w:pageBreakBefore w:val="0"/>
        <w:kinsoku/>
        <w:wordWrap/>
        <w:overflowPunct/>
        <w:topLinePunct w:val="0"/>
        <w:autoSpaceDE/>
        <w:autoSpaceDN/>
        <w:bidi w:val="0"/>
        <w:adjustRightInd/>
        <w:snapToGrid/>
        <w:spacing w:line="560" w:lineRule="exact"/>
        <w:ind w:firstLine="600" w:firstLineChars="200"/>
        <w:jc w:val="center"/>
        <w:textAlignment w:val="auto"/>
        <w:rPr>
          <w:color w:val="auto"/>
        </w:rPr>
      </w:pPr>
      <w:r>
        <w:rPr>
          <w:rFonts w:hint="eastAsia"/>
          <w:color w:val="auto"/>
        </w:rPr>
        <w:t>保障养老院运转类项目评价得分情况</w:t>
      </w:r>
    </w:p>
    <w:tbl>
      <w:tblPr>
        <w:tblStyle w:val="14"/>
        <w:tblW w:w="7583" w:type="dxa"/>
        <w:jc w:val="center"/>
        <w:tblInd w:w="0" w:type="dxa"/>
        <w:tblLayout w:type="fixed"/>
        <w:tblCellMar>
          <w:top w:w="0" w:type="dxa"/>
          <w:left w:w="108" w:type="dxa"/>
          <w:bottom w:w="0" w:type="dxa"/>
          <w:right w:w="108" w:type="dxa"/>
        </w:tblCellMar>
      </w:tblPr>
      <w:tblGrid>
        <w:gridCol w:w="3137"/>
        <w:gridCol w:w="2168"/>
        <w:gridCol w:w="2278"/>
      </w:tblGrid>
      <w:tr>
        <w:tblPrEx>
          <w:tblLayout w:type="fixed"/>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auto"/>
                <w:sz w:val="22"/>
              </w:rPr>
            </w:pPr>
            <w:r>
              <w:rPr>
                <w:rFonts w:hint="eastAsia"/>
                <w:b/>
                <w:bCs/>
                <w:color w:val="auto"/>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auto"/>
                <w:sz w:val="22"/>
              </w:rPr>
            </w:pPr>
            <w:r>
              <w:rPr>
                <w:rFonts w:hint="eastAsia"/>
                <w:b/>
                <w:bCs/>
                <w:color w:val="auto"/>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auto"/>
                <w:sz w:val="22"/>
              </w:rPr>
            </w:pPr>
            <w:r>
              <w:rPr>
                <w:rFonts w:hint="eastAsia"/>
                <w:b/>
                <w:bCs/>
                <w:color w:val="auto"/>
                <w:sz w:val="22"/>
              </w:rPr>
              <w:t>得分</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auto"/>
                <w:sz w:val="22"/>
              </w:rPr>
            </w:pPr>
            <w:r>
              <w:rPr>
                <w:rFonts w:hint="eastAsia"/>
                <w:color w:val="auto"/>
                <w:sz w:val="22"/>
              </w:rPr>
              <w:t>项目决策</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auto"/>
                <w:sz w:val="22"/>
                <w:lang w:val="en-US" w:eastAsia="zh-CN"/>
              </w:rPr>
            </w:pPr>
            <w:r>
              <w:rPr>
                <w:rFonts w:hint="eastAsia"/>
                <w:color w:val="auto"/>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auto"/>
                <w:sz w:val="22"/>
                <w:lang w:val="en-US" w:eastAsia="zh-CN"/>
              </w:rPr>
            </w:pPr>
            <w:r>
              <w:rPr>
                <w:rFonts w:hint="eastAsia"/>
                <w:color w:val="auto"/>
                <w:sz w:val="22"/>
                <w:lang w:val="en-US" w:eastAsia="zh-CN"/>
              </w:rPr>
              <w:t>20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auto"/>
                <w:sz w:val="22"/>
              </w:rPr>
            </w:pPr>
            <w:r>
              <w:rPr>
                <w:rFonts w:hint="eastAsia"/>
                <w:color w:val="auto"/>
                <w:sz w:val="22"/>
              </w:rPr>
              <w:t>项目过程</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auto"/>
                <w:sz w:val="22"/>
                <w:lang w:val="en-US" w:eastAsia="zh-CN"/>
              </w:rPr>
            </w:pPr>
            <w:r>
              <w:rPr>
                <w:rFonts w:hint="eastAsia"/>
                <w:color w:val="auto"/>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auto"/>
                <w:sz w:val="22"/>
                <w:lang w:val="en-US" w:eastAsia="zh-CN"/>
              </w:rPr>
            </w:pPr>
            <w:r>
              <w:rPr>
                <w:rFonts w:hint="eastAsia"/>
                <w:color w:val="auto"/>
                <w:sz w:val="22"/>
                <w:lang w:val="en-US" w:eastAsia="zh-CN"/>
              </w:rPr>
              <w:t>19.28</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auto"/>
                <w:sz w:val="22"/>
              </w:rPr>
            </w:pPr>
            <w:r>
              <w:rPr>
                <w:rFonts w:hint="eastAsia"/>
                <w:color w:val="auto"/>
                <w:sz w:val="22"/>
              </w:rPr>
              <w:t>项目产出</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auto"/>
                <w:sz w:val="22"/>
                <w:lang w:val="en-US" w:eastAsia="zh-CN"/>
              </w:rPr>
            </w:pPr>
            <w:r>
              <w:rPr>
                <w:rFonts w:hint="eastAsia"/>
                <w:color w:val="auto"/>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auto"/>
                <w:sz w:val="22"/>
                <w:lang w:val="en-US" w:eastAsia="zh-CN"/>
              </w:rPr>
            </w:pPr>
            <w:r>
              <w:rPr>
                <w:rFonts w:hint="eastAsia"/>
                <w:color w:val="auto"/>
                <w:sz w:val="22"/>
                <w:lang w:val="en-US" w:eastAsia="zh-CN"/>
              </w:rPr>
              <w:t>40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auto"/>
                <w:sz w:val="22"/>
              </w:rPr>
            </w:pPr>
            <w:r>
              <w:rPr>
                <w:rFonts w:hint="eastAsia"/>
                <w:color w:val="auto"/>
                <w:sz w:val="22"/>
              </w:rPr>
              <w:t>项目效益</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auto"/>
                <w:sz w:val="22"/>
                <w:lang w:val="en-US" w:eastAsia="zh-CN"/>
              </w:rPr>
            </w:pPr>
            <w:r>
              <w:rPr>
                <w:rFonts w:hint="eastAsia"/>
                <w:color w:val="auto"/>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auto"/>
                <w:sz w:val="22"/>
                <w:lang w:val="en-US" w:eastAsia="zh-CN"/>
              </w:rPr>
            </w:pPr>
            <w:r>
              <w:rPr>
                <w:rFonts w:hint="eastAsia"/>
                <w:color w:val="auto"/>
                <w:sz w:val="22"/>
                <w:lang w:val="en-US" w:eastAsia="zh-CN"/>
              </w:rPr>
              <w:t>20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cs="宋体"/>
                <w:b/>
                <w:bCs/>
                <w:color w:val="auto"/>
                <w:sz w:val="22"/>
              </w:rPr>
            </w:pPr>
            <w:r>
              <w:rPr>
                <w:rFonts w:hint="eastAsia" w:cs="宋体"/>
                <w:b/>
                <w:bCs/>
                <w:color w:val="auto"/>
                <w:sz w:val="22"/>
              </w:rPr>
              <w:t>合计</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eastAsia="仿宋_GB2312"/>
                <w:b/>
                <w:bCs/>
                <w:color w:val="auto"/>
                <w:sz w:val="22"/>
                <w:lang w:val="en-US" w:eastAsia="zh-CN"/>
              </w:rPr>
            </w:pPr>
            <w:r>
              <w:rPr>
                <w:rFonts w:hint="eastAsia"/>
                <w:b/>
                <w:bCs/>
                <w:color w:val="auto"/>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eastAsia="仿宋_GB2312"/>
                <w:b/>
                <w:bCs/>
                <w:color w:val="auto"/>
                <w:sz w:val="22"/>
                <w:lang w:val="en-US" w:eastAsia="zh-CN"/>
              </w:rPr>
            </w:pPr>
            <w:r>
              <w:rPr>
                <w:rFonts w:hint="eastAsia"/>
                <w:b/>
                <w:bCs/>
                <w:color w:val="auto"/>
                <w:sz w:val="22"/>
                <w:lang w:val="en-US" w:eastAsia="zh-CN"/>
              </w:rPr>
              <w:t>99.28</w:t>
            </w:r>
          </w:p>
        </w:tc>
      </w:tr>
    </w:tbl>
    <w:p>
      <w:pPr>
        <w:pStyle w:val="2"/>
        <w:pageBreakBefore w:val="0"/>
        <w:kinsoku/>
        <w:wordWrap/>
        <w:overflowPunct/>
        <w:topLinePunct w:val="0"/>
        <w:autoSpaceDE/>
        <w:autoSpaceDN/>
        <w:bidi w:val="0"/>
        <w:adjustRightInd/>
        <w:snapToGrid/>
        <w:spacing w:before="0" w:after="0" w:line="560" w:lineRule="exact"/>
        <w:ind w:firstLine="640" w:firstLineChars="200"/>
        <w:textAlignment w:val="auto"/>
        <w:rPr>
          <w:color w:val="auto"/>
        </w:rPr>
      </w:pP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color w:val="auto"/>
          <w:sz w:val="32"/>
          <w:szCs w:val="32"/>
        </w:rPr>
      </w:pPr>
      <w:bookmarkStart w:id="10" w:name="_Toc68703837"/>
      <w:r>
        <w:rPr>
          <w:rFonts w:hint="eastAsia" w:ascii="宋体" w:hAnsi="宋体" w:eastAsia="宋体"/>
          <w:color w:val="auto"/>
          <w:sz w:val="32"/>
          <w:szCs w:val="32"/>
        </w:rPr>
        <w:t>四、绩效评价指标分析</w:t>
      </w:r>
      <w:bookmarkEnd w:id="10"/>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color w:val="auto"/>
        </w:rPr>
      </w:pPr>
      <w:bookmarkStart w:id="11" w:name="_Toc68703838"/>
      <w:r>
        <w:rPr>
          <w:rFonts w:hint="eastAsia" w:ascii="仿宋_GB2312" w:eastAsia="仿宋_GB2312"/>
          <w:b w:val="0"/>
          <w:bCs w:val="0"/>
          <w:color w:val="auto"/>
        </w:rPr>
        <w:t>（一）项目决策情况。</w:t>
      </w:r>
      <w:bookmarkEnd w:id="11"/>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color w:val="auto"/>
        </w:rPr>
      </w:pPr>
      <w:r>
        <w:rPr>
          <w:rFonts w:hint="eastAsia"/>
          <w:color w:val="auto"/>
        </w:rPr>
        <w:t>1</w:t>
      </w:r>
      <w:r>
        <w:rPr>
          <w:rFonts w:hint="eastAsia"/>
          <w:color w:val="auto"/>
          <w:lang w:val="en-US" w:eastAsia="zh-CN"/>
        </w:rPr>
        <w:t>.</w:t>
      </w:r>
      <w:r>
        <w:rPr>
          <w:rFonts w:hint="eastAsia"/>
          <w:color w:val="auto"/>
        </w:rPr>
        <w:t>立项依据充分性</w:t>
      </w:r>
    </w:p>
    <w:p>
      <w:pPr>
        <w:pageBreakBefore w:val="0"/>
        <w:kinsoku/>
        <w:wordWrap/>
        <w:overflowPunct/>
        <w:topLinePunct w:val="0"/>
        <w:autoSpaceDE/>
        <w:autoSpaceDN/>
        <w:bidi w:val="0"/>
        <w:adjustRightInd/>
        <w:snapToGrid/>
        <w:spacing w:line="560" w:lineRule="exact"/>
        <w:ind w:firstLine="600" w:firstLineChars="200"/>
        <w:textAlignment w:val="auto"/>
        <w:rPr>
          <w:color w:val="auto"/>
        </w:rPr>
      </w:pPr>
      <w:r>
        <w:rPr>
          <w:rFonts w:hint="eastAsia"/>
          <w:color w:val="auto"/>
          <w:lang w:val="en-US" w:eastAsia="zh-CN"/>
        </w:rPr>
        <w:t>保障</w:t>
      </w:r>
      <w:r>
        <w:rPr>
          <w:rFonts w:hint="eastAsia"/>
          <w:color w:val="auto"/>
          <w:highlight w:val="none"/>
          <w:lang w:val="en-US" w:eastAsia="zh-CN"/>
        </w:rPr>
        <w:t>养老院运转类项目的</w:t>
      </w:r>
      <w:r>
        <w:rPr>
          <w:rFonts w:hint="eastAsia"/>
          <w:color w:val="auto"/>
          <w:highlight w:val="none"/>
        </w:rPr>
        <w:t>立项依据</w:t>
      </w:r>
      <w:r>
        <w:rPr>
          <w:rFonts w:hint="eastAsia"/>
          <w:color w:val="auto"/>
          <w:highlight w:val="none"/>
          <w:lang w:val="en-US" w:eastAsia="zh-CN"/>
        </w:rPr>
        <w:t>包括</w:t>
      </w:r>
      <w:r>
        <w:rPr>
          <w:rFonts w:hint="eastAsia"/>
          <w:color w:val="auto"/>
          <w:highlight w:val="none"/>
        </w:rPr>
        <w:t>州卫健委党组会议通过</w:t>
      </w:r>
      <w:r>
        <w:rPr>
          <w:rFonts w:hint="eastAsia"/>
          <w:color w:val="auto"/>
          <w:highlight w:val="none"/>
          <w:lang w:eastAsia="zh-CN"/>
        </w:rPr>
        <w:t>的</w:t>
      </w:r>
      <w:r>
        <w:rPr>
          <w:rFonts w:hint="eastAsia"/>
          <w:color w:val="auto"/>
          <w:highlight w:val="none"/>
        </w:rPr>
        <w:t>《巴州福康老年公寓重启筹备实施方案》的决定</w:t>
      </w:r>
      <w:r>
        <w:rPr>
          <w:rFonts w:hint="eastAsia"/>
          <w:color w:val="auto"/>
          <w:highlight w:val="none"/>
          <w:lang w:eastAsia="zh-CN"/>
        </w:rPr>
        <w:t>、《</w:t>
      </w:r>
      <w:r>
        <w:rPr>
          <w:rFonts w:hint="eastAsia"/>
          <w:color w:val="auto"/>
          <w:highlight w:val="none"/>
          <w:lang w:val="en-US" w:eastAsia="zh-CN"/>
        </w:rPr>
        <w:t>国务院办公厅关于推进养老服务发展的意见</w:t>
      </w:r>
      <w:r>
        <w:rPr>
          <w:rFonts w:hint="eastAsia"/>
          <w:color w:val="auto"/>
          <w:highlight w:val="none"/>
          <w:lang w:eastAsia="zh-CN"/>
        </w:rPr>
        <w:t>》，</w:t>
      </w:r>
      <w:r>
        <w:rPr>
          <w:rFonts w:hint="eastAsia"/>
          <w:color w:val="auto"/>
          <w:highlight w:val="none"/>
          <w:lang w:val="en-US" w:eastAsia="zh-CN"/>
        </w:rPr>
        <w:t>符</w:t>
      </w:r>
      <w:r>
        <w:rPr>
          <w:rFonts w:hint="eastAsia"/>
          <w:color w:val="auto"/>
          <w:highlight w:val="none"/>
        </w:rPr>
        <w:t>合国家法律法规、国民经济发展规划和相关政策</w:t>
      </w:r>
      <w:r>
        <w:rPr>
          <w:rFonts w:hint="eastAsia"/>
          <w:color w:val="auto"/>
          <w:highlight w:val="none"/>
          <w:lang w:eastAsia="zh-CN"/>
        </w:rPr>
        <w:t>；</w:t>
      </w:r>
      <w:r>
        <w:rPr>
          <w:rFonts w:hint="eastAsia"/>
          <w:color w:val="auto"/>
          <w:highlight w:val="none"/>
          <w:lang w:val="en-US" w:eastAsia="zh-CN"/>
        </w:rPr>
        <w:t>立项符合</w:t>
      </w:r>
      <w:r>
        <w:rPr>
          <w:rFonts w:hint="eastAsia"/>
          <w:color w:val="auto"/>
          <w:highlight w:val="none"/>
          <w:lang w:eastAsia="zh-CN"/>
        </w:rPr>
        <w:t>《</w:t>
      </w:r>
      <w:r>
        <w:rPr>
          <w:rFonts w:hint="eastAsia"/>
          <w:color w:val="auto"/>
          <w:highlight w:val="none"/>
          <w:lang w:val="en-US" w:eastAsia="zh-CN"/>
        </w:rPr>
        <w:t>国务院办公</w:t>
      </w:r>
      <w:r>
        <w:rPr>
          <w:rFonts w:hint="eastAsia"/>
          <w:color w:val="auto"/>
          <w:lang w:val="en-US" w:eastAsia="zh-CN"/>
        </w:rPr>
        <w:t>厅关于推进养老服务发展的意见</w:t>
      </w:r>
      <w:r>
        <w:rPr>
          <w:rFonts w:hint="eastAsia"/>
          <w:color w:val="auto"/>
          <w:lang w:eastAsia="zh-CN"/>
        </w:rPr>
        <w:t>》的</w:t>
      </w:r>
      <w:r>
        <w:rPr>
          <w:rFonts w:hint="eastAsia"/>
          <w:color w:val="auto"/>
          <w:lang w:val="en-US" w:eastAsia="zh-CN"/>
        </w:rPr>
        <w:t>养老</w:t>
      </w:r>
      <w:r>
        <w:rPr>
          <w:rFonts w:hint="eastAsia"/>
          <w:color w:val="auto"/>
        </w:rPr>
        <w:t>行业发展规划</w:t>
      </w:r>
      <w:r>
        <w:rPr>
          <w:rFonts w:hint="eastAsia"/>
          <w:color w:val="auto"/>
          <w:lang w:eastAsia="zh-CN"/>
        </w:rPr>
        <w:t>，</w:t>
      </w:r>
      <w:r>
        <w:rPr>
          <w:rFonts w:hint="eastAsia"/>
          <w:color w:val="auto"/>
          <w:lang w:val="en-US" w:eastAsia="zh-CN"/>
        </w:rPr>
        <w:t>使用事业收入经费的开支能够有效改善老年公寓食堂伙食质量，更好地为入住的老年人服务，保障在职员工、入住老人就餐</w:t>
      </w:r>
      <w:r>
        <w:rPr>
          <w:rFonts w:hint="eastAsia"/>
          <w:color w:val="auto"/>
          <w:lang w:eastAsia="zh-CN"/>
        </w:rPr>
        <w:t>；</w:t>
      </w:r>
      <w:r>
        <w:rPr>
          <w:rFonts w:hint="eastAsia"/>
          <w:color w:val="auto"/>
          <w:lang w:val="en-US" w:eastAsia="zh-CN"/>
        </w:rPr>
        <w:t>符合</w:t>
      </w:r>
      <w:r>
        <w:rPr>
          <w:rFonts w:hint="eastAsia" w:ascii="仿宋_GB2312" w:hAnsi="Times New Roman" w:eastAsia="仿宋_GB2312" w:cs="Times New Roman"/>
          <w:color w:val="auto"/>
          <w:kern w:val="2"/>
          <w:sz w:val="32"/>
          <w:szCs w:val="32"/>
          <w:lang w:val="en-US" w:eastAsia="zh-CN" w:bidi="ar"/>
        </w:rPr>
        <w:t>新疆巴州福康老年公寓管理中心自觉服从和服务于老年人工作大局、各项工作平稳推进，强化管理，创新服务，采取有效措施，切实为入住老人办实事，促进为老服务事业的发展,丰富老年人的精神文化生活</w:t>
      </w:r>
      <w:r>
        <w:rPr>
          <w:rFonts w:hint="eastAsia" w:ascii="仿宋_GB2312" w:cs="Times New Roman"/>
          <w:color w:val="auto"/>
          <w:kern w:val="2"/>
          <w:sz w:val="32"/>
          <w:szCs w:val="32"/>
          <w:lang w:val="en-US" w:eastAsia="zh-CN" w:bidi="ar"/>
        </w:rPr>
        <w:t>的</w:t>
      </w:r>
      <w:r>
        <w:rPr>
          <w:rFonts w:hint="eastAsia"/>
          <w:color w:val="auto"/>
        </w:rPr>
        <w:t>职责范围，属于部门履职所需</w:t>
      </w:r>
      <w:r>
        <w:rPr>
          <w:rFonts w:hint="eastAsia"/>
          <w:color w:val="auto"/>
          <w:lang w:eastAsia="zh-CN"/>
        </w:rPr>
        <w:t>；</w:t>
      </w:r>
      <w:r>
        <w:rPr>
          <w:rFonts w:hint="eastAsia"/>
          <w:color w:val="auto"/>
          <w:lang w:val="en-US" w:eastAsia="zh-CN"/>
        </w:rPr>
        <w:t>资金来源</w:t>
      </w:r>
      <w:r>
        <w:rPr>
          <w:rFonts w:hint="eastAsia"/>
          <w:color w:val="auto"/>
        </w:rPr>
        <w:t>属于</w:t>
      </w:r>
      <w:r>
        <w:rPr>
          <w:rFonts w:hint="eastAsia"/>
          <w:color w:val="auto"/>
          <w:lang w:val="en-US" w:eastAsia="zh-CN"/>
        </w:rPr>
        <w:t>单位资金，在</w:t>
      </w:r>
      <w:r>
        <w:rPr>
          <w:rFonts w:hint="eastAsia"/>
          <w:color w:val="auto"/>
        </w:rPr>
        <w:t>公共财政支持范围</w:t>
      </w:r>
      <w:r>
        <w:rPr>
          <w:rFonts w:hint="eastAsia"/>
          <w:color w:val="auto"/>
          <w:lang w:val="en-US" w:eastAsia="zh-CN"/>
        </w:rPr>
        <w:t>内</w:t>
      </w:r>
      <w:r>
        <w:rPr>
          <w:rFonts w:hint="eastAsia"/>
          <w:color w:val="auto"/>
        </w:rPr>
        <w:t>，符合中央、地方事权支出责任划分原则；与相关部门同类项目或部门内部相关项目</w:t>
      </w:r>
      <w:r>
        <w:rPr>
          <w:rFonts w:hint="eastAsia"/>
          <w:color w:val="auto"/>
          <w:lang w:val="en-US" w:eastAsia="zh-CN"/>
        </w:rPr>
        <w:t>不</w:t>
      </w:r>
      <w:r>
        <w:rPr>
          <w:rFonts w:hint="eastAsia"/>
          <w:color w:val="auto"/>
        </w:rPr>
        <w:t>重复。</w:t>
      </w:r>
    </w:p>
    <w:p>
      <w:pPr>
        <w:pStyle w:val="2"/>
        <w:ind w:firstLine="600" w:firstLineChars="200"/>
        <w:jc w:val="left"/>
        <w:rPr>
          <w:rFonts w:hint="default"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color w:val="auto"/>
          <w:kern w:val="2"/>
          <w:sz w:val="30"/>
          <w:szCs w:val="24"/>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color w:val="auto"/>
        </w:rPr>
      </w:pPr>
      <w:r>
        <w:rPr>
          <w:rFonts w:hint="eastAsia"/>
          <w:color w:val="auto"/>
        </w:rPr>
        <w:t>2</w:t>
      </w:r>
      <w:r>
        <w:rPr>
          <w:rFonts w:hint="eastAsia"/>
          <w:color w:val="auto"/>
          <w:lang w:val="en-US" w:eastAsia="zh-CN"/>
        </w:rPr>
        <w:t>.</w:t>
      </w:r>
      <w:r>
        <w:rPr>
          <w:rFonts w:hint="eastAsia"/>
          <w:color w:val="auto"/>
        </w:rPr>
        <w:t>立项程序规范性</w:t>
      </w:r>
    </w:p>
    <w:p>
      <w:pPr>
        <w:pStyle w:val="2"/>
        <w:pageBreakBefore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Times New Roman" w:eastAsia="仿宋_GB2312" w:cs="Times New Roman"/>
          <w:b w:val="0"/>
          <w:bCs w:val="0"/>
          <w:color w:val="auto"/>
          <w:kern w:val="2"/>
          <w:sz w:val="32"/>
          <w:szCs w:val="32"/>
          <w:lang w:val="en-US" w:eastAsia="zh-CN" w:bidi="ar"/>
        </w:rPr>
      </w:pPr>
      <w:r>
        <w:rPr>
          <w:rFonts w:hint="eastAsia" w:ascii="仿宋_GB2312" w:hAnsi="Times New Roman" w:eastAsia="仿宋_GB2312" w:cs="Times New Roman"/>
          <w:b w:val="0"/>
          <w:bCs w:val="0"/>
          <w:color w:val="auto"/>
          <w:kern w:val="2"/>
          <w:sz w:val="32"/>
          <w:szCs w:val="32"/>
          <w:lang w:val="en-US" w:eastAsia="zh-CN" w:bidi="ar"/>
        </w:rPr>
        <w:t>项目申请、设立过程符合相关要求，</w:t>
      </w:r>
      <w:r>
        <w:rPr>
          <w:rFonts w:hint="eastAsia" w:ascii="仿宋_GB2312" w:hAnsi="Times New Roman" w:eastAsia="仿宋_GB2312" w:cs="Times New Roman"/>
          <w:b w:val="0"/>
          <w:bCs w:val="0"/>
          <w:color w:val="auto"/>
          <w:kern w:val="2"/>
          <w:sz w:val="32"/>
          <w:szCs w:val="32"/>
          <w:lang w:val="en-US" w:eastAsia="zh-Hans" w:bidi="ar"/>
        </w:rPr>
        <w:t>严格按照审批流程准备符合要求的</w:t>
      </w:r>
      <w:r>
        <w:rPr>
          <w:rFonts w:hint="eastAsia" w:ascii="仿宋_GB2312" w:hAnsi="Times New Roman" w:eastAsia="仿宋_GB2312" w:cs="Times New Roman"/>
          <w:b w:val="0"/>
          <w:bCs w:val="0"/>
          <w:color w:val="auto"/>
          <w:kern w:val="2"/>
          <w:sz w:val="32"/>
          <w:szCs w:val="32"/>
          <w:lang w:val="en-US" w:eastAsia="zh-CN" w:bidi="ar"/>
        </w:rPr>
        <w:t>立项依据的</w:t>
      </w:r>
      <w:r>
        <w:rPr>
          <w:rFonts w:hint="eastAsia" w:ascii="仿宋_GB2312" w:hAnsi="Times New Roman" w:eastAsia="仿宋_GB2312" w:cs="Times New Roman"/>
          <w:b w:val="0"/>
          <w:bCs w:val="0"/>
          <w:color w:val="auto"/>
          <w:kern w:val="2"/>
          <w:sz w:val="32"/>
          <w:szCs w:val="32"/>
          <w:lang w:val="en-US" w:eastAsia="zh-Hans" w:bidi="ar"/>
        </w:rPr>
        <w:t>文件</w:t>
      </w:r>
      <w:r>
        <w:rPr>
          <w:rFonts w:hint="eastAsia" w:ascii="仿宋_GB2312" w:hAnsi="Times New Roman" w:eastAsia="仿宋_GB2312" w:cs="Times New Roman"/>
          <w:b w:val="0"/>
          <w:bCs w:val="0"/>
          <w:color w:val="auto"/>
          <w:kern w:val="2"/>
          <w:sz w:val="32"/>
          <w:szCs w:val="32"/>
          <w:lang w:val="en-US" w:eastAsia="zh-CN" w:bidi="ar"/>
        </w:rPr>
        <w:t>州卫健委党组会议通过的《巴州福康老年公寓重启筹备实施方案》的决定、《住寓须知》、《消费者投诉处理制度》、《餐饮服务食品进货查验记录管理制度》、《商品采购管理办法》、《预算编制与执行管理规定》、《财务处理程序制度》、《财务收支审批制度》等</w:t>
      </w:r>
      <w:r>
        <w:rPr>
          <w:rFonts w:hint="eastAsia" w:ascii="仿宋_GB2312" w:hAnsi="Times New Roman" w:eastAsia="仿宋_GB2312" w:cs="Times New Roman"/>
          <w:b w:val="0"/>
          <w:bCs w:val="0"/>
          <w:color w:val="auto"/>
          <w:kern w:val="2"/>
          <w:sz w:val="32"/>
          <w:szCs w:val="32"/>
          <w:lang w:val="en-US" w:eastAsia="zh-Hans" w:bidi="ar"/>
        </w:rPr>
        <w:t>材料；</w:t>
      </w:r>
      <w:r>
        <w:rPr>
          <w:rFonts w:hint="eastAsia" w:ascii="仿宋_GB2312" w:hAnsi="Times New Roman" w:eastAsia="仿宋_GB2312" w:cs="Times New Roman"/>
          <w:b w:val="0"/>
          <w:bCs w:val="0"/>
          <w:color w:val="auto"/>
          <w:kern w:val="2"/>
          <w:sz w:val="32"/>
          <w:szCs w:val="32"/>
          <w:lang w:val="en-US" w:eastAsia="zh-CN" w:bidi="ar"/>
        </w:rPr>
        <w:t>根据决算依据编制工作计划和保障养老院运转类项目的经费预算，经过与部门项目分管领导沟通、筛选确定经费预算计划，确定支付招聘的劳务派遣人员工资及每月运转经费（包括电信费、餐厅食材费用、自来水费及污水处理费）为最终预算方案。项目的资金支付审批文件、采购、验收等材料符合我单位财务管理制度的相关要求，项目事前经过必要的可行性研究、风险评估、绩效评估、集体决策，保障了程序的规范性。</w:t>
      </w:r>
    </w:p>
    <w:p>
      <w:pPr>
        <w:pStyle w:val="2"/>
        <w:ind w:firstLine="600" w:firstLineChars="200"/>
        <w:jc w:val="left"/>
        <w:rPr>
          <w:rFonts w:hint="default"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color w:val="auto"/>
          <w:kern w:val="2"/>
          <w:sz w:val="30"/>
          <w:szCs w:val="24"/>
          <w:lang w:val="en-US" w:eastAsia="zh-CN" w:bidi="ar-SA"/>
        </w:rPr>
        <w:t>此项权重分2分，得分2分。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color w:val="auto"/>
        </w:rPr>
      </w:pPr>
      <w:r>
        <w:rPr>
          <w:rFonts w:hint="eastAsia"/>
          <w:color w:val="auto"/>
        </w:rPr>
        <w:t>3</w:t>
      </w:r>
      <w:r>
        <w:rPr>
          <w:rFonts w:hint="eastAsia"/>
          <w:color w:val="auto"/>
          <w:lang w:val="en-US" w:eastAsia="zh-CN"/>
        </w:rPr>
        <w:t>.</w:t>
      </w:r>
      <w:r>
        <w:rPr>
          <w:rFonts w:hint="eastAsia"/>
          <w:color w:val="auto"/>
        </w:rPr>
        <w:t>绩效目标合理性</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cyan"/>
        </w:rPr>
      </w:pPr>
      <w:r>
        <w:rPr>
          <w:rFonts w:hint="eastAsia"/>
          <w:color w:val="auto"/>
        </w:rPr>
        <w:t>保</w:t>
      </w:r>
      <w:r>
        <w:rPr>
          <w:rFonts w:hint="eastAsia"/>
          <w:color w:val="auto"/>
          <w:highlight w:val="none"/>
        </w:rPr>
        <w:t>障养老院运转类项目设立了项目绩效目标，与</w:t>
      </w:r>
      <w:r>
        <w:rPr>
          <w:rFonts w:hint="eastAsia"/>
          <w:color w:val="auto"/>
          <w:highlight w:val="none"/>
          <w:lang w:eastAsia="zh-CN"/>
        </w:rPr>
        <w:t>及时、准确的支付</w:t>
      </w:r>
      <w:r>
        <w:rPr>
          <w:rFonts w:hint="eastAsia"/>
          <w:color w:val="auto"/>
          <w:highlight w:val="none"/>
          <w:lang w:val="en-US" w:eastAsia="zh-CN"/>
        </w:rPr>
        <w:t>8名劳务派遣人员，为保障单位正常运转，支付电信费、餐厅食材费用、自来水费及污水处理费</w:t>
      </w:r>
      <w:r>
        <w:rPr>
          <w:rFonts w:hint="eastAsia"/>
          <w:color w:val="auto"/>
          <w:highlight w:val="none"/>
        </w:rPr>
        <w:t>具有相关性，项目的预期产出效益和效果也均能符合正常的业绩水平，并且与预算确定的项目投资额或资金量相匹配。</w:t>
      </w:r>
    </w:p>
    <w:p>
      <w:pPr>
        <w:pStyle w:val="2"/>
        <w:ind w:firstLine="600" w:firstLineChars="200"/>
        <w:jc w:val="left"/>
        <w:rPr>
          <w:color w:val="auto"/>
        </w:rPr>
      </w:pPr>
      <w:r>
        <w:rPr>
          <w:rFonts w:hint="eastAsia" w:ascii="Times New Roman" w:hAnsi="Times New Roman" w:eastAsia="仿宋_GB2312" w:cs="Times New Roman"/>
          <w:b w:val="0"/>
          <w:bCs w:val="0"/>
          <w:color w:val="auto"/>
          <w:kern w:val="2"/>
          <w:sz w:val="30"/>
          <w:szCs w:val="24"/>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color w:val="auto"/>
        </w:rPr>
      </w:pPr>
      <w:r>
        <w:rPr>
          <w:rFonts w:hint="eastAsia"/>
          <w:color w:val="auto"/>
        </w:rPr>
        <w:t>4</w:t>
      </w:r>
      <w:r>
        <w:rPr>
          <w:rFonts w:hint="eastAsia"/>
          <w:color w:val="auto"/>
          <w:lang w:val="en-US" w:eastAsia="zh-CN"/>
        </w:rPr>
        <w:t>.</w:t>
      </w:r>
      <w:r>
        <w:rPr>
          <w:rFonts w:hint="eastAsia"/>
          <w:color w:val="auto"/>
        </w:rPr>
        <w:t>绩效指标明确性</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bookmarkStart w:id="12" w:name="_Hlk68699917"/>
      <w:r>
        <w:rPr>
          <w:rFonts w:hint="eastAsia"/>
          <w:color w:val="auto"/>
        </w:rPr>
        <w:t>保障养老院运转类项目将项目绩效目标细化分解为具体的绩效指标，一级指标共</w:t>
      </w:r>
      <w:r>
        <w:rPr>
          <w:rFonts w:hint="eastAsia"/>
          <w:color w:val="auto"/>
          <w:lang w:val="en-US" w:eastAsia="zh-CN"/>
        </w:rPr>
        <w:t>4</w:t>
      </w:r>
      <w:r>
        <w:rPr>
          <w:rFonts w:hint="eastAsia"/>
          <w:color w:val="auto"/>
        </w:rPr>
        <w:t>条，二级指标共</w:t>
      </w:r>
      <w:r>
        <w:rPr>
          <w:rFonts w:hint="eastAsia"/>
          <w:color w:val="auto"/>
          <w:lang w:val="en-US" w:eastAsia="zh-CN"/>
        </w:rPr>
        <w:t>6</w:t>
      </w:r>
      <w:r>
        <w:rPr>
          <w:rFonts w:hint="eastAsia"/>
          <w:color w:val="auto"/>
        </w:rPr>
        <w:t>条，三级指标共</w:t>
      </w:r>
      <w:r>
        <w:rPr>
          <w:rFonts w:hint="eastAsia"/>
          <w:color w:val="auto"/>
          <w:lang w:val="en-US" w:eastAsia="zh-CN"/>
        </w:rPr>
        <w:t>10</w:t>
      </w:r>
      <w:r>
        <w:rPr>
          <w:rFonts w:hint="eastAsia"/>
          <w:color w:val="auto"/>
        </w:rPr>
        <w:t>条，其中量化指标条数共</w:t>
      </w:r>
      <w:r>
        <w:rPr>
          <w:rFonts w:hint="eastAsia"/>
          <w:color w:val="auto"/>
          <w:lang w:val="en-US" w:eastAsia="zh-CN"/>
        </w:rPr>
        <w:t>9</w:t>
      </w:r>
      <w:r>
        <w:rPr>
          <w:rFonts w:hint="eastAsia"/>
          <w:color w:val="auto"/>
        </w:rPr>
        <w:t>条，所有绩效指标均通过清晰、可衡量的指标值予以体现，并且做到了与项目目标任务数或计划数相对应。</w:t>
      </w:r>
      <w:bookmarkEnd w:id="12"/>
    </w:p>
    <w:p>
      <w:pPr>
        <w:pStyle w:val="2"/>
        <w:ind w:firstLine="600" w:firstLineChars="200"/>
        <w:jc w:val="left"/>
        <w:rPr>
          <w:color w:val="auto"/>
        </w:rPr>
      </w:pPr>
      <w:r>
        <w:rPr>
          <w:rFonts w:hint="eastAsia" w:ascii="Times New Roman" w:hAnsi="Times New Roman" w:eastAsia="仿宋_GB2312" w:cs="Times New Roman"/>
          <w:b w:val="0"/>
          <w:bCs w:val="0"/>
          <w:color w:val="auto"/>
          <w:kern w:val="2"/>
          <w:sz w:val="30"/>
          <w:szCs w:val="24"/>
          <w:lang w:val="en-US" w:eastAsia="zh-CN" w:bidi="ar-SA"/>
        </w:rPr>
        <w:t>此项权重分2分，得分2分。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color w:val="auto"/>
        </w:rPr>
      </w:pPr>
      <w:r>
        <w:rPr>
          <w:rFonts w:hint="eastAsia"/>
          <w:color w:val="auto"/>
        </w:rPr>
        <w:t>5</w:t>
      </w:r>
      <w:r>
        <w:rPr>
          <w:rFonts w:hint="eastAsia"/>
          <w:color w:val="auto"/>
          <w:lang w:val="en-US" w:eastAsia="zh-CN"/>
        </w:rPr>
        <w:t>.</w:t>
      </w:r>
      <w:r>
        <w:rPr>
          <w:rFonts w:hint="eastAsia"/>
          <w:color w:val="auto"/>
        </w:rPr>
        <w:t>预算编制科学性</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保障养老院运转类项目设立初期制定了资金使用计划，资金下达后据此进行预算的编制，上会讨论通过了集体决策，以支付劳务派遣人员工资及每月运转经费（包括电信费、餐厅食材费用、自来水费及污水处理费）为预算内容、投资额为70万元，这与支付劳务派遣人员工资及每月运转经费的项目内容匹配。</w:t>
      </w:r>
    </w:p>
    <w:p>
      <w:pPr>
        <w:pStyle w:val="2"/>
        <w:ind w:firstLine="600" w:firstLineChars="200"/>
        <w:jc w:val="left"/>
        <w:rPr>
          <w:color w:val="auto"/>
        </w:rPr>
      </w:pPr>
      <w:r>
        <w:rPr>
          <w:rFonts w:hint="eastAsia" w:ascii="Times New Roman" w:hAnsi="Times New Roman" w:eastAsia="仿宋_GB2312" w:cs="Times New Roman"/>
          <w:b w:val="0"/>
          <w:bCs w:val="0"/>
          <w:color w:val="auto"/>
          <w:kern w:val="2"/>
          <w:sz w:val="30"/>
          <w:szCs w:val="24"/>
          <w:lang w:val="en-US" w:eastAsia="zh-CN" w:bidi="ar-SA"/>
        </w:rPr>
        <w:t>此项权重分5分，得分5分。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color w:val="auto"/>
        </w:rPr>
      </w:pPr>
      <w:r>
        <w:rPr>
          <w:rFonts w:hint="eastAsia"/>
          <w:color w:val="auto"/>
        </w:rPr>
        <w:t>6</w:t>
      </w:r>
      <w:r>
        <w:rPr>
          <w:rFonts w:hint="eastAsia"/>
          <w:color w:val="auto"/>
          <w:lang w:val="en-US" w:eastAsia="zh-CN"/>
        </w:rPr>
        <w:t>.</w:t>
      </w:r>
      <w:r>
        <w:rPr>
          <w:rFonts w:hint="eastAsia"/>
          <w:color w:val="auto"/>
        </w:rPr>
        <w:t>资金分配合理性</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保障养老院运转类项目资金分配依据项目资金使用计划，采购时严格按照采购平台规定采购餐厅食材，按照实际情况支付电信费、餐厅食材费用、自来水费及污水处理费的资金分配额度合理。</w:t>
      </w:r>
    </w:p>
    <w:p>
      <w:pPr>
        <w:pStyle w:val="2"/>
        <w:ind w:firstLine="600" w:firstLineChars="200"/>
        <w:jc w:val="left"/>
        <w:rPr>
          <w:color w:val="auto"/>
        </w:rPr>
      </w:pPr>
      <w:r>
        <w:rPr>
          <w:rFonts w:hint="eastAsia" w:ascii="Times New Roman" w:hAnsi="Times New Roman" w:eastAsia="仿宋_GB2312" w:cs="Times New Roman"/>
          <w:b w:val="0"/>
          <w:bCs w:val="0"/>
          <w:color w:val="auto"/>
          <w:kern w:val="2"/>
          <w:sz w:val="30"/>
          <w:szCs w:val="24"/>
          <w:lang w:val="en-US" w:eastAsia="zh-CN" w:bidi="ar-SA"/>
        </w:rPr>
        <w:t>此项权重分5分，得分5分。</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color w:val="auto"/>
        </w:rPr>
      </w:pPr>
      <w:bookmarkStart w:id="13" w:name="_Toc68703839"/>
      <w:r>
        <w:rPr>
          <w:rFonts w:hint="eastAsia" w:ascii="仿宋_GB2312" w:eastAsia="仿宋_GB2312"/>
          <w:b w:val="0"/>
          <w:bCs w:val="0"/>
          <w:color w:val="auto"/>
        </w:rPr>
        <w:t>（二）项目过程情况。</w:t>
      </w:r>
      <w:bookmarkEnd w:id="13"/>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color w:val="auto"/>
        </w:rPr>
      </w:pPr>
      <w:r>
        <w:rPr>
          <w:rFonts w:hint="eastAsia"/>
          <w:color w:val="auto"/>
        </w:rPr>
        <w:t>1</w:t>
      </w:r>
      <w:r>
        <w:rPr>
          <w:rFonts w:hint="eastAsia"/>
          <w:color w:val="auto"/>
          <w:lang w:val="en-US" w:eastAsia="zh-CN"/>
        </w:rPr>
        <w:t>.</w:t>
      </w:r>
      <w:r>
        <w:rPr>
          <w:rFonts w:hint="eastAsia"/>
          <w:color w:val="auto"/>
        </w:rPr>
        <w:t>资金到位率：</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rPr>
        <w:t>预算资金</w:t>
      </w:r>
      <w:r>
        <w:rPr>
          <w:rFonts w:hint="eastAsia"/>
          <w:color w:val="auto"/>
          <w:lang w:val="en-US" w:eastAsia="zh-CN"/>
        </w:rPr>
        <w:t>70</w:t>
      </w:r>
      <w:r>
        <w:rPr>
          <w:rFonts w:hint="eastAsia"/>
          <w:color w:val="auto"/>
        </w:rPr>
        <w:t>万元，实际到位资金</w:t>
      </w:r>
      <w:r>
        <w:rPr>
          <w:rFonts w:hint="eastAsia"/>
          <w:color w:val="auto"/>
          <w:lang w:val="en-US" w:eastAsia="zh-CN"/>
        </w:rPr>
        <w:t>70</w:t>
      </w:r>
      <w:r>
        <w:rPr>
          <w:rFonts w:hint="eastAsia"/>
          <w:color w:val="auto"/>
        </w:rPr>
        <w:t>万元，资金到位率</w:t>
      </w:r>
      <w:r>
        <w:rPr>
          <w:rFonts w:hint="eastAsia"/>
          <w:color w:val="auto"/>
          <w:lang w:val="en-US" w:eastAsia="zh-CN"/>
        </w:rPr>
        <w:t>100</w:t>
      </w:r>
      <w:r>
        <w:rPr>
          <w:rFonts w:hint="eastAsia"/>
          <w:color w:val="auto"/>
        </w:rPr>
        <w:t>%。</w:t>
      </w:r>
    </w:p>
    <w:p>
      <w:pPr>
        <w:pStyle w:val="2"/>
        <w:ind w:firstLine="600" w:firstLineChars="200"/>
        <w:jc w:val="left"/>
        <w:rPr>
          <w:color w:val="auto"/>
        </w:rPr>
      </w:pPr>
      <w:r>
        <w:rPr>
          <w:rFonts w:hint="eastAsia" w:ascii="Times New Roman" w:hAnsi="Times New Roman" w:eastAsia="仿宋_GB2312" w:cs="Times New Roman"/>
          <w:b w:val="0"/>
          <w:bCs w:val="0"/>
          <w:color w:val="auto"/>
          <w:kern w:val="2"/>
          <w:sz w:val="30"/>
          <w:szCs w:val="24"/>
          <w:lang w:val="en-US" w:eastAsia="zh-CN" w:bidi="ar-SA"/>
        </w:rPr>
        <w:t>此项权重分10分，得分10分。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color w:val="auto"/>
        </w:rPr>
      </w:pPr>
      <w:r>
        <w:rPr>
          <w:rFonts w:hint="eastAsia"/>
          <w:color w:val="auto"/>
        </w:rPr>
        <w:t>2</w:t>
      </w:r>
      <w:r>
        <w:rPr>
          <w:rFonts w:hint="eastAsia"/>
          <w:color w:val="auto"/>
          <w:lang w:val="en-US" w:eastAsia="zh-CN"/>
        </w:rPr>
        <w:t>.</w:t>
      </w:r>
      <w:r>
        <w:rPr>
          <w:rFonts w:hint="eastAsia"/>
          <w:color w:val="auto"/>
        </w:rPr>
        <w:t>预算执行率</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eastAsia="仿宋_GB2312"/>
          <w:color w:val="auto"/>
          <w:lang w:eastAsia="zh-CN"/>
        </w:rPr>
      </w:pPr>
      <w:r>
        <w:rPr>
          <w:rFonts w:hint="eastAsia"/>
          <w:color w:val="auto"/>
        </w:rPr>
        <w:t>年初预算数</w:t>
      </w:r>
      <w:r>
        <w:rPr>
          <w:rFonts w:hint="eastAsia"/>
          <w:color w:val="auto"/>
          <w:lang w:val="en-US" w:eastAsia="zh-CN"/>
        </w:rPr>
        <w:t>70</w:t>
      </w:r>
      <w:r>
        <w:rPr>
          <w:rFonts w:hint="eastAsia"/>
          <w:color w:val="auto"/>
        </w:rPr>
        <w:t>万元，全年预算数</w:t>
      </w:r>
      <w:r>
        <w:rPr>
          <w:rFonts w:hint="eastAsia"/>
          <w:color w:val="auto"/>
          <w:lang w:val="en-US" w:eastAsia="zh-CN"/>
        </w:rPr>
        <w:t>70</w:t>
      </w:r>
      <w:r>
        <w:rPr>
          <w:rFonts w:hint="eastAsia"/>
          <w:color w:val="auto"/>
        </w:rPr>
        <w:t>万元，全年执行数</w:t>
      </w:r>
      <w:r>
        <w:rPr>
          <w:rFonts w:hint="eastAsia"/>
          <w:color w:val="auto"/>
          <w:lang w:val="en-US" w:eastAsia="zh-CN"/>
        </w:rPr>
        <w:t>44.84</w:t>
      </w:r>
      <w:r>
        <w:rPr>
          <w:rFonts w:hint="eastAsia"/>
          <w:color w:val="auto"/>
        </w:rPr>
        <w:t>万元，预算执行率为</w:t>
      </w:r>
      <w:r>
        <w:rPr>
          <w:rFonts w:hint="eastAsia"/>
          <w:color w:val="auto"/>
          <w:lang w:val="en-US" w:eastAsia="zh-CN"/>
        </w:rPr>
        <w:t>64.06</w:t>
      </w:r>
      <w:r>
        <w:rPr>
          <w:rFonts w:hint="eastAsia"/>
          <w:color w:val="auto"/>
        </w:rPr>
        <w:t>%</w:t>
      </w:r>
      <w:r>
        <w:rPr>
          <w:rFonts w:hint="eastAsia"/>
          <w:color w:val="auto"/>
          <w:lang w:eastAsia="zh-CN"/>
        </w:rPr>
        <w:t>。</w:t>
      </w:r>
    </w:p>
    <w:p>
      <w:pPr>
        <w:pStyle w:val="2"/>
        <w:ind w:firstLine="600" w:firstLineChars="200"/>
        <w:jc w:val="left"/>
        <w:rPr>
          <w:color w:val="auto"/>
        </w:rPr>
      </w:pPr>
      <w:r>
        <w:rPr>
          <w:rFonts w:hint="eastAsia" w:ascii="Times New Roman" w:hAnsi="Times New Roman" w:eastAsia="仿宋_GB2312" w:cs="Times New Roman"/>
          <w:b w:val="0"/>
          <w:bCs w:val="0"/>
          <w:color w:val="auto"/>
          <w:kern w:val="2"/>
          <w:sz w:val="30"/>
          <w:szCs w:val="24"/>
          <w:lang w:val="en-US" w:eastAsia="zh-CN" w:bidi="ar-SA"/>
        </w:rPr>
        <w:t>此项权重分2分，得分1.28分。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color w:val="auto"/>
        </w:rPr>
      </w:pPr>
      <w:r>
        <w:rPr>
          <w:rFonts w:hint="eastAsia"/>
          <w:color w:val="auto"/>
        </w:rPr>
        <w:t>3</w:t>
      </w:r>
      <w:r>
        <w:rPr>
          <w:rFonts w:hint="eastAsia"/>
          <w:color w:val="auto"/>
          <w:lang w:val="en-US" w:eastAsia="zh-CN"/>
        </w:rPr>
        <w:t>.</w:t>
      </w:r>
      <w:r>
        <w:rPr>
          <w:rFonts w:hint="eastAsia"/>
          <w:color w:val="auto"/>
        </w:rPr>
        <w:t>资金使用合规性</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项目严格按照预期绩效目标执行预算资金。制定了州卫健委党组会议通过的《巴州福康老年公寓重启筹备实施方案》的决定、《住寓须知》、《消费者投诉处理制度》、《餐饮服务食品进货查验记录管理制度》、《商品采购管理办法》、《预算编制与执行管理规定》、《财务处理程序制度》、《财务收支审批制度》等相关的制度和管理规定，对保障养老院运转类项目经费使用进行规范管理，财务制度健全、执行严格。资金的拨付有完整的审批程序和手续，包括计划申请、采购报批、组织验收、支付申请等，在项目资金拨付和使用过程中，为确保项目资金的安全性，提高项目资金使用效率，严格遵循项目资金的拨付程序，认真审核项目实施各阶段的相关材料和手续，包括计划申请、采购报批、组织验收、支付申请等，根据项目支付劳务派遣人员工资及每月运转经费（包括电信费、餐厅食材费用、自来水费及污水处理费）实施进展情况拨付资金。资金使用符合该项目的立项批复。资金不存在截留、挤占、挪用、虚列支出等情况。</w:t>
      </w:r>
    </w:p>
    <w:p>
      <w:pPr>
        <w:pStyle w:val="2"/>
        <w:ind w:firstLine="600" w:firstLineChars="200"/>
        <w:jc w:val="left"/>
        <w:rPr>
          <w:rFonts w:hint="eastAsia"/>
          <w:color w:val="auto"/>
          <w:lang w:val="en-US" w:eastAsia="zh-CN"/>
        </w:rPr>
      </w:pPr>
      <w:r>
        <w:rPr>
          <w:rFonts w:hint="eastAsia" w:ascii="Times New Roman" w:hAnsi="Times New Roman" w:eastAsia="仿宋_GB2312" w:cs="Times New Roman"/>
          <w:b w:val="0"/>
          <w:bCs w:val="0"/>
          <w:color w:val="auto"/>
          <w:kern w:val="2"/>
          <w:sz w:val="30"/>
          <w:szCs w:val="24"/>
          <w:lang w:val="en-US" w:eastAsia="zh-CN" w:bidi="ar-SA"/>
        </w:rPr>
        <w:t>此项权重分2分，得分2分。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color w:val="auto"/>
        </w:rPr>
      </w:pPr>
      <w:r>
        <w:rPr>
          <w:rFonts w:hint="eastAsia"/>
          <w:color w:val="auto"/>
        </w:rPr>
        <w:t>4</w:t>
      </w:r>
      <w:r>
        <w:rPr>
          <w:rFonts w:hint="eastAsia"/>
          <w:color w:val="auto"/>
          <w:lang w:val="en-US" w:eastAsia="zh-CN"/>
        </w:rPr>
        <w:t>.</w:t>
      </w:r>
      <w:r>
        <w:rPr>
          <w:rFonts w:hint="eastAsia"/>
          <w:color w:val="auto"/>
        </w:rPr>
        <w:t>管理制度健全性</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制定了《住寓须知》、《消费者投诉处理制度》、《餐饮服务食品进货查验记录管理制度》、《商品采购管理办法》、《预算编制与执行管理规定》、《财务处理程序制度》、《财务收支审批制度》等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pPr>
        <w:pStyle w:val="2"/>
        <w:ind w:firstLine="600" w:firstLineChars="200"/>
        <w:jc w:val="left"/>
        <w:rPr>
          <w:rFonts w:hint="eastAsia"/>
          <w:color w:val="auto"/>
          <w:lang w:val="en-US" w:eastAsia="zh-CN"/>
        </w:rPr>
      </w:pPr>
      <w:r>
        <w:rPr>
          <w:rFonts w:hint="eastAsia" w:ascii="Times New Roman" w:hAnsi="Times New Roman" w:eastAsia="仿宋_GB2312" w:cs="Times New Roman"/>
          <w:b w:val="0"/>
          <w:bCs w:val="0"/>
          <w:color w:val="auto"/>
          <w:kern w:val="2"/>
          <w:sz w:val="30"/>
          <w:szCs w:val="24"/>
          <w:lang w:val="en-US" w:eastAsia="zh-CN" w:bidi="ar-SA"/>
        </w:rPr>
        <w:t>此项权重分2分，得分2分。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color w:val="auto"/>
        </w:rPr>
      </w:pPr>
      <w:r>
        <w:rPr>
          <w:rFonts w:hint="eastAsia"/>
          <w:color w:val="auto"/>
        </w:rPr>
        <w:t>5</w:t>
      </w:r>
      <w:r>
        <w:rPr>
          <w:rFonts w:hint="eastAsia"/>
          <w:color w:val="auto"/>
          <w:lang w:val="en-US" w:eastAsia="zh-CN"/>
        </w:rPr>
        <w:t>.</w:t>
      </w:r>
      <w:r>
        <w:rPr>
          <w:rFonts w:hint="eastAsia"/>
          <w:color w:val="auto"/>
        </w:rPr>
        <w:t>制度执行有效性</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cs="Times New Roman"/>
          <w:color w:val="000000" w:themeColor="text1"/>
          <w:lang w:val="en-US" w:eastAsia="zh-CN"/>
        </w:rPr>
      </w:pPr>
      <w:r>
        <w:rPr>
          <w:rFonts w:hint="eastAsia" w:ascii="Times New Roman" w:hAnsi="Times New Roman" w:cs="Times New Roman"/>
          <w:color w:val="auto"/>
          <w:lang w:val="en-US" w:eastAsia="zh-CN"/>
        </w:rPr>
        <w:t>保障养老院运转类项目的执行严格按照项目管理办法及财务管理制度的规定，执行期间未进行支出调整，餐厅食材从政采云采购，采购</w:t>
      </w:r>
      <w:r>
        <w:rPr>
          <w:rFonts w:hint="eastAsia" w:ascii="Times New Roman" w:hAnsi="Times New Roman" w:cs="Times New Roman"/>
          <w:color w:val="000000" w:themeColor="text1"/>
          <w:lang w:val="en-US" w:eastAsia="zh-CN"/>
        </w:rPr>
        <w:t>前签订合同，收到货物后验收合格，每月运转经费按照实际凭证支出，待</w:t>
      </w:r>
      <w:r>
        <w:rPr>
          <w:rFonts w:hint="eastAsia"/>
          <w:color w:val="000000" w:themeColor="text1"/>
        </w:rPr>
        <w:t>资料齐全及时归档</w:t>
      </w:r>
      <w:r>
        <w:rPr>
          <w:rFonts w:hint="eastAsia"/>
          <w:color w:val="000000" w:themeColor="text1"/>
          <w:lang w:eastAsia="zh-CN"/>
        </w:rPr>
        <w:t>，</w:t>
      </w:r>
      <w:r>
        <w:rPr>
          <w:rFonts w:hint="eastAsia" w:ascii="Times New Roman" w:hAnsi="Times New Roman" w:cs="Times New Roman"/>
          <w:color w:val="000000" w:themeColor="text1"/>
          <w:lang w:val="en-US" w:eastAsia="zh-CN"/>
        </w:rPr>
        <w:t>单位职工参与了支付劳务派遣人员工资及每月运转经费的决策。</w:t>
      </w:r>
    </w:p>
    <w:p>
      <w:pPr>
        <w:pStyle w:val="2"/>
        <w:ind w:firstLine="600" w:firstLineChars="200"/>
        <w:jc w:val="left"/>
        <w:rPr>
          <w:color w:val="auto"/>
        </w:rPr>
      </w:pPr>
      <w:r>
        <w:rPr>
          <w:rFonts w:hint="eastAsia" w:ascii="Times New Roman" w:hAnsi="Times New Roman" w:eastAsia="仿宋_GB2312" w:cs="Times New Roman"/>
          <w:b w:val="0"/>
          <w:bCs w:val="0"/>
          <w:color w:val="auto"/>
          <w:kern w:val="2"/>
          <w:sz w:val="30"/>
          <w:szCs w:val="24"/>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eastAsia="仿宋_GB2312"/>
          <w:b w:val="0"/>
          <w:bCs w:val="0"/>
          <w:color w:val="auto"/>
          <w:highlight w:val="none"/>
        </w:rPr>
      </w:pPr>
      <w:bookmarkStart w:id="14" w:name="_Toc68703840"/>
      <w:r>
        <w:rPr>
          <w:rFonts w:hint="eastAsia"/>
          <w:color w:val="auto"/>
          <w:highlight w:val="none"/>
          <w:lang w:val="en-US" w:eastAsia="zh-CN"/>
        </w:rPr>
        <w:t>（三）</w:t>
      </w:r>
      <w:r>
        <w:rPr>
          <w:rFonts w:hint="eastAsia" w:ascii="仿宋_GB2312" w:eastAsia="仿宋_GB2312"/>
          <w:b w:val="0"/>
          <w:bCs w:val="0"/>
          <w:color w:val="auto"/>
          <w:highlight w:val="none"/>
        </w:rPr>
        <w:t>项目产出情况。</w:t>
      </w:r>
      <w:bookmarkEnd w:id="14"/>
    </w:p>
    <w:p>
      <w:pPr>
        <w:pageBreakBefore w:val="0"/>
        <w:numPr>
          <w:ilvl w:val="0"/>
          <w:numId w:val="1"/>
        </w:numPr>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rPr>
        <w:t>数量指标</w:t>
      </w:r>
      <w:r>
        <w:rPr>
          <w:rFonts w:hint="eastAsia"/>
          <w:color w:val="auto"/>
          <w:lang w:eastAsia="zh-CN"/>
        </w:rPr>
        <w:t>完成情况</w:t>
      </w:r>
      <w:r>
        <w:rPr>
          <w:rFonts w:hint="eastAsia"/>
          <w:color w:val="auto"/>
        </w:rPr>
        <w:t>：指标1：发放次数，指标值：</w:t>
      </w:r>
      <w:r>
        <w:rPr>
          <w:rFonts w:hint="eastAsia"/>
          <w:color w:val="auto"/>
          <w:lang w:val="en-US" w:eastAsia="zh-CN"/>
        </w:rPr>
        <w:t>12次</w:t>
      </w:r>
      <w:r>
        <w:rPr>
          <w:rFonts w:hint="eastAsia"/>
          <w:color w:val="auto"/>
        </w:rPr>
        <w:t>，实际完成值</w:t>
      </w:r>
      <w:r>
        <w:rPr>
          <w:rFonts w:hint="eastAsia"/>
          <w:color w:val="auto"/>
          <w:lang w:val="en-US" w:eastAsia="zh-CN"/>
        </w:rPr>
        <w:t>12次</w:t>
      </w:r>
      <w:r>
        <w:rPr>
          <w:rFonts w:hint="eastAsia"/>
          <w:color w:val="auto"/>
        </w:rPr>
        <w:t>，指标完成率</w:t>
      </w:r>
      <w:r>
        <w:rPr>
          <w:rFonts w:hint="eastAsia"/>
          <w:color w:val="auto"/>
          <w:lang w:val="en-US" w:eastAsia="zh-CN"/>
        </w:rPr>
        <w:t>100</w:t>
      </w:r>
      <w:r>
        <w:rPr>
          <w:rFonts w:hint="eastAsia"/>
          <w:color w:val="auto"/>
        </w:rPr>
        <w:t>%，偏差原因：</w:t>
      </w:r>
      <w:r>
        <w:rPr>
          <w:rFonts w:hint="eastAsia"/>
          <w:color w:val="auto"/>
          <w:lang w:eastAsia="zh-CN"/>
        </w:rPr>
        <w:t>无</w:t>
      </w:r>
      <w:r>
        <w:rPr>
          <w:rFonts w:hint="eastAsia"/>
          <w:color w:val="auto"/>
        </w:rPr>
        <w:t>；指标2：发放人数，指标值：</w:t>
      </w:r>
      <w:r>
        <w:rPr>
          <w:rFonts w:hint="eastAsia"/>
          <w:color w:val="auto"/>
          <w:lang w:val="en-US" w:eastAsia="zh-CN"/>
        </w:rPr>
        <w:t>10人</w:t>
      </w:r>
      <w:r>
        <w:rPr>
          <w:rFonts w:hint="eastAsia"/>
          <w:color w:val="auto"/>
        </w:rPr>
        <w:t>，实际完成值</w:t>
      </w:r>
      <w:r>
        <w:rPr>
          <w:rFonts w:hint="eastAsia"/>
          <w:color w:val="auto"/>
          <w:lang w:val="en-US" w:eastAsia="zh-CN"/>
        </w:rPr>
        <w:t>8人</w:t>
      </w:r>
      <w:r>
        <w:rPr>
          <w:rFonts w:hint="eastAsia"/>
          <w:color w:val="auto"/>
        </w:rPr>
        <w:t>，指标完成率</w:t>
      </w:r>
      <w:r>
        <w:rPr>
          <w:rFonts w:hint="eastAsia"/>
          <w:color w:val="auto"/>
          <w:lang w:val="en-US" w:eastAsia="zh-CN"/>
        </w:rPr>
        <w:t>80</w:t>
      </w:r>
      <w:r>
        <w:rPr>
          <w:rFonts w:hint="eastAsia"/>
          <w:color w:val="auto"/>
        </w:rPr>
        <w:t>%，偏差原因：</w:t>
      </w:r>
      <w:r>
        <w:rPr>
          <w:rFonts w:hint="eastAsia"/>
          <w:color w:val="auto"/>
          <w:lang w:val="en-US" w:eastAsia="zh-CN"/>
        </w:rPr>
        <w:t>3人离职</w:t>
      </w:r>
      <w:r>
        <w:rPr>
          <w:rFonts w:hint="eastAsia"/>
          <w:color w:val="auto"/>
          <w:lang w:eastAsia="zh-CN"/>
        </w:rPr>
        <w:t>；</w:t>
      </w:r>
      <w:r>
        <w:rPr>
          <w:rFonts w:hint="eastAsia"/>
          <w:color w:val="auto"/>
        </w:rPr>
        <w:t>指标</w:t>
      </w:r>
      <w:r>
        <w:rPr>
          <w:rFonts w:hint="eastAsia"/>
          <w:color w:val="auto"/>
          <w:lang w:val="en-US" w:eastAsia="zh-CN"/>
        </w:rPr>
        <w:t>3</w:t>
      </w:r>
      <w:r>
        <w:rPr>
          <w:rFonts w:hint="eastAsia"/>
          <w:color w:val="auto"/>
        </w:rPr>
        <w:t>：房屋供暖面积，指标值：3515.63平方米，实际完成值3515.63平方米，指标完成率</w:t>
      </w:r>
      <w:r>
        <w:rPr>
          <w:rFonts w:hint="eastAsia"/>
          <w:color w:val="auto"/>
          <w:lang w:val="en-US" w:eastAsia="zh-CN"/>
        </w:rPr>
        <w:t>100</w:t>
      </w:r>
      <w:r>
        <w:rPr>
          <w:rFonts w:hint="eastAsia"/>
          <w:color w:val="auto"/>
        </w:rPr>
        <w:t>%，偏差原因：</w:t>
      </w:r>
      <w:r>
        <w:rPr>
          <w:rFonts w:hint="eastAsia"/>
          <w:color w:val="auto"/>
          <w:lang w:val="en-US" w:eastAsia="zh-CN"/>
        </w:rPr>
        <w:t>无</w:t>
      </w:r>
      <w:r>
        <w:rPr>
          <w:rFonts w:hint="eastAsia"/>
          <w:color w:val="auto"/>
        </w:rPr>
        <w:t>。</w:t>
      </w:r>
    </w:p>
    <w:p>
      <w:pPr>
        <w:pStyle w:val="2"/>
        <w:ind w:firstLine="600" w:firstLineChars="200"/>
        <w:jc w:val="left"/>
        <w:rPr>
          <w:rFonts w:hint="default"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color w:val="auto"/>
          <w:kern w:val="2"/>
          <w:sz w:val="30"/>
          <w:szCs w:val="24"/>
          <w:lang w:val="en-US" w:eastAsia="zh-CN" w:bidi="ar-SA"/>
        </w:rPr>
        <w:t>此项权重分2分，得分2分。</w:t>
      </w:r>
    </w:p>
    <w:p>
      <w:pPr>
        <w:pageBreakBefore w:val="0"/>
        <w:numPr>
          <w:ilvl w:val="0"/>
          <w:numId w:val="1"/>
        </w:numPr>
        <w:kinsoku/>
        <w:wordWrap/>
        <w:overflowPunct/>
        <w:topLinePunct w:val="0"/>
        <w:autoSpaceDE/>
        <w:autoSpaceDN/>
        <w:bidi w:val="0"/>
        <w:adjustRightInd/>
        <w:snapToGrid/>
        <w:spacing w:line="560" w:lineRule="exact"/>
        <w:ind w:left="0" w:leftChars="0" w:firstLine="600" w:firstLineChars="200"/>
        <w:textAlignment w:val="auto"/>
        <w:rPr>
          <w:color w:val="auto"/>
        </w:rPr>
      </w:pPr>
      <w:r>
        <w:rPr>
          <w:rFonts w:hint="eastAsia"/>
          <w:color w:val="auto"/>
        </w:rPr>
        <w:t>质量指标</w:t>
      </w:r>
      <w:r>
        <w:rPr>
          <w:rFonts w:hint="eastAsia"/>
          <w:color w:val="auto"/>
          <w:lang w:eastAsia="zh-CN"/>
        </w:rPr>
        <w:t>完成情况</w:t>
      </w:r>
      <w:r>
        <w:rPr>
          <w:rFonts w:hint="eastAsia"/>
          <w:color w:val="auto"/>
        </w:rPr>
        <w:t>：指标1：工资发放准确率，指标值：95%，实际完成值</w:t>
      </w:r>
      <w:r>
        <w:rPr>
          <w:rFonts w:hint="eastAsia"/>
          <w:color w:val="auto"/>
          <w:lang w:val="en-US" w:eastAsia="zh-CN"/>
        </w:rPr>
        <w:t>100%</w:t>
      </w:r>
      <w:r>
        <w:rPr>
          <w:rFonts w:hint="eastAsia"/>
          <w:color w:val="auto"/>
        </w:rPr>
        <w:t>，指标完成率</w:t>
      </w:r>
      <w:r>
        <w:rPr>
          <w:rFonts w:hint="eastAsia"/>
          <w:color w:val="auto"/>
          <w:lang w:val="en-US" w:eastAsia="zh-CN"/>
        </w:rPr>
        <w:t>105.26</w:t>
      </w:r>
      <w:r>
        <w:rPr>
          <w:rFonts w:hint="eastAsia"/>
          <w:color w:val="auto"/>
        </w:rPr>
        <w:t>%，偏差原因：</w:t>
      </w:r>
      <w:r>
        <w:rPr>
          <w:rFonts w:hint="eastAsia"/>
          <w:color w:val="auto"/>
          <w:lang w:eastAsia="zh-CN"/>
        </w:rPr>
        <w:t>无。</w:t>
      </w:r>
    </w:p>
    <w:p>
      <w:pPr>
        <w:pStyle w:val="2"/>
        <w:ind w:firstLine="600" w:firstLineChars="200"/>
        <w:jc w:val="left"/>
        <w:rPr>
          <w:color w:val="auto"/>
        </w:rPr>
      </w:pPr>
      <w:r>
        <w:rPr>
          <w:rFonts w:hint="eastAsia" w:ascii="Times New Roman" w:hAnsi="Times New Roman" w:eastAsia="仿宋_GB2312" w:cs="Times New Roman"/>
          <w:b w:val="0"/>
          <w:bCs w:val="0"/>
          <w:color w:val="auto"/>
          <w:kern w:val="2"/>
          <w:sz w:val="30"/>
          <w:szCs w:val="24"/>
          <w:lang w:val="en-US" w:eastAsia="zh-CN" w:bidi="ar-SA"/>
        </w:rPr>
        <w:t>此项权重分18分，得分18分。</w:t>
      </w:r>
    </w:p>
    <w:p>
      <w:pPr>
        <w:pageBreakBefore w:val="0"/>
        <w:numPr>
          <w:ilvl w:val="0"/>
          <w:numId w:val="1"/>
        </w:numPr>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rPr>
        <w:t>时效指标</w:t>
      </w:r>
      <w:r>
        <w:rPr>
          <w:rFonts w:hint="eastAsia"/>
          <w:color w:val="auto"/>
          <w:lang w:eastAsia="zh-CN"/>
        </w:rPr>
        <w:t>完成情况</w:t>
      </w:r>
      <w:r>
        <w:rPr>
          <w:rFonts w:hint="eastAsia"/>
          <w:color w:val="auto"/>
        </w:rPr>
        <w:t>：指标1：资金发放及时率，指标值：</w:t>
      </w:r>
      <w:r>
        <w:rPr>
          <w:rFonts w:hint="eastAsia"/>
          <w:color w:val="auto"/>
          <w:lang w:val="en-US" w:eastAsia="zh-CN"/>
        </w:rPr>
        <w:t>95%</w:t>
      </w:r>
      <w:r>
        <w:rPr>
          <w:rFonts w:hint="eastAsia"/>
          <w:color w:val="auto"/>
        </w:rPr>
        <w:t>，实际完成值</w:t>
      </w:r>
      <w:r>
        <w:rPr>
          <w:rFonts w:hint="eastAsia"/>
          <w:color w:val="auto"/>
          <w:lang w:val="en-US" w:eastAsia="zh-CN"/>
        </w:rPr>
        <w:t>100%</w:t>
      </w:r>
      <w:r>
        <w:rPr>
          <w:rFonts w:hint="eastAsia"/>
          <w:color w:val="auto"/>
        </w:rPr>
        <w:t>，指标完成率</w:t>
      </w:r>
      <w:r>
        <w:rPr>
          <w:rFonts w:hint="eastAsia"/>
          <w:color w:val="auto"/>
          <w:lang w:val="en-US" w:eastAsia="zh-CN"/>
        </w:rPr>
        <w:t>105.26</w:t>
      </w:r>
      <w:r>
        <w:rPr>
          <w:rFonts w:hint="eastAsia"/>
          <w:color w:val="auto"/>
        </w:rPr>
        <w:t>%，偏差原因：</w:t>
      </w:r>
      <w:r>
        <w:rPr>
          <w:rFonts w:hint="eastAsia"/>
          <w:color w:val="auto"/>
          <w:lang w:eastAsia="zh-CN"/>
        </w:rPr>
        <w:t>无</w:t>
      </w:r>
      <w:r>
        <w:rPr>
          <w:rFonts w:hint="eastAsia"/>
          <w:color w:val="auto"/>
        </w:rPr>
        <w:t>；指标2：公用经费支出及时率，指标值：</w:t>
      </w:r>
      <w:r>
        <w:rPr>
          <w:rFonts w:hint="eastAsia"/>
          <w:color w:val="auto"/>
          <w:lang w:val="en-US" w:eastAsia="zh-CN"/>
        </w:rPr>
        <w:t>95%</w:t>
      </w:r>
      <w:r>
        <w:rPr>
          <w:rFonts w:hint="eastAsia"/>
          <w:color w:val="auto"/>
        </w:rPr>
        <w:t>，实际完成值</w:t>
      </w:r>
      <w:r>
        <w:rPr>
          <w:rFonts w:hint="eastAsia"/>
          <w:color w:val="auto"/>
          <w:lang w:val="en-US" w:eastAsia="zh-CN"/>
        </w:rPr>
        <w:t>100%</w:t>
      </w:r>
      <w:r>
        <w:rPr>
          <w:rFonts w:hint="eastAsia"/>
          <w:color w:val="auto"/>
        </w:rPr>
        <w:t>，指标完成率</w:t>
      </w:r>
      <w:r>
        <w:rPr>
          <w:rFonts w:hint="eastAsia"/>
          <w:color w:val="auto"/>
          <w:lang w:val="en-US" w:eastAsia="zh-CN"/>
        </w:rPr>
        <w:t>105.26%</w:t>
      </w:r>
      <w:r>
        <w:rPr>
          <w:rFonts w:hint="eastAsia"/>
          <w:color w:val="auto"/>
        </w:rPr>
        <w:t>，偏差原因：</w:t>
      </w:r>
      <w:r>
        <w:rPr>
          <w:rFonts w:hint="eastAsia"/>
          <w:color w:val="auto"/>
          <w:lang w:val="en-US" w:eastAsia="zh-CN"/>
        </w:rPr>
        <w:t>无</w:t>
      </w:r>
      <w:r>
        <w:rPr>
          <w:rFonts w:hint="eastAsia"/>
          <w:color w:val="auto"/>
        </w:rPr>
        <w:t>。</w:t>
      </w:r>
    </w:p>
    <w:p>
      <w:pPr>
        <w:pStyle w:val="2"/>
        <w:ind w:firstLine="600" w:firstLineChars="200"/>
        <w:jc w:val="left"/>
        <w:rPr>
          <w:rFonts w:hint="eastAsia"/>
          <w:highlight w:val="none"/>
        </w:rPr>
      </w:pPr>
      <w:r>
        <w:rPr>
          <w:rFonts w:hint="eastAsia" w:ascii="Times New Roman" w:hAnsi="Times New Roman" w:eastAsia="仿宋_GB2312" w:cs="Times New Roman"/>
          <w:b w:val="0"/>
          <w:bCs w:val="0"/>
          <w:color w:val="auto"/>
          <w:kern w:val="2"/>
          <w:sz w:val="30"/>
          <w:szCs w:val="24"/>
          <w:highlight w:val="none"/>
          <w:lang w:val="en-US" w:eastAsia="zh-CN" w:bidi="ar-SA"/>
        </w:rPr>
        <w:t>此项权重分15分，得分15分。</w:t>
      </w:r>
    </w:p>
    <w:p>
      <w:pPr>
        <w:pageBreakBefore w:val="0"/>
        <w:numPr>
          <w:ilvl w:val="0"/>
          <w:numId w:val="1"/>
        </w:numPr>
        <w:kinsoku/>
        <w:wordWrap/>
        <w:overflowPunct/>
        <w:topLinePunct w:val="0"/>
        <w:autoSpaceDE/>
        <w:autoSpaceDN/>
        <w:bidi w:val="0"/>
        <w:adjustRightInd/>
        <w:snapToGrid/>
        <w:spacing w:line="560" w:lineRule="exact"/>
        <w:ind w:left="0" w:leftChars="0" w:firstLine="600" w:firstLineChars="200"/>
        <w:textAlignment w:val="auto"/>
        <w:rPr>
          <w:rFonts w:hint="eastAsia"/>
          <w:color w:val="auto"/>
          <w:highlight w:val="none"/>
        </w:rPr>
      </w:pPr>
      <w:r>
        <w:rPr>
          <w:rFonts w:hint="eastAsia"/>
          <w:color w:val="auto"/>
          <w:highlight w:val="none"/>
          <w:lang w:val="en-US" w:eastAsia="zh-CN"/>
        </w:rPr>
        <w:t>经济成本指标完成情况</w:t>
      </w:r>
      <w:r>
        <w:rPr>
          <w:rFonts w:hint="eastAsia"/>
          <w:color w:val="auto"/>
          <w:highlight w:val="none"/>
          <w:lang w:eastAsia="zh-CN"/>
        </w:rPr>
        <w:t>：</w:t>
      </w:r>
      <w:r>
        <w:rPr>
          <w:rFonts w:hint="eastAsia"/>
          <w:color w:val="auto"/>
          <w:highlight w:val="none"/>
        </w:rPr>
        <w:t>指标1：每次发放资金数，指标值：2.26万元，实际完成值</w:t>
      </w:r>
      <w:r>
        <w:rPr>
          <w:rFonts w:hint="eastAsia"/>
          <w:color w:val="auto"/>
          <w:highlight w:val="none"/>
          <w:lang w:val="en-US" w:eastAsia="zh-CN"/>
        </w:rPr>
        <w:t>1.9万元</w:t>
      </w:r>
      <w:r>
        <w:rPr>
          <w:rFonts w:hint="eastAsia"/>
          <w:color w:val="auto"/>
          <w:highlight w:val="none"/>
        </w:rPr>
        <w:t>，指标完成率</w:t>
      </w:r>
      <w:r>
        <w:rPr>
          <w:rFonts w:hint="eastAsia"/>
          <w:color w:val="auto"/>
          <w:highlight w:val="none"/>
          <w:lang w:val="en-US" w:eastAsia="zh-CN"/>
        </w:rPr>
        <w:t>84.07</w:t>
      </w:r>
      <w:r>
        <w:rPr>
          <w:rFonts w:hint="eastAsia"/>
          <w:color w:val="auto"/>
          <w:highlight w:val="none"/>
        </w:rPr>
        <w:t>%，偏差原因：</w:t>
      </w:r>
      <w:r>
        <w:rPr>
          <w:rFonts w:hint="eastAsia"/>
          <w:color w:val="auto"/>
          <w:highlight w:val="none"/>
          <w:lang w:eastAsia="zh-CN"/>
        </w:rPr>
        <w:t>无</w:t>
      </w:r>
      <w:r>
        <w:rPr>
          <w:rFonts w:hint="eastAsia"/>
          <w:color w:val="auto"/>
          <w:highlight w:val="none"/>
        </w:rPr>
        <w:t>；指标2：单位运转每月经费，指标值：</w:t>
      </w:r>
      <w:r>
        <w:rPr>
          <w:rFonts w:hint="eastAsia"/>
          <w:color w:val="auto"/>
          <w:highlight w:val="none"/>
          <w:lang w:val="en-US" w:eastAsia="zh-CN"/>
        </w:rPr>
        <w:t>3.57万元</w:t>
      </w:r>
      <w:r>
        <w:rPr>
          <w:rFonts w:hint="eastAsia"/>
          <w:color w:val="auto"/>
          <w:highlight w:val="none"/>
        </w:rPr>
        <w:t>，实际完成值</w:t>
      </w:r>
      <w:r>
        <w:rPr>
          <w:rFonts w:hint="eastAsia"/>
          <w:color w:val="auto"/>
          <w:highlight w:val="none"/>
          <w:lang w:val="en-US" w:eastAsia="zh-CN"/>
        </w:rPr>
        <w:t>1.83万元</w:t>
      </w:r>
      <w:r>
        <w:rPr>
          <w:rFonts w:hint="eastAsia"/>
          <w:color w:val="auto"/>
          <w:highlight w:val="none"/>
        </w:rPr>
        <w:t>，指标完成率</w:t>
      </w:r>
      <w:r>
        <w:rPr>
          <w:rFonts w:hint="eastAsia"/>
          <w:color w:val="auto"/>
          <w:highlight w:val="none"/>
          <w:lang w:val="en-US" w:eastAsia="zh-CN"/>
        </w:rPr>
        <w:t>51.26%</w:t>
      </w:r>
      <w:r>
        <w:rPr>
          <w:rFonts w:hint="eastAsia"/>
          <w:color w:val="auto"/>
          <w:highlight w:val="none"/>
        </w:rPr>
        <w:t>，偏差原因：</w:t>
      </w:r>
      <w:r>
        <w:rPr>
          <w:rFonts w:hint="eastAsia"/>
          <w:color w:val="auto"/>
          <w:highlight w:val="none"/>
          <w:lang w:val="en-US" w:eastAsia="zh-CN"/>
        </w:rPr>
        <w:t>实际产生的运转经费比预期大幅减少</w:t>
      </w:r>
      <w:r>
        <w:rPr>
          <w:rFonts w:hint="eastAsia"/>
          <w:color w:val="auto"/>
          <w:highlight w:val="none"/>
        </w:rPr>
        <w:t>。</w:t>
      </w:r>
    </w:p>
    <w:p>
      <w:pPr>
        <w:pStyle w:val="2"/>
        <w:ind w:firstLine="600" w:firstLineChars="200"/>
        <w:jc w:val="left"/>
        <w:rPr>
          <w:rFonts w:hint="eastAsia"/>
        </w:rPr>
      </w:pPr>
      <w:r>
        <w:rPr>
          <w:rFonts w:hint="eastAsia" w:ascii="Times New Roman" w:hAnsi="Times New Roman" w:eastAsia="仿宋_GB2312" w:cs="Times New Roman"/>
          <w:b w:val="0"/>
          <w:bCs w:val="0"/>
          <w:color w:val="auto"/>
          <w:kern w:val="2"/>
          <w:sz w:val="30"/>
          <w:szCs w:val="24"/>
          <w:lang w:val="en-US" w:eastAsia="zh-CN" w:bidi="ar-SA"/>
        </w:rPr>
        <w:t>此项权重分5分，得分5分。</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eastAsia="zh-CN"/>
        </w:rPr>
      </w:pPr>
      <w:r>
        <w:rPr>
          <w:rFonts w:hint="eastAsia"/>
          <w:color w:val="auto"/>
          <w:highlight w:val="none"/>
          <w:lang w:val="en-US" w:eastAsia="zh-CN"/>
        </w:rPr>
        <w:t>5.社会成本指标完成情况</w:t>
      </w:r>
      <w:r>
        <w:rPr>
          <w:rFonts w:hint="eastAsia"/>
          <w:color w:val="auto"/>
          <w:highlight w:val="none"/>
          <w:lang w:eastAsia="zh-CN"/>
        </w:rPr>
        <w:t>：无</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eastAsia="仿宋_GB2312"/>
          <w:color w:val="auto"/>
          <w:highlight w:val="none"/>
          <w:lang w:eastAsia="zh-CN"/>
        </w:rPr>
      </w:pPr>
      <w:r>
        <w:rPr>
          <w:rFonts w:hint="eastAsia"/>
          <w:color w:val="auto"/>
          <w:highlight w:val="none"/>
          <w:lang w:val="en-US" w:eastAsia="zh-CN"/>
        </w:rPr>
        <w:t>6.生态成本指标完成情况：</w:t>
      </w:r>
      <w:r>
        <w:rPr>
          <w:rFonts w:hint="eastAsia"/>
          <w:color w:val="auto"/>
          <w:highlight w:val="none"/>
          <w:lang w:eastAsia="zh-CN"/>
        </w:rPr>
        <w:t>无</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color w:val="auto"/>
          <w:highlight w:val="none"/>
        </w:rPr>
      </w:pPr>
      <w:bookmarkStart w:id="15" w:name="_Toc68703841"/>
      <w:r>
        <w:rPr>
          <w:rFonts w:hint="eastAsia" w:ascii="仿宋_GB2312" w:eastAsia="仿宋_GB2312"/>
          <w:b w:val="0"/>
          <w:bCs w:val="0"/>
          <w:color w:val="auto"/>
          <w:highlight w:val="none"/>
        </w:rPr>
        <w:t>（</w:t>
      </w:r>
      <w:r>
        <w:rPr>
          <w:rFonts w:hint="eastAsia" w:ascii="仿宋_GB2312" w:eastAsia="仿宋_GB2312"/>
          <w:b w:val="0"/>
          <w:bCs w:val="0"/>
          <w:color w:val="auto"/>
          <w:highlight w:val="none"/>
          <w:lang w:eastAsia="zh-CN"/>
        </w:rPr>
        <w:t>四</w:t>
      </w:r>
      <w:r>
        <w:rPr>
          <w:rFonts w:hint="eastAsia" w:ascii="仿宋_GB2312" w:eastAsia="仿宋_GB2312"/>
          <w:b w:val="0"/>
          <w:bCs w:val="0"/>
          <w:color w:val="auto"/>
          <w:highlight w:val="none"/>
        </w:rPr>
        <w:t>）项目效益情况。</w:t>
      </w:r>
      <w:bookmarkEnd w:id="15"/>
    </w:p>
    <w:p>
      <w:pPr>
        <w:pageBreakBefore w:val="0"/>
        <w:kinsoku/>
        <w:wordWrap/>
        <w:overflowPunct/>
        <w:topLinePunct w:val="0"/>
        <w:autoSpaceDE/>
        <w:autoSpaceDN/>
        <w:bidi w:val="0"/>
        <w:adjustRightInd/>
        <w:snapToGrid/>
        <w:spacing w:line="560" w:lineRule="exact"/>
        <w:ind w:firstLine="600" w:firstLineChars="200"/>
        <w:textAlignment w:val="auto"/>
        <w:rPr>
          <w:rFonts w:hint="eastAsia" w:eastAsia="仿宋_GB2312"/>
          <w:color w:val="auto"/>
          <w:highlight w:val="none"/>
          <w:lang w:eastAsia="zh-CN"/>
        </w:rPr>
      </w:pPr>
      <w:r>
        <w:rPr>
          <w:color w:val="auto"/>
          <w:highlight w:val="none"/>
        </w:rPr>
        <w:t>1</w:t>
      </w:r>
      <w:r>
        <w:rPr>
          <w:rFonts w:hint="eastAsia"/>
          <w:color w:val="auto"/>
          <w:highlight w:val="none"/>
          <w:lang w:val="en-US" w:eastAsia="zh-CN"/>
        </w:rPr>
        <w:t>.</w:t>
      </w:r>
      <w:r>
        <w:rPr>
          <w:rFonts w:hint="eastAsia"/>
          <w:color w:val="auto"/>
          <w:highlight w:val="none"/>
        </w:rPr>
        <w:t>经济效益指标</w:t>
      </w:r>
      <w:r>
        <w:rPr>
          <w:rFonts w:hint="eastAsia"/>
          <w:color w:val="auto"/>
          <w:highlight w:val="none"/>
          <w:lang w:eastAsia="zh-CN"/>
        </w:rPr>
        <w:t>完成情况</w:t>
      </w:r>
      <w:r>
        <w:rPr>
          <w:rFonts w:hint="eastAsia"/>
          <w:color w:val="auto"/>
          <w:highlight w:val="none"/>
        </w:rPr>
        <w:t>：</w:t>
      </w:r>
      <w:r>
        <w:rPr>
          <w:rFonts w:hint="eastAsia"/>
          <w:color w:val="auto"/>
          <w:highlight w:val="none"/>
          <w:lang w:eastAsia="zh-CN"/>
        </w:rPr>
        <w:t>无</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lang w:eastAsia="zh-CN"/>
        </w:rPr>
      </w:pPr>
      <w:r>
        <w:rPr>
          <w:rFonts w:hint="eastAsia"/>
          <w:color w:val="auto"/>
          <w:highlight w:val="none"/>
        </w:rPr>
        <w:t>2</w:t>
      </w:r>
      <w:r>
        <w:rPr>
          <w:rFonts w:hint="eastAsia"/>
          <w:color w:val="auto"/>
          <w:highlight w:val="none"/>
          <w:lang w:val="en-US" w:eastAsia="zh-CN"/>
        </w:rPr>
        <w:t>.</w:t>
      </w:r>
      <w:r>
        <w:rPr>
          <w:rFonts w:hint="eastAsia"/>
          <w:color w:val="auto"/>
          <w:highlight w:val="none"/>
        </w:rPr>
        <w:t>社会效益指标</w:t>
      </w:r>
      <w:r>
        <w:rPr>
          <w:rFonts w:hint="eastAsia"/>
          <w:color w:val="auto"/>
          <w:highlight w:val="none"/>
          <w:lang w:eastAsia="zh-CN"/>
        </w:rPr>
        <w:t>完成情况</w:t>
      </w:r>
      <w:r>
        <w:rPr>
          <w:rFonts w:hint="eastAsia"/>
          <w:color w:val="auto"/>
          <w:highlight w:val="none"/>
        </w:rPr>
        <w:t>：</w:t>
      </w:r>
      <w:r>
        <w:rPr>
          <w:rFonts w:hint="eastAsia"/>
          <w:color w:val="auto"/>
        </w:rPr>
        <w:t>指标1：保障各项业务正常，指标值：效果显著，实际完成值</w:t>
      </w:r>
      <w:r>
        <w:rPr>
          <w:rFonts w:hint="eastAsia"/>
          <w:color w:val="auto"/>
          <w:lang w:val="en-US" w:eastAsia="zh-CN"/>
        </w:rPr>
        <w:t>达成目标</w:t>
      </w:r>
      <w:r>
        <w:rPr>
          <w:rFonts w:hint="eastAsia"/>
          <w:color w:val="auto"/>
        </w:rPr>
        <w:t>，指标完成率</w:t>
      </w:r>
      <w:r>
        <w:rPr>
          <w:rFonts w:hint="eastAsia"/>
          <w:color w:val="auto"/>
          <w:lang w:val="en-US" w:eastAsia="zh-CN"/>
        </w:rPr>
        <w:t>100</w:t>
      </w:r>
      <w:r>
        <w:rPr>
          <w:rFonts w:hint="eastAsia"/>
          <w:color w:val="auto"/>
        </w:rPr>
        <w:t>%，偏差原因：</w:t>
      </w:r>
      <w:r>
        <w:rPr>
          <w:rFonts w:hint="eastAsia"/>
          <w:color w:val="auto"/>
          <w:lang w:eastAsia="zh-CN"/>
        </w:rPr>
        <w:t>无。</w:t>
      </w:r>
    </w:p>
    <w:p>
      <w:pPr>
        <w:pStyle w:val="2"/>
        <w:ind w:firstLine="600" w:firstLineChars="200"/>
        <w:jc w:val="left"/>
      </w:pPr>
      <w:r>
        <w:rPr>
          <w:rFonts w:hint="eastAsia" w:ascii="Times New Roman" w:hAnsi="Times New Roman" w:eastAsia="仿宋_GB2312" w:cs="Times New Roman"/>
          <w:b w:val="0"/>
          <w:bCs w:val="0"/>
          <w:color w:val="auto"/>
          <w:kern w:val="2"/>
          <w:sz w:val="30"/>
          <w:szCs w:val="24"/>
          <w:lang w:val="en-US" w:eastAsia="zh-CN" w:bidi="ar-SA"/>
        </w:rPr>
        <w:t>此项权重分10分，得分10分。</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eastAsia="仿宋_GB2312"/>
          <w:color w:val="auto"/>
          <w:highlight w:val="none"/>
          <w:lang w:eastAsia="zh-CN"/>
        </w:rPr>
      </w:pPr>
      <w:r>
        <w:rPr>
          <w:rFonts w:hint="eastAsia"/>
          <w:color w:val="auto"/>
          <w:highlight w:val="none"/>
        </w:rPr>
        <w:t>3</w:t>
      </w:r>
      <w:r>
        <w:rPr>
          <w:rFonts w:hint="eastAsia"/>
          <w:color w:val="auto"/>
          <w:highlight w:val="none"/>
          <w:lang w:val="en-US" w:eastAsia="zh-CN"/>
        </w:rPr>
        <w:t>.</w:t>
      </w:r>
      <w:r>
        <w:rPr>
          <w:rFonts w:hint="eastAsia"/>
          <w:color w:val="auto"/>
          <w:highlight w:val="none"/>
        </w:rPr>
        <w:t>生态效益指标</w:t>
      </w:r>
      <w:r>
        <w:rPr>
          <w:rFonts w:hint="eastAsia"/>
          <w:color w:val="auto"/>
          <w:highlight w:val="none"/>
          <w:lang w:eastAsia="zh-CN"/>
        </w:rPr>
        <w:t>完成情况</w:t>
      </w:r>
      <w:r>
        <w:rPr>
          <w:rFonts w:hint="eastAsia"/>
          <w:color w:val="auto"/>
          <w:highlight w:val="none"/>
        </w:rPr>
        <w:t>：</w:t>
      </w:r>
      <w:r>
        <w:rPr>
          <w:rFonts w:hint="eastAsia"/>
          <w:color w:val="auto"/>
          <w:highlight w:val="none"/>
          <w:lang w:eastAsia="zh-CN"/>
        </w:rPr>
        <w:t>无</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lang w:eastAsia="zh-CN"/>
        </w:rPr>
      </w:pPr>
      <w:r>
        <w:rPr>
          <w:rFonts w:hint="eastAsia"/>
          <w:color w:val="auto"/>
          <w:highlight w:val="none"/>
          <w:lang w:val="en-US" w:eastAsia="zh-CN"/>
        </w:rPr>
        <w:t>4.</w:t>
      </w:r>
      <w:bookmarkStart w:id="21" w:name="_GoBack"/>
      <w:bookmarkEnd w:id="21"/>
      <w:r>
        <w:rPr>
          <w:rFonts w:hint="eastAsia"/>
          <w:color w:val="auto"/>
          <w:highlight w:val="none"/>
        </w:rPr>
        <w:t>满意度指标</w:t>
      </w:r>
      <w:r>
        <w:rPr>
          <w:rFonts w:hint="eastAsia"/>
          <w:color w:val="auto"/>
          <w:highlight w:val="none"/>
          <w:lang w:eastAsia="zh-CN"/>
        </w:rPr>
        <w:t>完成情况分析</w:t>
      </w:r>
      <w:r>
        <w:rPr>
          <w:rFonts w:hint="eastAsia"/>
          <w:color w:val="auto"/>
          <w:highlight w:val="none"/>
        </w:rPr>
        <w:t>：</w:t>
      </w:r>
      <w:r>
        <w:rPr>
          <w:rFonts w:hint="eastAsia"/>
          <w:color w:val="auto"/>
        </w:rPr>
        <w:t>指标1：老人满意度，指标值：</w:t>
      </w:r>
      <w:r>
        <w:rPr>
          <w:rFonts w:hint="eastAsia"/>
          <w:color w:val="auto"/>
          <w:lang w:val="en-US" w:eastAsia="zh-CN"/>
        </w:rPr>
        <w:t>90%</w:t>
      </w:r>
      <w:r>
        <w:rPr>
          <w:rFonts w:hint="eastAsia"/>
          <w:color w:val="auto"/>
        </w:rPr>
        <w:t>，实际完成值</w:t>
      </w:r>
      <w:r>
        <w:rPr>
          <w:rFonts w:hint="eastAsia"/>
          <w:color w:val="auto"/>
          <w:lang w:val="en-US" w:eastAsia="zh-CN"/>
        </w:rPr>
        <w:t>96.14%</w:t>
      </w:r>
      <w:r>
        <w:rPr>
          <w:rFonts w:hint="eastAsia"/>
          <w:color w:val="auto"/>
        </w:rPr>
        <w:t>，指标完成率</w:t>
      </w:r>
      <w:r>
        <w:rPr>
          <w:rFonts w:hint="eastAsia"/>
          <w:color w:val="auto"/>
          <w:lang w:val="en-US" w:eastAsia="zh-CN"/>
        </w:rPr>
        <w:t>106.82</w:t>
      </w:r>
      <w:r>
        <w:rPr>
          <w:rFonts w:hint="eastAsia"/>
          <w:color w:val="auto"/>
        </w:rPr>
        <w:t>%，偏差原因：</w:t>
      </w:r>
      <w:r>
        <w:rPr>
          <w:rFonts w:hint="eastAsia"/>
          <w:color w:val="auto"/>
          <w:lang w:eastAsia="zh-CN"/>
        </w:rPr>
        <w:t>无。</w:t>
      </w:r>
    </w:p>
    <w:p>
      <w:pPr>
        <w:pStyle w:val="2"/>
        <w:ind w:firstLine="600" w:firstLineChars="200"/>
        <w:jc w:val="left"/>
      </w:pPr>
      <w:r>
        <w:rPr>
          <w:rFonts w:hint="eastAsia" w:ascii="Times New Roman" w:hAnsi="Times New Roman" w:eastAsia="仿宋_GB2312" w:cs="Times New Roman"/>
          <w:b w:val="0"/>
          <w:bCs w:val="0"/>
          <w:color w:val="auto"/>
          <w:kern w:val="2"/>
          <w:sz w:val="30"/>
          <w:szCs w:val="24"/>
          <w:lang w:val="en-US" w:eastAsia="zh-CN" w:bidi="ar-SA"/>
        </w:rPr>
        <w:t>此项权重分10分，得分10分。</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eastAsia" w:ascii="宋体" w:hAnsi="宋体" w:eastAsia="宋体" w:cs="Times New Roman"/>
          <w:color w:val="auto"/>
          <w:sz w:val="32"/>
          <w:szCs w:val="32"/>
          <w:lang w:val="en-US" w:eastAsia="zh-Hans"/>
        </w:rPr>
      </w:pPr>
      <w:bookmarkStart w:id="16" w:name="_Toc68703842"/>
      <w:r>
        <w:rPr>
          <w:rFonts w:hint="eastAsia" w:ascii="宋体" w:hAnsi="宋体" w:eastAsia="宋体" w:cs="Times New Roman"/>
          <w:color w:val="auto"/>
          <w:sz w:val="32"/>
          <w:szCs w:val="32"/>
          <w:lang w:val="en-US" w:eastAsia="zh-Hans"/>
        </w:rPr>
        <w:t>五、预算执行进度与绩效指标总体完成率偏差</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保障养老院运转类项目年初预算70万元，全年预算70万元，实际支出44.84万元，预算执行率为64.06%，项目绩效指标总体完成率为93.72%，</w:t>
      </w:r>
      <w:r>
        <w:rPr>
          <w:rFonts w:hint="eastAsia"/>
          <w:color w:val="auto"/>
          <w:highlight w:val="none"/>
          <w:lang w:val="en-US" w:eastAsia="zh-Hans"/>
        </w:rPr>
        <w:t>总体</w:t>
      </w:r>
      <w:r>
        <w:rPr>
          <w:rFonts w:hint="eastAsia"/>
          <w:color w:val="auto"/>
          <w:highlight w:val="none"/>
          <w:lang w:val="en-US" w:eastAsia="zh-CN"/>
        </w:rPr>
        <w:t>偏差率为29.68%,</w:t>
      </w:r>
      <w:r>
        <w:rPr>
          <w:rFonts w:hint="eastAsia"/>
          <w:color w:val="auto"/>
          <w:highlight w:val="none"/>
          <w:lang w:val="en-US" w:eastAsia="zh-Hans"/>
        </w:rPr>
        <w:t>偏差</w:t>
      </w:r>
      <w:r>
        <w:rPr>
          <w:rFonts w:hint="eastAsia"/>
          <w:color w:val="auto"/>
          <w:highlight w:val="none"/>
          <w:lang w:val="en-US" w:eastAsia="zh-CN"/>
        </w:rPr>
        <w:t>原因项目执行过程中3人离职导致发放人数及每月发放资金数未达目标值，单位每月运转经费未到目标值，</w:t>
      </w:r>
      <w:r>
        <w:rPr>
          <w:rFonts w:hint="eastAsia"/>
          <w:color w:val="auto"/>
          <w:highlight w:val="none"/>
          <w:lang w:val="en-US" w:eastAsia="zh-Hans"/>
        </w:rPr>
        <w:t>改进</w:t>
      </w:r>
      <w:r>
        <w:rPr>
          <w:rFonts w:hint="eastAsia"/>
          <w:color w:val="auto"/>
          <w:highlight w:val="none"/>
          <w:lang w:val="en-US" w:eastAsia="zh-CN"/>
        </w:rPr>
        <w:t>措施制定绩效指标前统计人数并观察人员发展意向。</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color w:val="auto"/>
          <w:sz w:val="32"/>
          <w:szCs w:val="32"/>
        </w:rPr>
      </w:pPr>
      <w:r>
        <w:rPr>
          <w:rFonts w:hint="eastAsia" w:ascii="宋体" w:hAnsi="宋体" w:eastAsia="宋体"/>
          <w:color w:val="auto"/>
          <w:sz w:val="32"/>
          <w:szCs w:val="32"/>
          <w:lang w:val="en-US" w:eastAsia="zh-CN"/>
        </w:rPr>
        <w:t>六</w:t>
      </w:r>
      <w:r>
        <w:rPr>
          <w:rFonts w:hint="eastAsia" w:ascii="宋体" w:hAnsi="宋体" w:eastAsia="宋体"/>
          <w:color w:val="auto"/>
          <w:sz w:val="32"/>
          <w:szCs w:val="32"/>
        </w:rPr>
        <w:t>、主要经验及做法、存在的问题及原因分析</w:t>
      </w:r>
      <w:bookmarkEnd w:id="16"/>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bookmarkStart w:id="17" w:name="_Toc68703843"/>
      <w:r>
        <w:rPr>
          <w:rFonts w:hint="eastAsia"/>
          <w:color w:val="auto"/>
        </w:rPr>
        <w:t>（一）主要经验及做法</w:t>
      </w:r>
      <w:bookmarkEnd w:id="17"/>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bookmarkStart w:id="18" w:name="_Toc68703844"/>
      <w:r>
        <w:rPr>
          <w:rFonts w:hint="eastAsia"/>
          <w:color w:val="auto"/>
        </w:rPr>
        <w:t>针对自评发现问题，我单位积极采取措施，分别从以下几个方面改进项目支出绩效管理工作：</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rPr>
        <w:t>一是多措并举，提高绩效管理水平。意识到绩效管理的重要性，邀请第三方机构开展内部绩效管理培训，在加强学习的同时积极参加财政局组织的绩效管理培训等系列举措，绩效管理认识及能力水平得以进一步提高。</w:t>
      </w:r>
      <w:r>
        <w:rPr>
          <w:rFonts w:hint="eastAsia"/>
          <w:color w:val="auto"/>
        </w:rPr>
        <w:br w:type="textWrapping"/>
      </w:r>
      <w:r>
        <w:rPr>
          <w:rFonts w:hint="eastAsia"/>
          <w:color w:val="auto"/>
          <w:lang w:val="en-US" w:eastAsia="zh-CN"/>
        </w:rPr>
        <w:t xml:space="preserve">    </w:t>
      </w:r>
      <w:r>
        <w:rPr>
          <w:rFonts w:hint="eastAsia"/>
          <w:color w:val="auto"/>
        </w:rPr>
        <w:t>二是加强预算编制，加快资金执行效率。在编制202</w:t>
      </w:r>
      <w:r>
        <w:rPr>
          <w:rFonts w:hint="eastAsia"/>
          <w:color w:val="auto"/>
          <w:lang w:val="en-US" w:eastAsia="zh-CN"/>
        </w:rPr>
        <w:t>3</w:t>
      </w:r>
      <w:r>
        <w:rPr>
          <w:rFonts w:hint="eastAsia"/>
          <w:color w:val="auto"/>
        </w:rPr>
        <w:t>年度项目支出预算时，充分借鉴以往经验，进一步完善、细化预算科目，强化预算编制的准确性、科学性；在202</w:t>
      </w:r>
      <w:r>
        <w:rPr>
          <w:rFonts w:hint="eastAsia"/>
          <w:color w:val="auto"/>
          <w:lang w:val="en-US" w:eastAsia="zh-CN"/>
        </w:rPr>
        <w:t>3</w:t>
      </w:r>
      <w:r>
        <w:rPr>
          <w:rFonts w:hint="eastAsia"/>
          <w:color w:val="auto"/>
        </w:rPr>
        <w:t>年预算执行过程中，加强财务日常管理，督促各资金使用部门加快项目实施进度，切实提高资金使用效率，并在日常工作中注意收集项目绩效管理相关资料。</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rPr>
        <w:t>（二）存在的问题及原因分析</w:t>
      </w:r>
      <w:bookmarkEnd w:id="18"/>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lang w:eastAsia="zh-CN"/>
        </w:rPr>
      </w:pPr>
      <w:bookmarkStart w:id="19" w:name="_Toc68703845"/>
      <w:r>
        <w:rPr>
          <w:rFonts w:hint="eastAsia"/>
          <w:color w:val="auto"/>
        </w:rPr>
        <w:t>通过绩效自评，发现我单位项目绩效管理存在的主要问题为</w:t>
      </w:r>
      <w:r>
        <w:rPr>
          <w:rFonts w:hint="eastAsia"/>
          <w:color w:val="auto"/>
          <w:lang w:eastAsia="zh-CN"/>
        </w:rPr>
        <w:t>：</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lang w:val="en-US" w:eastAsia="zh-CN"/>
        </w:rPr>
      </w:pPr>
      <w:r>
        <w:rPr>
          <w:rFonts w:hint="eastAsia"/>
          <w:color w:val="auto"/>
          <w:lang w:val="en-US" w:eastAsia="zh-CN"/>
        </w:rPr>
        <w:t>一是我单位绩效人员水平有待提升，绩效目标设置科学性有待提高，部分绩效指标设置不够全面，绩效指标设置的科学性、准确性有待提升。</w:t>
      </w:r>
      <w:r>
        <w:rPr>
          <w:rFonts w:hint="eastAsia"/>
          <w:color w:val="auto"/>
        </w:rPr>
        <w:br w:type="textWrapping"/>
      </w:r>
      <w:r>
        <w:rPr>
          <w:rFonts w:hint="eastAsia"/>
          <w:color w:val="auto"/>
          <w:lang w:val="en-US" w:eastAsia="zh-CN"/>
        </w:rPr>
        <w:t xml:space="preserve">    二</w:t>
      </w:r>
      <w:r>
        <w:rPr>
          <w:rFonts w:hint="eastAsia"/>
          <w:color w:val="auto"/>
        </w:rPr>
        <w:t>是部分资金使用部门对绩效目标完成值的填写认识不到位，只是按照年初绩效目标填报相关数据。</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eastAsia" w:ascii="宋体" w:hAnsi="宋体" w:eastAsia="宋体" w:cs="Times New Roman"/>
          <w:color w:val="auto"/>
          <w:sz w:val="32"/>
          <w:szCs w:val="32"/>
          <w:lang w:val="en-US" w:eastAsia="zh-CN"/>
        </w:rPr>
      </w:pPr>
      <w:r>
        <w:rPr>
          <w:rFonts w:hint="eastAsia" w:ascii="宋体" w:hAnsi="宋体" w:eastAsia="宋体" w:cs="Times New Roman"/>
          <w:color w:val="auto"/>
          <w:sz w:val="32"/>
          <w:szCs w:val="32"/>
          <w:lang w:val="en-US" w:eastAsia="zh-CN"/>
        </w:rPr>
        <w:t>七、有关建议</w:t>
      </w:r>
      <w:bookmarkEnd w:id="19"/>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lang w:val="en-US" w:eastAsia="zh-CN"/>
        </w:rPr>
      </w:pPr>
      <w:r>
        <w:rPr>
          <w:rFonts w:hint="eastAsia"/>
          <w:color w:val="auto"/>
          <w:lang w:val="en-US" w:eastAsia="zh-CN"/>
        </w:rPr>
        <w:t>1.多进行有关绩效管理工作方面的培训。积极组织第三方开展绩效管理工作培训，进一步夯实业务基础，提高我单位绩效人员水平。</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lang w:val="en-US" w:eastAsia="zh-CN"/>
        </w:rPr>
      </w:pPr>
      <w:r>
        <w:rPr>
          <w:rFonts w:hint="eastAsia"/>
          <w:color w:val="auto"/>
          <w:lang w:val="en-US" w:eastAsia="zh-CN"/>
        </w:rPr>
        <w:t>2.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color w:val="auto"/>
          <w:sz w:val="32"/>
          <w:szCs w:val="32"/>
        </w:rPr>
      </w:pPr>
      <w:bookmarkStart w:id="20" w:name="_Toc68703846"/>
      <w:r>
        <w:rPr>
          <w:rFonts w:hint="eastAsia" w:ascii="宋体" w:hAnsi="宋体" w:eastAsia="宋体"/>
          <w:color w:val="auto"/>
          <w:sz w:val="32"/>
          <w:szCs w:val="32"/>
          <w:lang w:val="en-US" w:eastAsia="zh-CN"/>
        </w:rPr>
        <w:t>八</w:t>
      </w:r>
      <w:r>
        <w:rPr>
          <w:rFonts w:hint="eastAsia" w:ascii="宋体" w:hAnsi="宋体" w:eastAsia="宋体"/>
          <w:color w:val="auto"/>
          <w:sz w:val="32"/>
          <w:szCs w:val="32"/>
        </w:rPr>
        <w:t>、其他需要说明的问题</w:t>
      </w:r>
      <w:bookmarkEnd w:id="20"/>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lang w:val="en-US" w:eastAsia="zh-CN"/>
        </w:rPr>
      </w:pPr>
      <w:r>
        <w:rPr>
          <w:rFonts w:hint="eastAsia"/>
          <w:color w:val="auto"/>
          <w:lang w:val="en-US" w:eastAsia="zh-CN"/>
        </w:rPr>
        <w:t>无。</w:t>
      </w: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0AFF" w:usb1="00007843" w:usb2="00000001" w:usb3="00000000" w:csb0="400001BF" w:csb1="DFF7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红豆小标宋简体">
    <w:altName w:val="宋体"/>
    <w:panose1 w:val="02000509000000000000"/>
    <w:charset w:val="86"/>
    <w:family w:val="auto"/>
    <w:pitch w:val="default"/>
    <w:sig w:usb0="00000000" w:usb1="00000000" w:usb2="00000012" w:usb3="00000000" w:csb0="00040001"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10D1E6F"/>
    <w:multiLevelType w:val="singleLevel"/>
    <w:tmpl w:val="D10D1E6F"/>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RkOTIwZjc5YmU2ZTY5MjQ2MTljMmZlZWEzNGY0OTAifQ=="/>
    <w:docVar w:name="KSO_WPS_MARK_KEY" w:val="b3fc2acd-51a9-45ce-8d80-18e6d2738da8"/>
  </w:docVars>
  <w:rsids>
    <w:rsidRoot w:val="007D49C5"/>
    <w:rsid w:val="000D63FA"/>
    <w:rsid w:val="005B64E8"/>
    <w:rsid w:val="00614288"/>
    <w:rsid w:val="00792CFE"/>
    <w:rsid w:val="007D49C5"/>
    <w:rsid w:val="008175E0"/>
    <w:rsid w:val="008C631D"/>
    <w:rsid w:val="00A114ED"/>
    <w:rsid w:val="00B24331"/>
    <w:rsid w:val="00EB3433"/>
    <w:rsid w:val="031A7868"/>
    <w:rsid w:val="05227DA5"/>
    <w:rsid w:val="08D20D13"/>
    <w:rsid w:val="0BB90ED5"/>
    <w:rsid w:val="0C4D0F1B"/>
    <w:rsid w:val="0F2A6BF7"/>
    <w:rsid w:val="11531914"/>
    <w:rsid w:val="13952C32"/>
    <w:rsid w:val="16765B62"/>
    <w:rsid w:val="1791398C"/>
    <w:rsid w:val="1A356B93"/>
    <w:rsid w:val="1B7030DB"/>
    <w:rsid w:val="1BA84EB9"/>
    <w:rsid w:val="1D723F37"/>
    <w:rsid w:val="1D785367"/>
    <w:rsid w:val="286171B4"/>
    <w:rsid w:val="2BD2657C"/>
    <w:rsid w:val="31411D9F"/>
    <w:rsid w:val="32AE0DEC"/>
    <w:rsid w:val="36B72533"/>
    <w:rsid w:val="3B960628"/>
    <w:rsid w:val="4057649F"/>
    <w:rsid w:val="43182414"/>
    <w:rsid w:val="46507BB3"/>
    <w:rsid w:val="479601A5"/>
    <w:rsid w:val="4A7C25BE"/>
    <w:rsid w:val="4AE8767F"/>
    <w:rsid w:val="4C22332E"/>
    <w:rsid w:val="51A06A16"/>
    <w:rsid w:val="554C0D69"/>
    <w:rsid w:val="56796849"/>
    <w:rsid w:val="5DA95371"/>
    <w:rsid w:val="5F2C0C24"/>
    <w:rsid w:val="600B3107"/>
    <w:rsid w:val="67E24F39"/>
    <w:rsid w:val="68F11999"/>
    <w:rsid w:val="6B313E6C"/>
    <w:rsid w:val="6B33736F"/>
    <w:rsid w:val="72BB3A24"/>
    <w:rsid w:val="740A1223"/>
    <w:rsid w:val="74243C46"/>
    <w:rsid w:val="759E1D64"/>
    <w:rsid w:val="763A0251"/>
    <w:rsid w:val="77F5035D"/>
    <w:rsid w:val="7BD654A5"/>
    <w:rsid w:val="7C2413BC"/>
    <w:rsid w:val="7D8E14D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5"/>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6"/>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4"/>
    <w:basedOn w:val="1"/>
    <w:next w:val="1"/>
    <w:semiHidden/>
    <w:unhideWhenUsed/>
    <w:qFormat/>
    <w:uiPriority w:val="9"/>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11">
    <w:name w:val="Default Paragraph Font"/>
    <w:semiHidden/>
    <w:unhideWhenUsed/>
    <w:qFormat/>
    <w:uiPriority w:val="1"/>
  </w:style>
  <w:style w:type="table" w:default="1" w:styleId="14">
    <w:name w:val="Normal Table"/>
    <w:semiHidden/>
    <w:unhideWhenUsed/>
    <w:qFormat/>
    <w:uiPriority w:val="99"/>
    <w:tblPr>
      <w:tblLayout w:type="fixed"/>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6">
    <w:name w:val="annotation text"/>
    <w:basedOn w:val="1"/>
    <w:qFormat/>
    <w:uiPriority w:val="0"/>
    <w:pPr>
      <w:jc w:val="left"/>
    </w:pPr>
  </w:style>
  <w:style w:type="paragraph" w:styleId="7">
    <w:name w:val="footer"/>
    <w:basedOn w:val="1"/>
    <w:link w:val="19"/>
    <w:semiHidden/>
    <w:unhideWhenUsed/>
    <w:qFormat/>
    <w:uiPriority w:val="99"/>
    <w:pPr>
      <w:tabs>
        <w:tab w:val="center" w:pos="4153"/>
        <w:tab w:val="right" w:pos="8306"/>
      </w:tabs>
      <w:snapToGrid w:val="0"/>
      <w:jc w:val="left"/>
    </w:pPr>
    <w:rPr>
      <w:sz w:val="18"/>
      <w:szCs w:val="18"/>
    </w:rPr>
  </w:style>
  <w:style w:type="paragraph" w:styleId="8">
    <w:name w:val="header"/>
    <w:basedOn w:val="1"/>
    <w:link w:val="1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0">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character" w:styleId="12">
    <w:name w:val="Strong"/>
    <w:basedOn w:val="11"/>
    <w:qFormat/>
    <w:uiPriority w:val="0"/>
    <w:rPr>
      <w:b/>
      <w:bCs/>
    </w:rPr>
  </w:style>
  <w:style w:type="character" w:styleId="13">
    <w:name w:val="Hyperlink"/>
    <w:basedOn w:val="11"/>
    <w:unhideWhenUsed/>
    <w:qFormat/>
    <w:uiPriority w:val="99"/>
    <w:rPr>
      <w:color w:val="0563C1" w:themeColor="hyperlink"/>
      <w:u w:val="single"/>
    </w:rPr>
  </w:style>
  <w:style w:type="character" w:customStyle="1" w:styleId="15">
    <w:name w:val="标题 1 Char"/>
    <w:basedOn w:val="11"/>
    <w:link w:val="3"/>
    <w:qFormat/>
    <w:uiPriority w:val="9"/>
    <w:rPr>
      <w:rFonts w:ascii="Times New Roman" w:hAnsi="Times New Roman" w:eastAsia="仿宋_GB2312" w:cs="Times New Roman"/>
      <w:b/>
      <w:bCs/>
      <w:kern w:val="44"/>
      <w:sz w:val="44"/>
      <w:szCs w:val="44"/>
    </w:rPr>
  </w:style>
  <w:style w:type="character" w:customStyle="1" w:styleId="16">
    <w:name w:val="标题 2 Char"/>
    <w:basedOn w:val="11"/>
    <w:link w:val="4"/>
    <w:qFormat/>
    <w:uiPriority w:val="9"/>
    <w:rPr>
      <w:rFonts w:asciiTheme="majorHAnsi" w:hAnsiTheme="majorHAnsi" w:eastAsiaTheme="majorEastAsia" w:cstheme="majorBidi"/>
      <w:b/>
      <w:bCs/>
      <w:sz w:val="32"/>
      <w:szCs w:val="32"/>
    </w:rPr>
  </w:style>
  <w:style w:type="paragraph" w:customStyle="1" w:styleId="17">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18">
    <w:name w:val="页眉 Char"/>
    <w:basedOn w:val="11"/>
    <w:link w:val="8"/>
    <w:semiHidden/>
    <w:qFormat/>
    <w:uiPriority w:val="99"/>
    <w:rPr>
      <w:rFonts w:ascii="Times New Roman" w:hAnsi="Times New Roman" w:eastAsia="仿宋_GB2312" w:cs="Times New Roman"/>
      <w:sz w:val="18"/>
      <w:szCs w:val="18"/>
    </w:rPr>
  </w:style>
  <w:style w:type="character" w:customStyle="1" w:styleId="19">
    <w:name w:val="页脚 Char"/>
    <w:basedOn w:val="11"/>
    <w:link w:val="7"/>
    <w:semiHidden/>
    <w:qFormat/>
    <w:uiPriority w:val="99"/>
    <w:rPr>
      <w:rFonts w:ascii="Times New Roman" w:hAnsi="Times New Roman" w:eastAsia="仿宋_GB2312" w:cs="Times New Roman"/>
      <w:sz w:val="18"/>
      <w:szCs w:val="18"/>
    </w:rPr>
  </w:style>
  <w:style w:type="paragraph" w:customStyle="1" w:styleId="20">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5042</Words>
  <Characters>5242</Characters>
  <Lines>37</Lines>
  <Paragraphs>10</Paragraphs>
  <TotalTime>10</TotalTime>
  <ScaleCrop>false</ScaleCrop>
  <LinksUpToDate>false</LinksUpToDate>
  <CharactersWithSpaces>5253</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Administrator</cp:lastModifiedBy>
  <dcterms:modified xsi:type="dcterms:W3CDTF">2024-06-25T04:18:06Z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y fmtid="{D5CDD505-2E9C-101B-9397-08002B2CF9AE}" pid="3" name="ICV">
    <vt:lpwstr>DFF0787588C34603A74FA104BC3FC087</vt:lpwstr>
  </property>
</Properties>
</file>