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2CA10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5FDB4E2">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E99992E">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77C0147">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7A101E2B">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3D5CE2F">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042FBB5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F84F1E8">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ACD5248">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AC7EDB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269863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56F5C89">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kern w:val="0"/>
          <w:sz w:val="32"/>
          <w:szCs w:val="32"/>
          <w:u w:val="none"/>
        </w:rPr>
      </w:pPr>
      <w:r>
        <w:rPr>
          <w:rFonts w:hint="eastAsia" w:ascii="仿宋" w:hAnsi="仿宋" w:eastAsia="仿宋" w:cs="仿宋"/>
          <w:b/>
          <w:bCs/>
          <w:color w:val="000000"/>
          <w:kern w:val="0"/>
          <w:sz w:val="32"/>
          <w:szCs w:val="32"/>
          <w:u w:val="none"/>
        </w:rPr>
        <w:t>项目名称：</w:t>
      </w:r>
      <w:r>
        <w:rPr>
          <w:rFonts w:hint="eastAsia" w:ascii="仿宋" w:hAnsi="仿宋" w:eastAsia="仿宋" w:cs="仿宋"/>
          <w:color w:val="auto"/>
          <w:sz w:val="32"/>
          <w:szCs w:val="32"/>
          <w:highlight w:val="none"/>
          <w:u w:val="none"/>
        </w:rPr>
        <w:t xml:space="preserve">高新技术企业认定后补助奖励项目 </w:t>
      </w:r>
    </w:p>
    <w:p w14:paraId="72F90469">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000000"/>
          <w:kern w:val="0"/>
          <w:sz w:val="32"/>
          <w:szCs w:val="32"/>
          <w:u w:val="none"/>
        </w:rPr>
      </w:pPr>
    </w:p>
    <w:p w14:paraId="3FE5C56E">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kern w:val="0"/>
          <w:sz w:val="32"/>
          <w:szCs w:val="32"/>
          <w:u w:val="none"/>
        </w:rPr>
      </w:pPr>
      <w:r>
        <w:rPr>
          <w:rFonts w:hint="eastAsia" w:ascii="仿宋" w:hAnsi="仿宋" w:eastAsia="仿宋" w:cs="仿宋"/>
          <w:b/>
          <w:bCs/>
          <w:color w:val="000000"/>
          <w:kern w:val="0"/>
          <w:sz w:val="32"/>
          <w:szCs w:val="32"/>
          <w:u w:val="none"/>
        </w:rPr>
        <w:t>实施单位（公章）：</w:t>
      </w:r>
      <w:r>
        <w:rPr>
          <w:rFonts w:hint="eastAsia" w:ascii="仿宋" w:hAnsi="仿宋" w:eastAsia="仿宋" w:cs="仿宋"/>
          <w:color w:val="auto"/>
          <w:sz w:val="32"/>
          <w:szCs w:val="32"/>
          <w:highlight w:val="none"/>
          <w:u w:val="none"/>
        </w:rPr>
        <w:t xml:space="preserve">巴音郭楞蒙古自治州科学技术局 </w:t>
      </w:r>
    </w:p>
    <w:p w14:paraId="4DC29433">
      <w:pPr>
        <w:keepNext w:val="0"/>
        <w:keepLines w:val="0"/>
        <w:pageBreakBefore w:val="0"/>
        <w:kinsoku/>
        <w:wordWrap/>
        <w:overflowPunct/>
        <w:topLinePunct w:val="0"/>
        <w:autoSpaceDE/>
        <w:autoSpaceDN/>
        <w:bidi w:val="0"/>
        <w:snapToGrid w:val="0"/>
        <w:spacing w:line="560" w:lineRule="exact"/>
        <w:ind w:right="120" w:firstLine="643" w:firstLineChars="200"/>
        <w:textAlignment w:val="auto"/>
        <w:rPr>
          <w:rFonts w:hint="eastAsia" w:ascii="仿宋" w:hAnsi="仿宋" w:eastAsia="仿宋" w:cs="仿宋"/>
          <w:b/>
          <w:bCs/>
          <w:color w:val="000000"/>
          <w:kern w:val="0"/>
          <w:sz w:val="32"/>
          <w:szCs w:val="32"/>
          <w:u w:val="none"/>
        </w:rPr>
      </w:pPr>
    </w:p>
    <w:p w14:paraId="57C9A65A">
      <w:pPr>
        <w:keepNext w:val="0"/>
        <w:keepLines w:val="0"/>
        <w:pageBreakBefore w:val="0"/>
        <w:kinsoku/>
        <w:wordWrap/>
        <w:overflowPunct/>
        <w:topLinePunct w:val="0"/>
        <w:autoSpaceDE/>
        <w:autoSpaceDN/>
        <w:bidi w:val="0"/>
        <w:snapToGrid w:val="0"/>
        <w:spacing w:line="560" w:lineRule="exact"/>
        <w:ind w:right="120" w:firstLine="643" w:firstLineChars="200"/>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b/>
          <w:bCs/>
          <w:color w:val="000000"/>
          <w:kern w:val="0"/>
          <w:sz w:val="32"/>
          <w:szCs w:val="32"/>
          <w:u w:val="none"/>
        </w:rPr>
        <w:t>主管部门（公章）：</w:t>
      </w:r>
      <w:r>
        <w:rPr>
          <w:rFonts w:hint="eastAsia" w:ascii="仿宋" w:hAnsi="仿宋" w:eastAsia="仿宋" w:cs="仿宋"/>
          <w:color w:val="auto"/>
          <w:sz w:val="32"/>
          <w:szCs w:val="32"/>
          <w:highlight w:val="none"/>
          <w:u w:val="none"/>
        </w:rPr>
        <w:t>巴音郭楞蒙古自治州科学技术局</w:t>
      </w:r>
      <w:r>
        <w:rPr>
          <w:rFonts w:hint="eastAsia" w:ascii="仿宋" w:hAnsi="仿宋" w:eastAsia="仿宋" w:cs="仿宋"/>
          <w:color w:val="auto"/>
          <w:sz w:val="32"/>
          <w:szCs w:val="32"/>
          <w:highlight w:val="none"/>
          <w:u w:val="none"/>
          <w:lang w:val="en-US" w:eastAsia="zh-CN"/>
        </w:rPr>
        <w:t xml:space="preserve"> </w:t>
      </w:r>
    </w:p>
    <w:p w14:paraId="3276B319">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000000"/>
          <w:kern w:val="0"/>
          <w:sz w:val="32"/>
          <w:szCs w:val="32"/>
          <w:u w:val="none"/>
        </w:rPr>
      </w:pPr>
    </w:p>
    <w:p w14:paraId="654DC83B">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kern w:val="0"/>
          <w:sz w:val="32"/>
          <w:szCs w:val="32"/>
          <w:u w:val="none"/>
        </w:rPr>
      </w:pPr>
      <w:r>
        <w:rPr>
          <w:rFonts w:hint="eastAsia" w:ascii="仿宋" w:hAnsi="仿宋" w:eastAsia="仿宋" w:cs="仿宋"/>
          <w:b/>
          <w:bCs/>
          <w:color w:val="000000"/>
          <w:kern w:val="0"/>
          <w:sz w:val="32"/>
          <w:szCs w:val="32"/>
          <w:u w:val="none"/>
        </w:rPr>
        <w:t>项目负责人（签章）：</w:t>
      </w:r>
      <w:r>
        <w:rPr>
          <w:rFonts w:hint="eastAsia" w:ascii="仿宋" w:hAnsi="仿宋" w:eastAsia="仿宋" w:cs="仿宋"/>
          <w:color w:val="auto"/>
          <w:sz w:val="32"/>
          <w:szCs w:val="32"/>
          <w:highlight w:val="none"/>
          <w:u w:val="none"/>
          <w:lang w:val="en-US" w:eastAsia="zh-CN"/>
        </w:rPr>
        <w:t>叶晓梅</w:t>
      </w:r>
      <w:r>
        <w:rPr>
          <w:rFonts w:hint="eastAsia" w:ascii="仿宋" w:hAnsi="仿宋" w:eastAsia="仿宋" w:cs="仿宋"/>
          <w:color w:val="auto"/>
          <w:sz w:val="32"/>
          <w:szCs w:val="32"/>
          <w:highlight w:val="none"/>
          <w:u w:val="none"/>
        </w:rPr>
        <w:t xml:space="preserve">   </w:t>
      </w:r>
    </w:p>
    <w:p w14:paraId="4920CCBC">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000000"/>
          <w:kern w:val="0"/>
          <w:sz w:val="32"/>
          <w:szCs w:val="32"/>
          <w:u w:val="none"/>
        </w:rPr>
      </w:pPr>
    </w:p>
    <w:p w14:paraId="72038DE2">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color w:val="000000"/>
          <w:kern w:val="0"/>
          <w:sz w:val="32"/>
          <w:szCs w:val="32"/>
        </w:rPr>
      </w:pPr>
      <w:r>
        <w:rPr>
          <w:rFonts w:hint="eastAsia" w:ascii="仿宋" w:hAnsi="仿宋" w:eastAsia="仿宋" w:cs="仿宋"/>
          <w:b/>
          <w:bCs/>
          <w:color w:val="000000"/>
          <w:kern w:val="0"/>
          <w:sz w:val="32"/>
          <w:szCs w:val="32"/>
        </w:rPr>
        <w:t>填报时间：</w:t>
      </w:r>
      <w:r>
        <w:rPr>
          <w:rFonts w:hint="eastAsia" w:ascii="仿宋" w:hAnsi="仿宋" w:eastAsia="仿宋" w:cs="仿宋"/>
          <w:color w:val="000000"/>
          <w:kern w:val="0"/>
          <w:sz w:val="32"/>
          <w:szCs w:val="32"/>
        </w:rPr>
        <w:t>202</w:t>
      </w:r>
      <w:r>
        <w:rPr>
          <w:rFonts w:hint="eastAsia" w:ascii="仿宋" w:hAnsi="仿宋" w:eastAsia="仿宋" w:cs="仿宋"/>
          <w:color w:val="000000"/>
          <w:kern w:val="0"/>
          <w:sz w:val="32"/>
          <w:szCs w:val="32"/>
          <w:lang w:val="en-US" w:eastAsia="zh-CN"/>
        </w:rPr>
        <w:t xml:space="preserve">4 </w:t>
      </w:r>
      <w:r>
        <w:rPr>
          <w:rFonts w:hint="eastAsia" w:ascii="仿宋" w:hAnsi="仿宋" w:eastAsia="仿宋" w:cs="仿宋"/>
          <w:color w:val="000000"/>
          <w:kern w:val="0"/>
          <w:sz w:val="32"/>
          <w:szCs w:val="32"/>
        </w:rPr>
        <w:t xml:space="preserve">年  </w:t>
      </w:r>
      <w:r>
        <w:rPr>
          <w:rFonts w:hint="eastAsia" w:ascii="仿宋" w:hAnsi="仿宋" w:eastAsia="仿宋" w:cs="仿宋"/>
          <w:color w:val="000000"/>
          <w:kern w:val="0"/>
          <w:sz w:val="32"/>
          <w:szCs w:val="32"/>
          <w:lang w:val="en-US" w:eastAsia="zh-CN"/>
        </w:rPr>
        <w:t>5</w:t>
      </w:r>
      <w:r>
        <w:rPr>
          <w:rFonts w:hint="eastAsia" w:ascii="仿宋" w:hAnsi="仿宋" w:eastAsia="仿宋" w:cs="仿宋"/>
          <w:color w:val="000000"/>
          <w:kern w:val="0"/>
          <w:sz w:val="32"/>
          <w:szCs w:val="32"/>
        </w:rPr>
        <w:t xml:space="preserve"> 月  </w:t>
      </w:r>
      <w:r>
        <w:rPr>
          <w:rFonts w:hint="eastAsia" w:ascii="仿宋" w:hAnsi="仿宋" w:eastAsia="仿宋" w:cs="仿宋"/>
          <w:color w:val="000000"/>
          <w:kern w:val="0"/>
          <w:sz w:val="32"/>
          <w:szCs w:val="32"/>
          <w:lang w:val="en-US" w:eastAsia="zh-CN"/>
        </w:rPr>
        <w:t>16</w:t>
      </w:r>
      <w:r>
        <w:rPr>
          <w:rFonts w:hint="eastAsia" w:ascii="仿宋" w:hAnsi="仿宋" w:eastAsia="仿宋" w:cs="仿宋"/>
          <w:color w:val="000000"/>
          <w:kern w:val="0"/>
          <w:sz w:val="32"/>
          <w:szCs w:val="32"/>
        </w:rPr>
        <w:t xml:space="preserve"> 日</w:t>
      </w:r>
    </w:p>
    <w:p w14:paraId="7C78CEC9">
      <w:pPr>
        <w:pageBreakBefore w:val="0"/>
        <w:widowControl/>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rPr>
      </w:pPr>
      <w:r>
        <w:rPr>
          <w:rFonts w:hint="eastAsia" w:ascii="仿宋" w:hAnsi="仿宋" w:eastAsia="仿宋" w:cs="仿宋"/>
          <w:b/>
          <w:bCs/>
          <w:sz w:val="32"/>
          <w:szCs w:val="32"/>
        </w:rPr>
        <w:br w:type="page"/>
      </w:r>
    </w:p>
    <w:p w14:paraId="070E538C">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01CEDC87">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bookmarkStart w:id="20" w:name="_GoBack"/>
      <w:bookmarkEnd w:id="20"/>
    </w:p>
    <w:p w14:paraId="0552BA48">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31F471A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468ADA3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17B46B5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highlight w:val="none"/>
          <w:lang w:val="en-US" w:eastAsia="zh-CN" w:bidi="ar"/>
        </w:rPr>
      </w:pPr>
      <w:r>
        <w:rPr>
          <w:rFonts w:hint="eastAsia" w:ascii="仿宋" w:hAnsi="仿宋" w:eastAsia="仿宋" w:cs="仿宋"/>
          <w:sz w:val="30"/>
          <w:szCs w:val="30"/>
          <w:highlight w:val="none"/>
          <w:lang w:val="en-US" w:eastAsia="zh-CN"/>
        </w:rPr>
        <w:t xml:space="preserve"> </w:t>
      </w:r>
      <w:r>
        <w:rPr>
          <w:rFonts w:hint="eastAsia" w:ascii="仿宋" w:hAnsi="仿宋" w:eastAsia="仿宋" w:cs="仿宋"/>
          <w:color w:val="auto"/>
          <w:sz w:val="30"/>
          <w:szCs w:val="30"/>
          <w:highlight w:val="none"/>
          <w:lang w:val="en-US" w:eastAsia="zh-CN" w:bidi="ar"/>
        </w:rPr>
        <w:t>根据自治区高新技术企业推进会的通报，全疆各地州除巴州等三个地州市未设立高新技术企业奖励资金，其余地州均已设立。为激发我州企业申报高企的积极性，</w:t>
      </w:r>
      <w:r>
        <w:rPr>
          <w:rFonts w:hint="eastAsia" w:ascii="仿宋" w:hAnsi="仿宋" w:eastAsia="仿宋" w:cs="仿宋"/>
          <w:color w:val="auto"/>
          <w:sz w:val="30"/>
          <w:szCs w:val="30"/>
          <w:highlight w:val="none"/>
          <w:lang w:bidi="ar"/>
        </w:rPr>
        <w:t>落实新疆维吾尔自治区科技创新大会精神和关于加快驱动创新发展的有关文件精神，积极培育创新主体，提升企业创新和科技成果转化能力</w:t>
      </w:r>
      <w:r>
        <w:rPr>
          <w:rFonts w:hint="eastAsia" w:ascii="仿宋" w:hAnsi="仿宋" w:eastAsia="仿宋" w:cs="仿宋"/>
          <w:color w:val="auto"/>
          <w:sz w:val="30"/>
          <w:szCs w:val="30"/>
          <w:highlight w:val="none"/>
          <w:lang w:eastAsia="zh-CN" w:bidi="ar"/>
        </w:rPr>
        <w:t>，</w:t>
      </w:r>
      <w:r>
        <w:rPr>
          <w:rFonts w:hint="eastAsia" w:ascii="仿宋" w:hAnsi="仿宋" w:eastAsia="仿宋" w:cs="仿宋"/>
          <w:color w:val="auto"/>
          <w:sz w:val="30"/>
          <w:szCs w:val="30"/>
          <w:highlight w:val="none"/>
          <w:lang w:val="en-US" w:eastAsia="zh-CN" w:bidi="ar"/>
        </w:rPr>
        <w:t>有效提高巴州高新技术企业数量和质量，拟针对上一年度新认定的高新技术企业开展认定后补助奖励。</w:t>
      </w:r>
    </w:p>
    <w:p w14:paraId="57870D2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w:t>
      </w:r>
      <w:r>
        <w:rPr>
          <w:rFonts w:hint="eastAsia" w:ascii="仿宋" w:hAnsi="仿宋" w:eastAsia="仿宋" w:cs="仿宋"/>
          <w:sz w:val="30"/>
          <w:szCs w:val="30"/>
          <w:highlight w:val="none"/>
          <w:lang w:val="en-US" w:eastAsia="zh-CN"/>
        </w:rPr>
        <w:t>2</w:t>
      </w:r>
      <w:r>
        <w:rPr>
          <w:rFonts w:hint="eastAsia" w:ascii="仿宋" w:hAnsi="仿宋" w:eastAsia="仿宋" w:cs="仿宋"/>
          <w:sz w:val="30"/>
          <w:szCs w:val="30"/>
          <w:highlight w:val="none"/>
        </w:rPr>
        <w:t>）主要内容及实施情况</w:t>
      </w:r>
    </w:p>
    <w:p w14:paraId="45EAC4C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lang w:val="en-US" w:eastAsia="zh-CN"/>
        </w:rPr>
      </w:pPr>
      <w:r>
        <w:rPr>
          <w:rFonts w:hint="eastAsia" w:ascii="仿宋" w:hAnsi="仿宋" w:eastAsia="仿宋" w:cs="仿宋"/>
          <w:sz w:val="30"/>
          <w:szCs w:val="30"/>
          <w:highlight w:val="none"/>
        </w:rPr>
        <w:t>主要内容：</w:t>
      </w:r>
      <w:r>
        <w:rPr>
          <w:rFonts w:hint="eastAsia" w:ascii="仿宋" w:hAnsi="仿宋" w:eastAsia="仿宋" w:cs="仿宋"/>
          <w:color w:val="auto"/>
          <w:sz w:val="30"/>
          <w:szCs w:val="30"/>
        </w:rPr>
        <w:t>为深入贯彻习近平新时代中国特色社会主义思想，落实新疆维吾尔自治区科技创新大会精神和关于加快驱动创新发展的有关文件精神，积极培育创新主体，提升企业创新和科技成果转化能力</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有效提高巴州高新技术企业数量和质量，针对2022年新认定的高新技术企业开展认定后补助奖励。</w:t>
      </w:r>
    </w:p>
    <w:p w14:paraId="1D132CC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highlight w:val="none"/>
        </w:rPr>
      </w:pPr>
      <w:r>
        <w:rPr>
          <w:rFonts w:hint="eastAsia" w:ascii="仿宋" w:hAnsi="仿宋" w:eastAsia="仿宋" w:cs="仿宋"/>
          <w:sz w:val="30"/>
          <w:szCs w:val="30"/>
          <w:highlight w:val="none"/>
        </w:rPr>
        <w:t>实施情况：</w:t>
      </w:r>
      <w:r>
        <w:rPr>
          <w:rFonts w:hint="eastAsia" w:ascii="仿宋" w:hAnsi="仿宋" w:eastAsia="仿宋" w:cs="仿宋"/>
          <w:sz w:val="30"/>
          <w:szCs w:val="30"/>
          <w:highlight w:val="none"/>
          <w:lang w:eastAsia="zh-CN"/>
        </w:rPr>
        <w:t>严格按照目标设立的各阶段任务进行开展工作，</w:t>
      </w:r>
      <w:r>
        <w:rPr>
          <w:rFonts w:hint="eastAsia" w:ascii="仿宋" w:hAnsi="仿宋" w:eastAsia="仿宋" w:cs="仿宋"/>
          <w:color w:val="auto"/>
          <w:sz w:val="30"/>
          <w:szCs w:val="30"/>
          <w:highlight w:val="none"/>
        </w:rPr>
        <w:t>我州2022年首次通过认定的高新技术企业为18家。按照首次认定奖励20万元标准，奖励资金合计360万元。</w:t>
      </w:r>
    </w:p>
    <w:p w14:paraId="22D30928">
      <w:pPr>
        <w:keepNext w:val="0"/>
        <w:keepLines w:val="0"/>
        <w:pageBreakBefore w:val="0"/>
        <w:numPr>
          <w:ilvl w:val="0"/>
          <w:numId w:val="0"/>
        </w:numPr>
        <w:kinsoku/>
        <w:wordWrap/>
        <w:overflowPunct/>
        <w:topLinePunct w:val="0"/>
        <w:autoSpaceDE/>
        <w:autoSpaceDN/>
        <w:bidi w:val="0"/>
        <w:spacing w:line="560" w:lineRule="exact"/>
        <w:ind w:firstLine="600" w:firstLineChars="200"/>
        <w:textAlignment w:val="auto"/>
        <w:rPr>
          <w:rFonts w:hint="eastAsia" w:ascii="仿宋" w:hAnsi="仿宋" w:eastAsia="仿宋" w:cs="仿宋"/>
          <w:color w:val="auto"/>
          <w:sz w:val="30"/>
          <w:szCs w:val="30"/>
          <w:highlight w:val="yellow"/>
          <w:lang w:val="en-US" w:eastAsia="zh-CN"/>
        </w:rPr>
      </w:pPr>
    </w:p>
    <w:p w14:paraId="3001427B">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16EF1EF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 w:hAnsi="仿宋" w:eastAsia="仿宋" w:cs="仿宋"/>
          <w:color w:val="auto"/>
          <w:sz w:val="30"/>
          <w:szCs w:val="30"/>
        </w:rPr>
        <w:t>该项目年初预算数</w:t>
      </w:r>
      <w:r>
        <w:rPr>
          <w:rFonts w:hint="eastAsia" w:ascii="仿宋" w:hAnsi="仿宋" w:eastAsia="仿宋" w:cs="仿宋"/>
          <w:color w:val="auto"/>
          <w:sz w:val="30"/>
          <w:szCs w:val="30"/>
          <w:lang w:val="en-US" w:eastAsia="zh-CN"/>
        </w:rPr>
        <w:t>360</w:t>
      </w:r>
      <w:r>
        <w:rPr>
          <w:rFonts w:hint="eastAsia" w:ascii="仿宋" w:hAnsi="仿宋" w:eastAsia="仿宋" w:cs="仿宋"/>
          <w:color w:val="auto"/>
          <w:sz w:val="30"/>
          <w:szCs w:val="30"/>
        </w:rPr>
        <w:t>万元，全年预算数</w:t>
      </w:r>
      <w:r>
        <w:rPr>
          <w:rFonts w:hint="eastAsia" w:ascii="仿宋" w:hAnsi="仿宋" w:eastAsia="仿宋" w:cs="仿宋"/>
          <w:color w:val="auto"/>
          <w:sz w:val="30"/>
          <w:szCs w:val="30"/>
          <w:lang w:val="en-US" w:eastAsia="zh-CN"/>
        </w:rPr>
        <w:t>360</w:t>
      </w:r>
      <w:r>
        <w:rPr>
          <w:rFonts w:hint="eastAsia" w:ascii="仿宋" w:hAnsi="仿宋" w:eastAsia="仿宋" w:cs="仿宋"/>
          <w:color w:val="auto"/>
          <w:sz w:val="30"/>
          <w:szCs w:val="30"/>
        </w:rPr>
        <w:t>万元，实际总投入</w:t>
      </w:r>
      <w:r>
        <w:rPr>
          <w:rFonts w:hint="eastAsia" w:ascii="仿宋" w:hAnsi="仿宋" w:eastAsia="仿宋" w:cs="仿宋"/>
          <w:color w:val="auto"/>
          <w:sz w:val="30"/>
          <w:szCs w:val="30"/>
          <w:lang w:val="en-US" w:eastAsia="zh-CN"/>
        </w:rPr>
        <w:t>360</w:t>
      </w:r>
      <w:r>
        <w:rPr>
          <w:rFonts w:hint="eastAsia" w:ascii="仿宋" w:hAnsi="仿宋" w:eastAsia="仿宋" w:cs="仿宋"/>
          <w:color w:val="auto"/>
          <w:sz w:val="30"/>
          <w:szCs w:val="30"/>
        </w:rPr>
        <w:t>万元，该项目资金已全部落实到位，资金来源为</w:t>
      </w:r>
      <w:r>
        <w:rPr>
          <w:rFonts w:hint="eastAsia" w:ascii="仿宋" w:hAnsi="仿宋" w:eastAsia="仿宋" w:cs="仿宋"/>
          <w:color w:val="auto"/>
          <w:sz w:val="30"/>
          <w:szCs w:val="30"/>
          <w:lang w:eastAsia="zh-CN"/>
        </w:rPr>
        <w:t>本级财政拨款</w:t>
      </w:r>
      <w:r>
        <w:rPr>
          <w:rFonts w:hint="eastAsia" w:ascii="仿宋" w:hAnsi="仿宋" w:eastAsia="仿宋" w:cs="仿宋"/>
          <w:color w:val="auto"/>
          <w:sz w:val="30"/>
          <w:szCs w:val="30"/>
        </w:rPr>
        <w:t>。</w:t>
      </w:r>
    </w:p>
    <w:p w14:paraId="2B60980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highlight w:val="none"/>
        </w:rPr>
      </w:pP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2</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资金使用情况：该项目年初预算数</w:t>
      </w:r>
      <w:r>
        <w:rPr>
          <w:rFonts w:hint="eastAsia" w:ascii="仿宋" w:hAnsi="仿宋" w:eastAsia="仿宋" w:cs="仿宋"/>
          <w:color w:val="auto"/>
          <w:sz w:val="30"/>
          <w:szCs w:val="30"/>
          <w:lang w:val="en-US" w:eastAsia="zh-CN"/>
        </w:rPr>
        <w:t>360</w:t>
      </w:r>
      <w:r>
        <w:rPr>
          <w:rFonts w:hint="eastAsia" w:ascii="仿宋" w:hAnsi="仿宋" w:eastAsia="仿宋" w:cs="仿宋"/>
          <w:color w:val="auto"/>
          <w:sz w:val="30"/>
          <w:szCs w:val="30"/>
        </w:rPr>
        <w:t>万元，全年预算数</w:t>
      </w:r>
      <w:r>
        <w:rPr>
          <w:rFonts w:hint="eastAsia" w:ascii="仿宋" w:hAnsi="仿宋" w:eastAsia="仿宋" w:cs="仿宋"/>
          <w:color w:val="auto"/>
          <w:sz w:val="30"/>
          <w:szCs w:val="30"/>
          <w:lang w:val="en-US" w:eastAsia="zh-CN"/>
        </w:rPr>
        <w:t>360</w:t>
      </w:r>
      <w:r>
        <w:rPr>
          <w:rFonts w:hint="eastAsia" w:ascii="仿宋" w:hAnsi="仿宋" w:eastAsia="仿宋" w:cs="仿宋"/>
          <w:color w:val="auto"/>
          <w:sz w:val="30"/>
          <w:szCs w:val="30"/>
        </w:rPr>
        <w:t>万元，全年执行数</w:t>
      </w:r>
      <w:r>
        <w:rPr>
          <w:rFonts w:hint="eastAsia" w:ascii="仿宋" w:hAnsi="仿宋" w:eastAsia="仿宋" w:cs="仿宋"/>
          <w:color w:val="auto"/>
          <w:sz w:val="30"/>
          <w:szCs w:val="30"/>
          <w:lang w:val="en-US" w:eastAsia="zh-CN"/>
        </w:rPr>
        <w:t>360</w:t>
      </w:r>
      <w:r>
        <w:rPr>
          <w:rFonts w:hint="eastAsia" w:ascii="仿宋" w:hAnsi="仿宋" w:eastAsia="仿宋" w:cs="仿宋"/>
          <w:color w:val="auto"/>
          <w:sz w:val="30"/>
          <w:szCs w:val="30"/>
        </w:rPr>
        <w:t>万元，预算执行率为</w:t>
      </w:r>
      <w:r>
        <w:rPr>
          <w:rFonts w:hint="eastAsia" w:ascii="仿宋" w:hAnsi="仿宋" w:eastAsia="仿宋" w:cs="仿宋"/>
          <w:color w:val="auto"/>
          <w:sz w:val="30"/>
          <w:szCs w:val="30"/>
          <w:lang w:val="en-US" w:eastAsia="zh-CN"/>
        </w:rPr>
        <w:t>100</w:t>
      </w:r>
      <w:r>
        <w:rPr>
          <w:rFonts w:hint="eastAsia" w:ascii="仿宋" w:hAnsi="仿宋" w:eastAsia="仿宋" w:cs="仿宋"/>
          <w:color w:val="auto"/>
          <w:sz w:val="30"/>
          <w:szCs w:val="30"/>
        </w:rPr>
        <w:t>%，</w:t>
      </w:r>
      <w:r>
        <w:rPr>
          <w:rFonts w:hint="eastAsia" w:ascii="仿宋" w:hAnsi="仿宋" w:eastAsia="仿宋" w:cs="仿宋"/>
          <w:color w:val="auto"/>
          <w:sz w:val="30"/>
          <w:szCs w:val="30"/>
          <w:highlight w:val="none"/>
        </w:rPr>
        <w:t>用于</w:t>
      </w:r>
      <w:r>
        <w:rPr>
          <w:rFonts w:hint="eastAsia" w:ascii="仿宋" w:hAnsi="仿宋" w:eastAsia="仿宋" w:cs="仿宋"/>
          <w:color w:val="auto"/>
          <w:sz w:val="30"/>
          <w:szCs w:val="30"/>
          <w:highlight w:val="none"/>
          <w:lang w:val="en-US" w:eastAsia="zh-CN"/>
        </w:rPr>
        <w:t>:</w:t>
      </w:r>
      <w:bookmarkStart w:id="1" w:name="_Toc68703829"/>
      <w:r>
        <w:rPr>
          <w:rFonts w:hint="eastAsia" w:ascii="仿宋" w:hAnsi="仿宋" w:eastAsia="仿宋" w:cs="仿宋"/>
          <w:color w:val="auto"/>
          <w:sz w:val="30"/>
          <w:szCs w:val="30"/>
          <w:highlight w:val="none"/>
        </w:rPr>
        <w:t>我州2022年首次通过认定的高新技术企业为18家</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highlight w:val="none"/>
        </w:rPr>
        <w:t>按照首次认定</w:t>
      </w:r>
      <w:r>
        <w:rPr>
          <w:rFonts w:hint="eastAsia" w:ascii="仿宋" w:hAnsi="仿宋" w:eastAsia="仿宋" w:cs="仿宋"/>
          <w:color w:val="auto"/>
          <w:sz w:val="30"/>
          <w:szCs w:val="30"/>
          <w:highlight w:val="none"/>
          <w:lang w:eastAsia="zh-CN"/>
        </w:rPr>
        <w:t>每家</w:t>
      </w:r>
      <w:r>
        <w:rPr>
          <w:rFonts w:hint="eastAsia" w:ascii="仿宋" w:hAnsi="仿宋" w:eastAsia="仿宋" w:cs="仿宋"/>
          <w:color w:val="auto"/>
          <w:sz w:val="30"/>
          <w:szCs w:val="30"/>
          <w:highlight w:val="none"/>
        </w:rPr>
        <w:t>奖励20万元标准，奖励资金合计360万元。</w:t>
      </w:r>
    </w:p>
    <w:p w14:paraId="4E403CD5">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1"/>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118DDD8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highlight w:val="none"/>
        </w:rPr>
      </w:pPr>
      <w:r>
        <w:rPr>
          <w:rFonts w:hint="eastAsia" w:ascii="仿宋" w:hAnsi="仿宋" w:eastAsia="仿宋" w:cs="仿宋"/>
          <w:sz w:val="30"/>
          <w:szCs w:val="30"/>
        </w:rPr>
        <w:t>1</w:t>
      </w:r>
      <w:r>
        <w:rPr>
          <w:rFonts w:hint="eastAsia" w:ascii="仿宋" w:hAnsi="仿宋" w:eastAsia="仿宋" w:cs="仿宋"/>
          <w:sz w:val="30"/>
          <w:szCs w:val="30"/>
          <w:lang w:val="en-US" w:eastAsia="zh-CN"/>
        </w:rPr>
        <w:t>.</w:t>
      </w:r>
      <w:r>
        <w:rPr>
          <w:rFonts w:hint="eastAsia" w:ascii="仿宋" w:hAnsi="仿宋" w:eastAsia="仿宋" w:cs="仿宋"/>
          <w:sz w:val="30"/>
          <w:szCs w:val="30"/>
        </w:rPr>
        <w:t>总体目标：</w:t>
      </w:r>
      <w:r>
        <w:rPr>
          <w:rFonts w:hint="eastAsia" w:ascii="仿宋" w:hAnsi="仿宋" w:eastAsia="仿宋" w:cs="仿宋"/>
          <w:color w:val="auto"/>
          <w:sz w:val="30"/>
          <w:szCs w:val="30"/>
        </w:rPr>
        <w:t>为</w:t>
      </w:r>
      <w:r>
        <w:rPr>
          <w:rFonts w:hint="eastAsia" w:ascii="仿宋" w:hAnsi="仿宋" w:eastAsia="仿宋" w:cs="仿宋"/>
          <w:color w:val="auto"/>
          <w:sz w:val="30"/>
          <w:szCs w:val="30"/>
          <w:highlight w:val="none"/>
        </w:rPr>
        <w:t>贯彻落实自治州第十一届党委第94次常委会会议纪要中“3.兑现高新技术企业奖励政策，由州科技局提出2022年、2023年州级层面高新技术企业奖励方案，足额兑现奖励；分年度提出2022年之前州级层面高新技术企业奖励方案。督促各县市11月30日前兑现县域高新技术企业奖励政策”，我州2022年首次通过认定的高新技术企业为18家。按照首次认定奖励20万元标准，奖励资金合计360万元。</w:t>
      </w:r>
    </w:p>
    <w:p w14:paraId="507E35A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rPr>
        <w:t>2</w:t>
      </w:r>
      <w:r>
        <w:rPr>
          <w:rFonts w:hint="eastAsia" w:ascii="仿宋" w:hAnsi="仿宋" w:eastAsia="仿宋" w:cs="仿宋"/>
          <w:sz w:val="30"/>
          <w:szCs w:val="30"/>
          <w:lang w:val="en-US" w:eastAsia="zh-CN"/>
        </w:rPr>
        <w:t>.</w:t>
      </w:r>
      <w:r>
        <w:rPr>
          <w:rFonts w:hint="eastAsia" w:ascii="仿宋" w:hAnsi="仿宋" w:eastAsia="仿宋" w:cs="仿宋"/>
          <w:sz w:val="30"/>
          <w:szCs w:val="30"/>
        </w:rPr>
        <w:t>阶段性目标：</w:t>
      </w:r>
      <w:r>
        <w:rPr>
          <w:rFonts w:hint="eastAsia" w:ascii="仿宋" w:hAnsi="仿宋" w:eastAsia="仿宋" w:cs="仿宋"/>
          <w:color w:val="auto"/>
          <w:sz w:val="30"/>
          <w:szCs w:val="30"/>
        </w:rPr>
        <w:t>为</w:t>
      </w:r>
      <w:r>
        <w:rPr>
          <w:rFonts w:hint="eastAsia" w:ascii="仿宋" w:hAnsi="仿宋" w:eastAsia="仿宋" w:cs="仿宋"/>
          <w:color w:val="auto"/>
          <w:sz w:val="30"/>
          <w:szCs w:val="30"/>
          <w:highlight w:val="none"/>
        </w:rPr>
        <w:t>贯彻落实自治州第十一届党委第94次常委会会议纪要中“兑现高新技术企业奖励政策，由州科技局提出2022年、2023年州级层面高新技术企业奖励方案，足额兑现奖励；分年度提出2022年之前州级层面高新技术企业奖励方案。督促各县市11月30日前兑现县域高新技术企业奖励政策”</w:t>
      </w:r>
      <w:r>
        <w:rPr>
          <w:rFonts w:hint="eastAsia" w:ascii="仿宋" w:hAnsi="仿宋" w:eastAsia="仿宋" w:cs="仿宋"/>
          <w:color w:val="auto"/>
          <w:sz w:val="30"/>
          <w:szCs w:val="30"/>
          <w:highlight w:val="none"/>
          <w:lang w:val="en-US" w:eastAsia="zh-CN"/>
        </w:rPr>
        <w:t>2023年8月定出首次认定的我周高新技术企业18家，2023年9月我州召开“自治州科技大会”奖励首次认定的高新技术企业。</w:t>
      </w:r>
    </w:p>
    <w:p w14:paraId="34F4B09D">
      <w:pPr>
        <w:pStyle w:val="3"/>
        <w:pageBreakBefore w:val="0"/>
        <w:kinsoku/>
        <w:wordWrap/>
        <w:overflowPunct/>
        <w:topLinePunct w:val="0"/>
        <w:autoSpaceDE/>
        <w:autoSpaceDN/>
        <w:bidi w:val="0"/>
        <w:adjustRightInd/>
        <w:snapToGrid/>
        <w:spacing w:before="0" w:after="0" w:line="560" w:lineRule="exact"/>
        <w:ind w:firstLine="602" w:firstLineChars="200"/>
        <w:textAlignment w:val="auto"/>
        <w:rPr>
          <w:rFonts w:hint="eastAsia" w:ascii="仿宋" w:hAnsi="仿宋" w:eastAsia="仿宋" w:cs="仿宋"/>
          <w:sz w:val="30"/>
          <w:szCs w:val="30"/>
        </w:rPr>
      </w:pPr>
      <w:bookmarkStart w:id="2" w:name="_Toc68703830"/>
      <w:r>
        <w:rPr>
          <w:rFonts w:hint="eastAsia" w:ascii="仿宋" w:hAnsi="仿宋" w:eastAsia="仿宋" w:cs="仿宋"/>
          <w:sz w:val="30"/>
          <w:szCs w:val="30"/>
        </w:rPr>
        <w:t>二、绩效评价工作开展情况</w:t>
      </w:r>
      <w:bookmarkEnd w:id="2"/>
    </w:p>
    <w:p w14:paraId="42AF5721">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sz w:val="30"/>
          <w:szCs w:val="30"/>
          <w:lang w:val="en-US" w:eastAsia="zh-CN"/>
        </w:rPr>
      </w:pPr>
      <w:bookmarkStart w:id="3" w:name="_Toc68703831"/>
      <w:r>
        <w:rPr>
          <w:rFonts w:hint="eastAsia" w:ascii="仿宋" w:hAnsi="仿宋" w:eastAsia="仿宋" w:cs="仿宋"/>
          <w:b w:val="0"/>
          <w:bCs w:val="0"/>
          <w:sz w:val="30"/>
          <w:szCs w:val="30"/>
        </w:rPr>
        <w:t>（一）绩效评价目的、对象和范围。</w:t>
      </w:r>
      <w:bookmarkEnd w:id="3"/>
    </w:p>
    <w:p w14:paraId="339FFAE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绩效评价目的：</w:t>
      </w:r>
    </w:p>
    <w:p w14:paraId="689B500A">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kern w:val="0"/>
          <w:sz w:val="30"/>
          <w:szCs w:val="30"/>
          <w:u w:val="none"/>
        </w:rPr>
      </w:pPr>
      <w:r>
        <w:rPr>
          <w:rFonts w:hint="eastAsia" w:ascii="仿宋" w:hAnsi="仿宋" w:eastAsia="仿宋" w:cs="仿宋"/>
          <w:bCs/>
          <w:color w:val="auto"/>
          <w:sz w:val="30"/>
          <w:szCs w:val="30"/>
        </w:rPr>
        <w:t>通过绩效评价，客观地评判项目的管理绩效，了解和掌握</w:t>
      </w:r>
      <w:r>
        <w:rPr>
          <w:rFonts w:hint="eastAsia" w:ascii="仿宋" w:hAnsi="仿宋" w:eastAsia="仿宋" w:cs="仿宋"/>
          <w:color w:val="auto"/>
          <w:sz w:val="30"/>
          <w:szCs w:val="30"/>
          <w:highlight w:val="none"/>
          <w:u w:val="none"/>
        </w:rPr>
        <w:t xml:space="preserve">高新技术企业认定后补助奖励项目 </w:t>
      </w:r>
    </w:p>
    <w:p w14:paraId="1F7D815B">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Cs/>
          <w:color w:val="FF0000"/>
          <w:sz w:val="30"/>
          <w:szCs w:val="30"/>
        </w:rPr>
      </w:pPr>
      <w:r>
        <w:rPr>
          <w:rFonts w:hint="eastAsia" w:ascii="仿宋" w:hAnsi="仿宋" w:eastAsia="仿宋" w:cs="仿宋"/>
          <w:color w:val="auto"/>
          <w:sz w:val="30"/>
          <w:szCs w:val="30"/>
          <w:highlight w:val="none"/>
          <w:u w:val="none"/>
        </w:rPr>
        <w:t xml:space="preserve">高新技术企业认定后补助奖励项目 </w:t>
      </w:r>
      <w:r>
        <w:rPr>
          <w:rFonts w:hint="eastAsia" w:ascii="仿宋" w:hAnsi="仿宋" w:eastAsia="仿宋" w:cs="仿宋"/>
          <w:bCs/>
          <w:color w:val="auto"/>
          <w:sz w:val="30"/>
          <w:szCs w:val="30"/>
          <w:u w:val="none"/>
        </w:rPr>
        <w:t>经</w:t>
      </w:r>
      <w:r>
        <w:rPr>
          <w:rFonts w:hint="eastAsia" w:ascii="仿宋" w:hAnsi="仿宋" w:eastAsia="仿宋" w:cs="仿宋"/>
          <w:bCs/>
          <w:color w:val="auto"/>
          <w:sz w:val="30"/>
          <w:szCs w:val="30"/>
        </w:rPr>
        <w:t>费的具体情况，评价该项目资金安排的科学性、合理性、规范性和资金的使用成效，及时总结项目管理经验，完善项目管理办法，提高项目管理水平和资金使用效益。促使我</w:t>
      </w:r>
      <w:r>
        <w:rPr>
          <w:rFonts w:hint="eastAsia" w:ascii="仿宋" w:hAnsi="仿宋" w:eastAsia="仿宋" w:cs="仿宋"/>
          <w:bCs/>
          <w:color w:val="auto"/>
          <w:sz w:val="30"/>
          <w:szCs w:val="30"/>
          <w:lang w:val="en-US" w:eastAsia="zh-CN"/>
        </w:rPr>
        <w:t>局</w:t>
      </w:r>
      <w:r>
        <w:rPr>
          <w:rFonts w:hint="eastAsia" w:ascii="仿宋" w:hAnsi="仿宋" w:eastAsia="仿宋" w:cs="仿宋"/>
          <w:bCs/>
          <w:color w:val="auto"/>
          <w:sz w:val="30"/>
          <w:szCs w:val="30"/>
        </w:rPr>
        <w:t>根据绩效评价中发现的问题，认真加以整改，及时调整和完善单位的工作计划并加强项目</w:t>
      </w:r>
      <w:r>
        <w:rPr>
          <w:rFonts w:hint="eastAsia" w:ascii="仿宋" w:hAnsi="仿宋" w:eastAsia="仿宋" w:cs="仿宋"/>
          <w:bCs/>
          <w:color w:val="auto"/>
          <w:sz w:val="30"/>
          <w:szCs w:val="30"/>
          <w:lang w:val="en-US" w:eastAsia="zh-CN"/>
        </w:rPr>
        <w:t>绩效</w:t>
      </w:r>
      <w:r>
        <w:rPr>
          <w:rFonts w:hint="eastAsia" w:ascii="仿宋" w:hAnsi="仿宋" w:eastAsia="仿宋" w:cs="仿宋"/>
          <w:bCs/>
          <w:color w:val="auto"/>
          <w:sz w:val="30"/>
          <w:szCs w:val="30"/>
        </w:rPr>
        <w:t>管理，同时为项目后续资金投入、分配和管理提供决策依据。</w:t>
      </w:r>
    </w:p>
    <w:p w14:paraId="751AD49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绩效评价对象：</w:t>
      </w:r>
    </w:p>
    <w:p w14:paraId="78CF3479">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kern w:val="0"/>
          <w:sz w:val="30"/>
          <w:szCs w:val="30"/>
          <w:u w:val="none"/>
        </w:rPr>
      </w:pPr>
      <w:r>
        <w:rPr>
          <w:rFonts w:hint="eastAsia" w:ascii="仿宋" w:hAnsi="仿宋" w:eastAsia="仿宋" w:cs="仿宋"/>
          <w:color w:val="auto"/>
          <w:sz w:val="30"/>
          <w:szCs w:val="30"/>
          <w:highlight w:val="none"/>
          <w:u w:val="none"/>
        </w:rPr>
        <w:t xml:space="preserve">高新技术企业认定后补助奖励项目 </w:t>
      </w:r>
    </w:p>
    <w:p w14:paraId="5A2136F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3.</w:t>
      </w:r>
      <w:r>
        <w:rPr>
          <w:rFonts w:hint="eastAsia" w:ascii="仿宋" w:hAnsi="仿宋" w:eastAsia="仿宋" w:cs="仿宋"/>
          <w:sz w:val="30"/>
          <w:szCs w:val="30"/>
        </w:rPr>
        <w:t>绩效评价范围：</w:t>
      </w:r>
    </w:p>
    <w:p w14:paraId="751EDE7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本次评价从项目决策（包括绩效目标、决策过程）、项目管理（包括项目资金、项目实施）、项目产出（包括项目产出数量、产出质量、产出时效和产出成本）项目效益四个维度进行</w:t>
      </w:r>
      <w:r>
        <w:rPr>
          <w:rFonts w:hint="eastAsia" w:ascii="仿宋" w:hAnsi="仿宋" w:eastAsia="仿宋" w:cs="仿宋"/>
          <w:color w:val="auto"/>
          <w:sz w:val="30"/>
          <w:szCs w:val="30"/>
          <w:highlight w:val="none"/>
          <w:u w:val="none"/>
        </w:rPr>
        <w:t xml:space="preserve">高新技术企业认定后补助奖励项目 </w:t>
      </w:r>
      <w:r>
        <w:rPr>
          <w:rFonts w:hint="eastAsia" w:ascii="仿宋" w:hAnsi="仿宋" w:eastAsia="仿宋" w:cs="仿宋"/>
          <w:color w:val="auto"/>
          <w:sz w:val="30"/>
          <w:szCs w:val="30"/>
        </w:rPr>
        <w:t>评价，评价核心为资金的支出完成情况和效果。</w:t>
      </w:r>
    </w:p>
    <w:p w14:paraId="578B4326">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color w:val="auto"/>
          <w:sz w:val="30"/>
          <w:szCs w:val="30"/>
        </w:rPr>
      </w:pPr>
      <w:bookmarkStart w:id="4" w:name="_Toc68703832"/>
      <w:r>
        <w:rPr>
          <w:rFonts w:hint="eastAsia" w:ascii="仿宋" w:hAnsi="仿宋" w:eastAsia="仿宋" w:cs="仿宋"/>
          <w:b w:val="0"/>
          <w:bCs w:val="0"/>
          <w:color w:val="auto"/>
          <w:sz w:val="30"/>
          <w:szCs w:val="30"/>
        </w:rPr>
        <w:t>（二）绩效评价原则、评价指标体系</w:t>
      </w:r>
      <w:r>
        <w:rPr>
          <w:rFonts w:hint="eastAsia" w:ascii="仿宋" w:hAnsi="仿宋" w:eastAsia="仿宋" w:cs="仿宋"/>
          <w:b w:val="0"/>
          <w:bCs w:val="0"/>
          <w:color w:val="auto"/>
          <w:sz w:val="30"/>
          <w:szCs w:val="30"/>
          <w:lang w:eastAsia="zh-CN"/>
        </w:rPr>
        <w:t>（附表说明）</w:t>
      </w:r>
      <w:r>
        <w:rPr>
          <w:rFonts w:hint="eastAsia" w:ascii="仿宋" w:hAnsi="仿宋" w:eastAsia="仿宋" w:cs="仿宋"/>
          <w:b w:val="0"/>
          <w:bCs w:val="0"/>
          <w:color w:val="auto"/>
          <w:sz w:val="30"/>
          <w:szCs w:val="30"/>
        </w:rPr>
        <w:t>、评价方法、评价标准等。</w:t>
      </w:r>
      <w:bookmarkEnd w:id="4"/>
    </w:p>
    <w:p w14:paraId="3790EE8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绩效评价原则</w:t>
      </w:r>
    </w:p>
    <w:p w14:paraId="02CC66C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Cs/>
          <w:color w:val="auto"/>
          <w:sz w:val="30"/>
          <w:szCs w:val="30"/>
        </w:rPr>
      </w:pPr>
      <w:r>
        <w:rPr>
          <w:rFonts w:hint="eastAsia" w:ascii="仿宋" w:hAnsi="仿宋" w:eastAsia="仿宋" w:cs="仿宋"/>
          <w:color w:val="auto"/>
          <w:sz w:val="30"/>
          <w:szCs w:val="30"/>
        </w:rPr>
        <w:t>本次项目绩效评价遵循以下基本原则：</w:t>
      </w:r>
    </w:p>
    <w:p w14:paraId="0832CB5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（一）科学公正。本次项目支出绩效评价</w:t>
      </w:r>
      <w:r>
        <w:rPr>
          <w:rFonts w:hint="eastAsia" w:ascii="仿宋" w:hAnsi="仿宋" w:eastAsia="仿宋" w:cs="仿宋"/>
          <w:bCs/>
          <w:color w:val="auto"/>
          <w:sz w:val="30"/>
          <w:szCs w:val="30"/>
          <w:highlight w:val="none"/>
          <w:lang w:eastAsia="zh-CN"/>
        </w:rPr>
        <w:t>按照科技项目工作要求，坚持项目独立、客观、</w:t>
      </w:r>
      <w:r>
        <w:rPr>
          <w:rFonts w:hint="eastAsia" w:ascii="仿宋" w:hAnsi="仿宋" w:eastAsia="仿宋" w:cs="仿宋"/>
          <w:bCs/>
          <w:color w:val="auto"/>
          <w:sz w:val="30"/>
          <w:szCs w:val="30"/>
          <w:highlight w:val="none"/>
        </w:rPr>
        <w:t>运用科学合理的方法</w:t>
      </w:r>
      <w:r>
        <w:rPr>
          <w:rFonts w:hint="eastAsia" w:ascii="仿宋" w:hAnsi="仿宋" w:eastAsia="仿宋" w:cs="仿宋"/>
          <w:bCs/>
          <w:color w:val="auto"/>
          <w:sz w:val="30"/>
          <w:szCs w:val="30"/>
          <w:highlight w:val="none"/>
          <w:lang w:eastAsia="zh-CN"/>
        </w:rPr>
        <w:t>以及科学的原则</w:t>
      </w:r>
      <w:r>
        <w:rPr>
          <w:rFonts w:hint="eastAsia" w:ascii="仿宋" w:hAnsi="仿宋" w:eastAsia="仿宋" w:cs="仿宋"/>
          <w:bCs/>
          <w:color w:val="auto"/>
          <w:sz w:val="30"/>
          <w:szCs w:val="30"/>
          <w:highlight w:val="none"/>
        </w:rPr>
        <w:t>，</w:t>
      </w:r>
      <w:r>
        <w:rPr>
          <w:rFonts w:hint="eastAsia" w:ascii="仿宋" w:hAnsi="仿宋" w:eastAsia="仿宋" w:cs="仿宋"/>
          <w:bCs/>
          <w:color w:val="auto"/>
          <w:sz w:val="30"/>
          <w:szCs w:val="30"/>
          <w:highlight w:val="none"/>
          <w:lang w:eastAsia="zh-CN"/>
        </w:rPr>
        <w:t>运用科学、规范的评价程序和操作过程</w:t>
      </w:r>
      <w:r>
        <w:rPr>
          <w:rFonts w:hint="eastAsia" w:ascii="仿宋" w:hAnsi="仿宋" w:eastAsia="仿宋" w:cs="仿宋"/>
          <w:bCs/>
          <w:color w:val="auto"/>
          <w:sz w:val="30"/>
          <w:szCs w:val="30"/>
          <w:highlight w:val="none"/>
        </w:rPr>
        <w:t>，对项目绩效进行客观、公正的反映。</w:t>
      </w:r>
    </w:p>
    <w:p w14:paraId="7467DF4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Cs/>
          <w:color w:val="auto"/>
          <w:sz w:val="30"/>
          <w:szCs w:val="30"/>
          <w:highlight w:val="yellow"/>
        </w:rPr>
      </w:pPr>
      <w:r>
        <w:rPr>
          <w:rFonts w:hint="eastAsia" w:ascii="仿宋" w:hAnsi="仿宋" w:eastAsia="仿宋" w:cs="仿宋"/>
          <w:bCs/>
          <w:color w:val="auto"/>
          <w:sz w:val="30"/>
          <w:szCs w:val="30"/>
          <w:highlight w:val="none"/>
        </w:rPr>
        <w:t>（二）统筹兼顾。本次项目支出绩效评价由本单位自主实施</w:t>
      </w:r>
      <w:r>
        <w:rPr>
          <w:rFonts w:hint="eastAsia" w:ascii="仿宋" w:hAnsi="仿宋" w:eastAsia="仿宋" w:cs="仿宋"/>
          <w:bCs/>
          <w:color w:val="auto"/>
          <w:sz w:val="30"/>
          <w:szCs w:val="30"/>
          <w:highlight w:val="none"/>
          <w:lang w:eastAsia="zh-CN"/>
        </w:rPr>
        <w:t>并积极组织自评，项目负责人或项目成员依据项目年度目标完成项目整体工作内容，按照我局项目绩效评价要求完成项目绩效评价</w:t>
      </w:r>
      <w:r>
        <w:rPr>
          <w:rFonts w:hint="eastAsia" w:ascii="仿宋" w:hAnsi="仿宋" w:eastAsia="仿宋" w:cs="仿宋"/>
          <w:bCs/>
          <w:color w:val="auto"/>
          <w:sz w:val="30"/>
          <w:szCs w:val="30"/>
          <w:highlight w:val="none"/>
        </w:rPr>
        <w:t>，即“谁支出、谁自评”。</w:t>
      </w:r>
    </w:p>
    <w:p w14:paraId="0D89F48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Cs/>
          <w:color w:val="auto"/>
          <w:sz w:val="30"/>
          <w:szCs w:val="30"/>
        </w:rPr>
      </w:pPr>
      <w:r>
        <w:rPr>
          <w:rFonts w:hint="eastAsia" w:ascii="仿宋" w:hAnsi="仿宋" w:eastAsia="仿宋" w:cs="仿宋"/>
          <w:bCs/>
          <w:color w:val="auto"/>
          <w:sz w:val="30"/>
          <w:szCs w:val="30"/>
        </w:rPr>
        <w:t>（三）激励约束。本次项目支出绩效评价结果与预算安排、政策调整、改进管理实质性挂钩，体现奖优罚劣和激励相容导向，有效要安排、低效要压减、无效要问责。</w:t>
      </w:r>
    </w:p>
    <w:p w14:paraId="491BDA10">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highlight w:val="yellow"/>
        </w:rPr>
      </w:pPr>
      <w:r>
        <w:rPr>
          <w:rFonts w:hint="eastAsia" w:ascii="仿宋" w:hAnsi="仿宋" w:eastAsia="仿宋" w:cs="仿宋"/>
          <w:bCs/>
          <w:color w:val="auto"/>
          <w:sz w:val="30"/>
          <w:szCs w:val="30"/>
        </w:rPr>
        <w:t>（四）公开透明。本次项目支出绩效评价结果已依法依规公开在</w:t>
      </w:r>
      <w:r>
        <w:rPr>
          <w:rFonts w:hint="eastAsia" w:ascii="仿宋" w:hAnsi="仿宋" w:eastAsia="仿宋" w:cs="仿宋"/>
          <w:bCs/>
          <w:color w:val="auto"/>
          <w:sz w:val="30"/>
          <w:szCs w:val="30"/>
          <w:lang w:eastAsia="zh-CN"/>
        </w:rPr>
        <w:t>自治区科技厅</w:t>
      </w:r>
      <w:r>
        <w:rPr>
          <w:rFonts w:hint="eastAsia" w:ascii="仿宋" w:hAnsi="仿宋" w:eastAsia="仿宋" w:cs="仿宋"/>
          <w:bCs/>
          <w:color w:val="auto"/>
          <w:sz w:val="30"/>
          <w:szCs w:val="30"/>
        </w:rPr>
        <w:t>网站上，并自觉接受社会监督。</w:t>
      </w:r>
    </w:p>
    <w:p w14:paraId="2CB7A4C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2、评价指标体系（附表说明）</w:t>
      </w:r>
    </w:p>
    <w:p w14:paraId="269AA917">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 w:hAnsi="仿宋" w:eastAsia="仿宋" w:cs="仿宋"/>
          <w:color w:val="auto"/>
          <w:spacing w:val="17"/>
          <w:sz w:val="30"/>
          <w:szCs w:val="30"/>
        </w:rPr>
      </w:pPr>
      <w:r>
        <w:rPr>
          <w:rFonts w:hint="eastAsia" w:ascii="仿宋" w:hAnsi="仿宋" w:eastAsia="仿宋" w:cs="仿宋"/>
          <w:color w:val="auto"/>
          <w:spacing w:val="17"/>
          <w:sz w:val="30"/>
          <w:szCs w:val="30"/>
        </w:rPr>
        <w:t>绩效评价框架是开展绩效评价的核心。绩效评价框架包括评价准则、关键评价问题、评价指标、数据来源、数据收集方法等。指标体系建立过程如下：</w:t>
      </w:r>
    </w:p>
    <w:p w14:paraId="4FB18B13">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 w:hAnsi="仿宋" w:eastAsia="仿宋" w:cs="仿宋"/>
          <w:color w:val="auto"/>
          <w:spacing w:val="17"/>
          <w:sz w:val="30"/>
          <w:szCs w:val="30"/>
        </w:rPr>
      </w:pPr>
      <w:r>
        <w:rPr>
          <w:rFonts w:hint="eastAsia" w:ascii="仿宋" w:hAnsi="仿宋" w:eastAsia="仿宋" w:cs="仿宋"/>
          <w:color w:val="auto"/>
          <w:spacing w:val="17"/>
          <w:sz w:val="30"/>
          <w:szCs w:val="30"/>
        </w:rPr>
        <w:t>（1）确定评价指标</w:t>
      </w:r>
    </w:p>
    <w:p w14:paraId="3D100185">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 w:hAnsi="仿宋" w:eastAsia="仿宋" w:cs="仿宋"/>
          <w:color w:val="auto"/>
          <w:spacing w:val="17"/>
          <w:sz w:val="30"/>
          <w:szCs w:val="30"/>
        </w:rPr>
      </w:pPr>
      <w:r>
        <w:rPr>
          <w:rFonts w:hint="eastAsia" w:ascii="仿宋" w:hAnsi="仿宋" w:eastAsia="仿宋" w:cs="仿宋"/>
          <w:color w:val="auto"/>
          <w:spacing w:val="17"/>
          <w:sz w:val="30"/>
          <w:szCs w:val="30"/>
        </w:rPr>
        <w:t>采用层次分析法，建立评价指标体系。绩效评价将指标分为项目决策指标、项目过程指标、项目产出指标、项目效益指标四个维度，最终形成一个由多个相互联系的指标组成的多层次指标体系。</w:t>
      </w:r>
    </w:p>
    <w:p w14:paraId="4DF4B8BC">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 w:hAnsi="仿宋" w:eastAsia="仿宋" w:cs="仿宋"/>
          <w:color w:val="auto"/>
          <w:spacing w:val="17"/>
          <w:sz w:val="30"/>
          <w:szCs w:val="30"/>
        </w:rPr>
      </w:pPr>
      <w:r>
        <w:rPr>
          <w:rFonts w:hint="eastAsia" w:ascii="仿宋" w:hAnsi="仿宋" w:eastAsia="仿宋" w:cs="仿宋"/>
          <w:color w:val="auto"/>
          <w:spacing w:val="17"/>
          <w:sz w:val="30"/>
          <w:szCs w:val="30"/>
        </w:rPr>
        <w:t>（2）确定权重</w:t>
      </w:r>
    </w:p>
    <w:p w14:paraId="6E3CF201">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 w:hAnsi="仿宋" w:eastAsia="仿宋" w:cs="仿宋"/>
          <w:color w:val="auto"/>
          <w:spacing w:val="17"/>
          <w:sz w:val="30"/>
          <w:szCs w:val="30"/>
        </w:rPr>
      </w:pPr>
      <w:r>
        <w:rPr>
          <w:rFonts w:hint="eastAsia" w:ascii="仿宋" w:hAnsi="仿宋" w:eastAsia="仿宋" w:cs="仿宋"/>
          <w:color w:val="auto"/>
          <w:spacing w:val="17"/>
          <w:sz w:val="30"/>
          <w:szCs w:val="30"/>
        </w:rPr>
        <w:t>确定各个指标相对于项目总体绩效的权重分值。在绩效评价指标体系中，项目决策权重为20分，项目过程权重为20分，项目产出权重为40分，项目效益权重为20分。</w:t>
      </w:r>
    </w:p>
    <w:p w14:paraId="74776E74">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 w:hAnsi="仿宋" w:eastAsia="仿宋" w:cs="仿宋"/>
          <w:color w:val="auto"/>
          <w:spacing w:val="17"/>
          <w:sz w:val="30"/>
          <w:szCs w:val="30"/>
        </w:rPr>
      </w:pPr>
      <w:r>
        <w:rPr>
          <w:rFonts w:hint="eastAsia" w:ascii="仿宋" w:hAnsi="仿宋" w:eastAsia="仿宋" w:cs="仿宋"/>
          <w:color w:val="auto"/>
          <w:spacing w:val="17"/>
          <w:sz w:val="30"/>
          <w:szCs w:val="30"/>
        </w:rPr>
        <w:t>（3）确定指标标准值</w:t>
      </w:r>
    </w:p>
    <w:p w14:paraId="42B7BF13">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 w:hAnsi="仿宋" w:eastAsia="仿宋" w:cs="仿宋"/>
          <w:color w:val="auto"/>
          <w:spacing w:val="17"/>
          <w:sz w:val="30"/>
          <w:szCs w:val="30"/>
        </w:rPr>
      </w:pPr>
      <w:r>
        <w:rPr>
          <w:rFonts w:hint="eastAsia" w:ascii="仿宋" w:hAnsi="仿宋" w:eastAsia="仿宋" w:cs="仿宋"/>
          <w:color w:val="auto"/>
          <w:spacing w:val="17"/>
          <w:sz w:val="30"/>
          <w:szCs w:val="30"/>
        </w:rPr>
        <w:t>指标标准值是绩效评价指标的尺度，既要反映同类项目的先进水平，又要符合项目的实际绩效水平。具体采用计划标准等确定此次绩效评价指标标准值。</w:t>
      </w:r>
    </w:p>
    <w:p w14:paraId="54ADAB4F">
      <w:pPr>
        <w:pStyle w:val="2"/>
        <w:pageBreakBefore w:val="0"/>
        <w:kinsoku/>
        <w:wordWrap/>
        <w:overflowPunct/>
        <w:topLinePunct w:val="0"/>
        <w:autoSpaceDE/>
        <w:autoSpaceDN/>
        <w:bidi w:val="0"/>
        <w:adjustRightInd/>
        <w:snapToGrid/>
        <w:spacing w:before="0" w:after="0" w:line="560" w:lineRule="exact"/>
        <w:ind w:firstLine="668" w:firstLineChars="200"/>
        <w:jc w:val="both"/>
        <w:textAlignment w:val="auto"/>
        <w:rPr>
          <w:rFonts w:hint="eastAsia" w:ascii="仿宋" w:hAnsi="仿宋" w:eastAsia="仿宋" w:cs="仿宋"/>
          <w:b w:val="0"/>
          <w:bCs w:val="0"/>
          <w:color w:val="auto"/>
          <w:spacing w:val="17"/>
          <w:kern w:val="2"/>
          <w:sz w:val="30"/>
          <w:szCs w:val="30"/>
        </w:rPr>
      </w:pPr>
      <w:r>
        <w:rPr>
          <w:rFonts w:hint="eastAsia" w:ascii="仿宋" w:hAnsi="仿宋" w:eastAsia="仿宋" w:cs="仿宋"/>
          <w:b w:val="0"/>
          <w:bCs w:val="0"/>
          <w:color w:val="auto"/>
          <w:spacing w:val="17"/>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70BA227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3、评价方法</w:t>
      </w:r>
    </w:p>
    <w:p w14:paraId="2508E53E">
      <w:pPr>
        <w:pageBreakBefore w:val="0"/>
        <w:kinsoku/>
        <w:wordWrap/>
        <w:overflowPunct/>
        <w:topLinePunct w:val="0"/>
        <w:autoSpaceDE/>
        <w:autoSpaceDN/>
        <w:bidi w:val="0"/>
        <w:adjustRightInd/>
        <w:snapToGrid/>
        <w:spacing w:line="560" w:lineRule="exact"/>
        <w:ind w:firstLine="668" w:firstLineChars="200"/>
        <w:textAlignment w:val="auto"/>
        <w:rPr>
          <w:rFonts w:hint="eastAsia" w:ascii="仿宋" w:hAnsi="仿宋" w:eastAsia="仿宋" w:cs="仿宋"/>
          <w:color w:val="auto"/>
          <w:spacing w:val="17"/>
          <w:sz w:val="30"/>
          <w:szCs w:val="30"/>
        </w:rPr>
      </w:pPr>
      <w:r>
        <w:rPr>
          <w:rFonts w:hint="eastAsia" w:ascii="仿宋" w:hAnsi="仿宋" w:eastAsia="仿宋" w:cs="仿宋"/>
          <w:color w:val="auto"/>
          <w:spacing w:val="17"/>
          <w:sz w:val="30"/>
          <w:szCs w:val="30"/>
        </w:rPr>
        <w:t>绩效评价从项目决策、项目过程、项目产出、项目效益四个维度进行评价。评价对象为项目目标实施情况，评价核心为资金的支出完成情况和项目的产出效益。</w:t>
      </w:r>
    </w:p>
    <w:p w14:paraId="30438347">
      <w:pPr>
        <w:keepNext w:val="0"/>
        <w:keepLines w:val="0"/>
        <w:pageBreakBefore w:val="0"/>
        <w:widowControl w:val="0"/>
        <w:kinsoku/>
        <w:wordWrap/>
        <w:overflowPunct/>
        <w:topLinePunct w:val="0"/>
        <w:autoSpaceDE/>
        <w:autoSpaceDN/>
        <w:bidi w:val="0"/>
        <w:adjustRightInd/>
        <w:snapToGrid/>
        <w:spacing w:line="560" w:lineRule="exact"/>
        <w:ind w:firstLine="668" w:firstLineChars="200"/>
        <w:textAlignment w:val="auto"/>
        <w:rPr>
          <w:rFonts w:hint="eastAsia" w:ascii="仿宋" w:hAnsi="仿宋" w:eastAsia="仿宋" w:cs="仿宋"/>
          <w:color w:val="auto"/>
          <w:spacing w:val="17"/>
          <w:sz w:val="30"/>
          <w:szCs w:val="30"/>
        </w:rPr>
      </w:pPr>
      <w:r>
        <w:rPr>
          <w:rFonts w:hint="eastAsia" w:ascii="仿宋" w:hAnsi="仿宋" w:eastAsia="仿宋" w:cs="仿宋"/>
          <w:color w:val="auto"/>
          <w:spacing w:val="17"/>
          <w:sz w:val="30"/>
          <w:szCs w:val="30"/>
        </w:rPr>
        <w:t>本次评价指标中，既有定性指标又有定量指标，各类指标因考核内容不同和客观标准不同存在较大差异，因此核定具体指标时采用了不同方法，具体评价方法如下：</w:t>
      </w:r>
    </w:p>
    <w:p w14:paraId="150FFBB3">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lang w:eastAsia="zh-CN" w:bidi="ar"/>
        </w:rPr>
      </w:pPr>
      <w:r>
        <w:rPr>
          <w:rFonts w:hint="eastAsia" w:ascii="仿宋" w:hAnsi="仿宋" w:eastAsia="仿宋" w:cs="仿宋"/>
          <w:bCs/>
          <w:color w:val="auto"/>
          <w:sz w:val="30"/>
          <w:szCs w:val="30"/>
          <w:lang w:eastAsia="zh-CN"/>
        </w:rPr>
        <w:t>采用</w:t>
      </w:r>
      <w:r>
        <w:rPr>
          <w:rFonts w:hint="eastAsia" w:ascii="仿宋" w:hAnsi="仿宋" w:eastAsia="仿宋" w:cs="仿宋"/>
          <w:bCs/>
          <w:color w:val="auto"/>
          <w:sz w:val="30"/>
          <w:szCs w:val="30"/>
        </w:rPr>
        <w:t>比较法</w:t>
      </w:r>
      <w:r>
        <w:rPr>
          <w:rFonts w:hint="eastAsia" w:ascii="仿宋" w:hAnsi="仿宋" w:eastAsia="仿宋" w:cs="仿宋"/>
          <w:bCs/>
          <w:color w:val="auto"/>
          <w:sz w:val="30"/>
          <w:szCs w:val="30"/>
          <w:lang w:eastAsia="zh-CN"/>
        </w:rPr>
        <w:t>，</w:t>
      </w:r>
      <w:r>
        <w:rPr>
          <w:rFonts w:hint="eastAsia" w:ascii="仿宋" w:hAnsi="仿宋" w:eastAsia="仿宋" w:cs="仿宋"/>
          <w:color w:val="auto"/>
          <w:kern w:val="0"/>
          <w:sz w:val="30"/>
          <w:szCs w:val="30"/>
        </w:rPr>
        <w:t>通过查阅</w:t>
      </w:r>
      <w:r>
        <w:rPr>
          <w:rFonts w:hint="eastAsia" w:ascii="仿宋" w:hAnsi="仿宋" w:eastAsia="仿宋" w:cs="仿宋"/>
          <w:color w:val="auto"/>
          <w:sz w:val="30"/>
          <w:szCs w:val="30"/>
          <w:lang w:bidi="ar"/>
        </w:rPr>
        <w:t>资料</w:t>
      </w:r>
      <w:r>
        <w:rPr>
          <w:rFonts w:hint="eastAsia" w:ascii="仿宋" w:hAnsi="仿宋" w:eastAsia="仿宋" w:cs="仿宋"/>
          <w:color w:val="auto"/>
          <w:kern w:val="0"/>
          <w:sz w:val="30"/>
          <w:szCs w:val="30"/>
        </w:rPr>
        <w:t>，</w:t>
      </w:r>
      <w:r>
        <w:rPr>
          <w:rFonts w:hint="eastAsia" w:ascii="仿宋" w:hAnsi="仿宋" w:eastAsia="仿宋" w:cs="仿宋"/>
          <w:color w:val="auto"/>
          <w:kern w:val="0"/>
          <w:sz w:val="30"/>
          <w:szCs w:val="30"/>
          <w:lang w:val="en-US" w:eastAsia="zh-CN"/>
        </w:rPr>
        <w:t>了解自治区及其他地州市的高新技术企业奖励政策、落实方法及获得的成效进行比较，作为参考结合巴州实际制定奖励方案</w:t>
      </w:r>
      <w:r>
        <w:rPr>
          <w:rFonts w:hint="eastAsia" w:ascii="仿宋" w:hAnsi="仿宋" w:eastAsia="仿宋" w:cs="仿宋"/>
          <w:color w:val="auto"/>
          <w:kern w:val="0"/>
          <w:sz w:val="30"/>
          <w:szCs w:val="30"/>
        </w:rPr>
        <w:t>，</w:t>
      </w:r>
      <w:r>
        <w:rPr>
          <w:rFonts w:hint="eastAsia" w:ascii="仿宋" w:hAnsi="仿宋" w:eastAsia="仿宋" w:cs="仿宋"/>
          <w:color w:val="auto"/>
          <w:kern w:val="0"/>
          <w:sz w:val="30"/>
          <w:szCs w:val="30"/>
          <w:lang w:val="en-US" w:eastAsia="zh-CN"/>
        </w:rPr>
        <w:t>可以有效</w:t>
      </w:r>
      <w:r>
        <w:rPr>
          <w:rFonts w:hint="eastAsia" w:ascii="仿宋" w:hAnsi="仿宋" w:eastAsia="仿宋" w:cs="仿宋"/>
          <w:color w:val="auto"/>
          <w:kern w:val="0"/>
          <w:sz w:val="30"/>
          <w:szCs w:val="30"/>
        </w:rPr>
        <w:t>避免无意义的重复和浪费。</w:t>
      </w:r>
    </w:p>
    <w:p w14:paraId="507D95F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4</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评价标准</w:t>
      </w:r>
    </w:p>
    <w:p w14:paraId="17610520">
      <w:pPr>
        <w:keepNext w:val="0"/>
        <w:keepLines w:val="0"/>
        <w:pageBreakBefore w:val="0"/>
        <w:widowControl w:val="0"/>
        <w:kinsoku/>
        <w:wordWrap/>
        <w:overflowPunct/>
        <w:topLinePunct w:val="0"/>
        <w:autoSpaceDE/>
        <w:autoSpaceDN/>
        <w:bidi w:val="0"/>
        <w:adjustRightInd/>
        <w:snapToGrid/>
        <w:spacing w:line="560" w:lineRule="exact"/>
        <w:ind w:firstLine="668" w:firstLineChars="200"/>
        <w:textAlignment w:val="auto"/>
        <w:rPr>
          <w:rFonts w:hint="eastAsia" w:ascii="仿宋" w:hAnsi="仿宋" w:eastAsia="仿宋" w:cs="仿宋"/>
          <w:bCs/>
          <w:color w:val="auto"/>
          <w:sz w:val="30"/>
          <w:szCs w:val="30"/>
        </w:rPr>
      </w:pPr>
      <w:r>
        <w:rPr>
          <w:rFonts w:hint="eastAsia" w:ascii="仿宋" w:hAnsi="仿宋" w:eastAsia="仿宋" w:cs="仿宋"/>
          <w:color w:val="auto"/>
          <w:spacing w:val="17"/>
          <w:sz w:val="30"/>
          <w:szCs w:val="30"/>
        </w:rPr>
        <w:t>绩效评价标准通常包括计划标准、行业标准、历史标准等，用于对绩效指标完成情况进行比较、分析、评价。本次评价主要采用了</w:t>
      </w:r>
      <w:r>
        <w:rPr>
          <w:rFonts w:hint="eastAsia" w:ascii="仿宋" w:hAnsi="仿宋" w:eastAsia="仿宋" w:cs="仿宋"/>
          <w:bCs/>
          <w:color w:val="auto"/>
          <w:sz w:val="30"/>
          <w:szCs w:val="30"/>
        </w:rPr>
        <w:t>计划标准</w:t>
      </w:r>
      <w:r>
        <w:rPr>
          <w:rFonts w:hint="eastAsia" w:ascii="仿宋" w:hAnsi="仿宋" w:eastAsia="仿宋" w:cs="仿宋"/>
          <w:bCs/>
          <w:color w:val="auto"/>
          <w:sz w:val="30"/>
          <w:szCs w:val="30"/>
          <w:lang w:eastAsia="zh-CN"/>
        </w:rPr>
        <w:t>，</w:t>
      </w:r>
      <w:r>
        <w:rPr>
          <w:rFonts w:hint="eastAsia" w:ascii="仿宋" w:hAnsi="仿宋" w:eastAsia="仿宋" w:cs="仿宋"/>
          <w:color w:val="auto"/>
          <w:kern w:val="0"/>
          <w:sz w:val="30"/>
          <w:szCs w:val="30"/>
          <w:lang w:val="en-US" w:eastAsia="zh-CN"/>
        </w:rPr>
        <w:t>原因是：根据工作计划预选定制的目标、计划、预算、定额标准作为项目实施完成情况的评价标准。</w:t>
      </w:r>
    </w:p>
    <w:p w14:paraId="7EB60320">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color w:val="auto"/>
          <w:sz w:val="30"/>
          <w:szCs w:val="30"/>
        </w:rPr>
      </w:pPr>
      <w:bookmarkStart w:id="5" w:name="_Toc68703833"/>
      <w:r>
        <w:rPr>
          <w:rFonts w:hint="eastAsia" w:ascii="仿宋" w:hAnsi="仿宋" w:eastAsia="仿宋" w:cs="仿宋"/>
          <w:b w:val="0"/>
          <w:bCs w:val="0"/>
          <w:color w:val="auto"/>
          <w:sz w:val="30"/>
          <w:szCs w:val="30"/>
        </w:rPr>
        <w:t>（三）绩效评价工作过程。</w:t>
      </w:r>
      <w:bookmarkEnd w:id="5"/>
    </w:p>
    <w:p w14:paraId="1FA6455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kern w:val="0"/>
          <w:sz w:val="30"/>
          <w:szCs w:val="30"/>
          <w:lang w:val="en-US" w:eastAsia="zh-CN"/>
        </w:rPr>
      </w:pPr>
      <w:bookmarkStart w:id="6" w:name="_Toc68703834"/>
      <w:r>
        <w:rPr>
          <w:rFonts w:hint="eastAsia" w:ascii="仿宋" w:hAnsi="仿宋" w:eastAsia="仿宋" w:cs="仿宋"/>
          <w:bCs/>
          <w:color w:val="auto"/>
          <w:sz w:val="30"/>
          <w:szCs w:val="30"/>
          <w:highlight w:val="none"/>
          <w:lang w:val="en-US" w:eastAsia="zh-CN"/>
        </w:rPr>
        <w:t>1.</w:t>
      </w:r>
      <w:r>
        <w:rPr>
          <w:rFonts w:hint="eastAsia" w:ascii="仿宋" w:hAnsi="仿宋" w:eastAsia="仿宋" w:cs="仿宋"/>
          <w:bCs/>
          <w:color w:val="auto"/>
          <w:sz w:val="30"/>
          <w:szCs w:val="30"/>
          <w:highlight w:val="none"/>
        </w:rPr>
        <w:t>前期准备。</w:t>
      </w:r>
      <w:r>
        <w:rPr>
          <w:rFonts w:hint="default" w:ascii="仿宋" w:hAnsi="仿宋" w:eastAsia="仿宋" w:cs="仿宋"/>
          <w:b w:val="0"/>
          <w:bCs w:val="0"/>
          <w:color w:val="auto"/>
          <w:kern w:val="2"/>
          <w:sz w:val="30"/>
          <w:szCs w:val="30"/>
          <w:lang w:val="en-US" w:eastAsia="zh-CN" w:bidi="ar-SA"/>
        </w:rPr>
        <w:t>为</w:t>
      </w:r>
      <w:r>
        <w:rPr>
          <w:rFonts w:hint="default" w:ascii="仿宋" w:hAnsi="仿宋" w:eastAsia="仿宋" w:cs="仿宋"/>
          <w:color w:val="auto"/>
          <w:kern w:val="0"/>
          <w:sz w:val="30"/>
          <w:szCs w:val="30"/>
          <w:lang w:val="en-US" w:eastAsia="zh-CN"/>
        </w:rPr>
        <w:t>保障高新技术企业认定后补助奖励项目事前绩效</w:t>
      </w:r>
      <w:r>
        <w:rPr>
          <w:rFonts w:hint="eastAsia" w:ascii="仿宋" w:hAnsi="仿宋" w:eastAsia="仿宋" w:cs="仿宋"/>
          <w:color w:val="auto"/>
          <w:kern w:val="0"/>
          <w:sz w:val="30"/>
          <w:szCs w:val="30"/>
          <w:lang w:val="en-US" w:eastAsia="zh-CN"/>
        </w:rPr>
        <w:t>评价</w:t>
      </w:r>
      <w:r>
        <w:rPr>
          <w:rFonts w:hint="default" w:ascii="仿宋" w:hAnsi="仿宋" w:eastAsia="仿宋" w:cs="仿宋"/>
          <w:color w:val="auto"/>
          <w:kern w:val="0"/>
          <w:sz w:val="30"/>
          <w:szCs w:val="30"/>
          <w:lang w:val="en-US" w:eastAsia="zh-CN"/>
        </w:rPr>
        <w:t>工作的顺利进行，确保评估效果，特成立</w:t>
      </w:r>
      <w:r>
        <w:rPr>
          <w:rFonts w:hint="eastAsia" w:ascii="仿宋" w:hAnsi="仿宋" w:eastAsia="仿宋" w:cs="仿宋"/>
          <w:color w:val="auto"/>
          <w:kern w:val="0"/>
          <w:sz w:val="30"/>
          <w:szCs w:val="30"/>
          <w:lang w:val="en-US" w:eastAsia="zh-CN"/>
        </w:rPr>
        <w:t>评价</w:t>
      </w:r>
      <w:r>
        <w:rPr>
          <w:rFonts w:hint="default" w:ascii="仿宋" w:hAnsi="仿宋" w:eastAsia="仿宋" w:cs="仿宋"/>
          <w:color w:val="auto"/>
          <w:kern w:val="0"/>
          <w:sz w:val="30"/>
          <w:szCs w:val="30"/>
          <w:lang w:val="en-US" w:eastAsia="zh-CN"/>
        </w:rPr>
        <w:t>工作组</w:t>
      </w:r>
      <w:r>
        <w:rPr>
          <w:rFonts w:hint="eastAsia" w:ascii="仿宋" w:hAnsi="仿宋" w:eastAsia="仿宋" w:cs="仿宋"/>
          <w:color w:val="auto"/>
          <w:kern w:val="0"/>
          <w:sz w:val="30"/>
          <w:szCs w:val="30"/>
          <w:lang w:val="en-US" w:eastAsia="zh-CN"/>
        </w:rPr>
        <w:t xml:space="preserve">，按照发《新疆维吾尔自治区高新技术企业发展专项资金管理办法 (暂行 )》，开展了项目绩效工作的前期调研；明确评价对象，评价工作目标及评价要求，了解首次认定的高新技术企业的总体情况，绩效评价决策，评价标准，收集相关资料；制定评价工作方案。 </w:t>
      </w:r>
    </w:p>
    <w:p w14:paraId="5CBA5A1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color w:val="auto"/>
          <w:kern w:val="0"/>
          <w:sz w:val="30"/>
          <w:szCs w:val="30"/>
          <w:lang w:val="en-US" w:eastAsia="zh-CN"/>
        </w:rPr>
      </w:pPr>
      <w:r>
        <w:rPr>
          <w:rFonts w:hint="eastAsia" w:ascii="仿宋" w:hAnsi="仿宋" w:eastAsia="仿宋" w:cs="仿宋"/>
          <w:bCs/>
          <w:color w:val="auto"/>
          <w:sz w:val="30"/>
          <w:szCs w:val="30"/>
          <w:highlight w:val="none"/>
          <w:lang w:val="en-US" w:eastAsia="zh-CN"/>
        </w:rPr>
        <w:t>2.</w:t>
      </w:r>
      <w:r>
        <w:rPr>
          <w:rFonts w:hint="eastAsia" w:ascii="仿宋" w:hAnsi="仿宋" w:eastAsia="仿宋" w:cs="仿宋"/>
          <w:bCs/>
          <w:color w:val="auto"/>
          <w:sz w:val="30"/>
          <w:szCs w:val="30"/>
          <w:highlight w:val="none"/>
        </w:rPr>
        <w:t>组织实施。</w:t>
      </w:r>
      <w:r>
        <w:rPr>
          <w:rFonts w:hint="default" w:ascii="仿宋" w:hAnsi="仿宋" w:eastAsia="仿宋" w:cs="仿宋"/>
          <w:color w:val="auto"/>
          <w:kern w:val="0"/>
          <w:sz w:val="30"/>
          <w:szCs w:val="30"/>
          <w:lang w:val="en-US" w:eastAsia="zh-CN"/>
        </w:rPr>
        <w:t>评</w:t>
      </w:r>
      <w:r>
        <w:rPr>
          <w:rFonts w:hint="eastAsia" w:ascii="仿宋" w:hAnsi="仿宋" w:eastAsia="仿宋" w:cs="仿宋"/>
          <w:color w:val="auto"/>
          <w:kern w:val="0"/>
          <w:sz w:val="30"/>
          <w:szCs w:val="30"/>
          <w:lang w:val="en-US" w:eastAsia="zh-CN"/>
        </w:rPr>
        <w:t>价</w:t>
      </w:r>
      <w:r>
        <w:rPr>
          <w:rFonts w:hint="default" w:ascii="仿宋" w:hAnsi="仿宋" w:eastAsia="仿宋" w:cs="仿宋"/>
          <w:color w:val="auto"/>
          <w:kern w:val="0"/>
          <w:sz w:val="30"/>
          <w:szCs w:val="30"/>
          <w:lang w:val="en-US" w:eastAsia="zh-CN"/>
        </w:rPr>
        <w:t>工作组组织申报单位听取申报单位</w:t>
      </w:r>
      <w:r>
        <w:rPr>
          <w:rFonts w:hint="eastAsia" w:ascii="仿宋" w:hAnsi="仿宋" w:eastAsia="仿宋" w:cs="仿宋"/>
          <w:color w:val="auto"/>
          <w:kern w:val="0"/>
          <w:sz w:val="30"/>
          <w:szCs w:val="30"/>
          <w:lang w:val="en-US" w:eastAsia="zh-CN"/>
        </w:rPr>
        <w:t>、财政部门</w:t>
      </w:r>
      <w:r>
        <w:rPr>
          <w:rFonts w:hint="default" w:ascii="仿宋" w:hAnsi="仿宋" w:eastAsia="仿宋" w:cs="仿宋"/>
          <w:color w:val="auto"/>
          <w:kern w:val="0"/>
          <w:sz w:val="30"/>
          <w:szCs w:val="30"/>
          <w:lang w:val="en-US" w:eastAsia="zh-CN"/>
        </w:rPr>
        <w:t>汇报，了解项目申报理由、立项背景、政策依据、绩效目标、实施方案、预算编制等基本情况。</w:t>
      </w:r>
    </w:p>
    <w:p w14:paraId="7B3C878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 w:hAnsi="仿宋" w:eastAsia="仿宋" w:cs="仿宋"/>
          <w:color w:val="auto"/>
          <w:kern w:val="0"/>
          <w:sz w:val="30"/>
          <w:szCs w:val="30"/>
          <w:lang w:val="en-US" w:eastAsia="zh-CN"/>
        </w:rPr>
      </w:pPr>
      <w:r>
        <w:rPr>
          <w:rFonts w:hint="eastAsia" w:ascii="仿宋" w:hAnsi="仿宋" w:eastAsia="仿宋" w:cs="仿宋"/>
          <w:bCs/>
          <w:color w:val="auto"/>
          <w:sz w:val="30"/>
          <w:szCs w:val="30"/>
          <w:highlight w:val="none"/>
          <w:lang w:val="en-US" w:eastAsia="zh-CN"/>
        </w:rPr>
        <w:t>3.</w:t>
      </w:r>
      <w:r>
        <w:rPr>
          <w:rFonts w:hint="eastAsia" w:ascii="仿宋" w:hAnsi="仿宋" w:eastAsia="仿宋" w:cs="仿宋"/>
          <w:bCs/>
          <w:color w:val="auto"/>
          <w:sz w:val="30"/>
          <w:szCs w:val="30"/>
          <w:highlight w:val="none"/>
        </w:rPr>
        <w:t>分析评价。</w:t>
      </w:r>
      <w:r>
        <w:rPr>
          <w:rFonts w:hint="eastAsia" w:ascii="仿宋" w:hAnsi="仿宋" w:eastAsia="仿宋" w:cs="仿宋"/>
          <w:bCs/>
          <w:color w:val="auto"/>
          <w:sz w:val="30"/>
          <w:szCs w:val="30"/>
          <w:highlight w:val="none"/>
          <w:lang w:eastAsia="zh-CN"/>
        </w:rPr>
        <w:t>评价</w:t>
      </w:r>
      <w:r>
        <w:rPr>
          <w:rFonts w:hint="default" w:ascii="仿宋" w:hAnsi="仿宋" w:eastAsia="仿宋" w:cs="仿宋"/>
          <w:color w:val="auto"/>
          <w:kern w:val="0"/>
          <w:sz w:val="30"/>
          <w:szCs w:val="30"/>
          <w:lang w:val="en-US" w:eastAsia="zh-CN"/>
        </w:rPr>
        <w:t>工作组根据评估情况，参照事前绩效评估报告模板，整理相关资料，充分征求各方意见，得出高新技术企业认定后补助奖励项目项目立项必要性充分、投入经济性科学、项目实施可行性强、绩效目标明确合理、筹资完全合规，从而形成高新技术企业认定后补助奖励项目项目预算绩效项目支出事前绩效评估报告及真实完整、数据准确、分析透彻、逻辑清晰、客观公正的评估“通过”结论。</w:t>
      </w:r>
    </w:p>
    <w:p w14:paraId="00BFCCFF">
      <w:pPr>
        <w:pStyle w:val="3"/>
        <w:pageBreakBefore w:val="0"/>
        <w:kinsoku/>
        <w:wordWrap/>
        <w:overflowPunct/>
        <w:topLinePunct w:val="0"/>
        <w:autoSpaceDE/>
        <w:autoSpaceDN/>
        <w:bidi w:val="0"/>
        <w:adjustRightInd/>
        <w:snapToGrid/>
        <w:spacing w:before="0" w:after="0" w:line="560" w:lineRule="exact"/>
        <w:ind w:firstLine="602"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三、综合评价情况及评价结论</w:t>
      </w:r>
      <w:bookmarkEnd w:id="6"/>
    </w:p>
    <w:p w14:paraId="0EC5C26E">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color w:val="auto"/>
          <w:sz w:val="30"/>
          <w:szCs w:val="30"/>
          <w:lang w:eastAsia="zh-CN"/>
        </w:rPr>
      </w:pPr>
      <w:bookmarkStart w:id="7" w:name="_Toc68703835"/>
      <w:r>
        <w:rPr>
          <w:rFonts w:hint="eastAsia" w:ascii="仿宋" w:hAnsi="仿宋" w:eastAsia="仿宋" w:cs="仿宋"/>
          <w:b w:val="0"/>
          <w:bCs w:val="0"/>
          <w:color w:val="auto"/>
          <w:sz w:val="30"/>
          <w:szCs w:val="30"/>
        </w:rPr>
        <w:t>（一）综合评价情况</w:t>
      </w:r>
      <w:bookmarkEnd w:id="7"/>
      <w:r>
        <w:rPr>
          <w:rFonts w:hint="eastAsia" w:ascii="仿宋" w:hAnsi="仿宋" w:eastAsia="仿宋" w:cs="仿宋"/>
          <w:b w:val="0"/>
          <w:bCs w:val="0"/>
          <w:color w:val="auto"/>
          <w:sz w:val="30"/>
          <w:szCs w:val="30"/>
          <w:lang w:eastAsia="zh-CN"/>
        </w:rPr>
        <w:t>及评价结论</w:t>
      </w:r>
    </w:p>
    <w:p w14:paraId="5476E44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kern w:val="28"/>
          <w:sz w:val="30"/>
          <w:szCs w:val="30"/>
          <w:lang w:val="en-US" w:eastAsia="zh-CN" w:bidi="ar-SA"/>
        </w:rPr>
      </w:pPr>
      <w:r>
        <w:rPr>
          <w:rFonts w:hint="eastAsia" w:ascii="仿宋" w:hAnsi="仿宋" w:eastAsia="仿宋" w:cs="仿宋"/>
          <w:b w:val="0"/>
          <w:bCs w:val="0"/>
          <w:color w:val="auto"/>
          <w:sz w:val="30"/>
          <w:szCs w:val="30"/>
          <w:lang w:val="en-US" w:eastAsia="zh-CN"/>
        </w:rPr>
        <w:t>1.</w:t>
      </w:r>
      <w:r>
        <w:rPr>
          <w:rFonts w:hint="eastAsia" w:ascii="仿宋" w:hAnsi="仿宋" w:eastAsia="仿宋" w:cs="仿宋"/>
          <w:b w:val="0"/>
          <w:bCs w:val="0"/>
          <w:color w:val="auto"/>
          <w:sz w:val="30"/>
          <w:szCs w:val="30"/>
        </w:rPr>
        <w:t>综合评价情况</w:t>
      </w:r>
      <w:r>
        <w:rPr>
          <w:rFonts w:hint="eastAsia" w:ascii="仿宋" w:hAnsi="仿宋" w:eastAsia="仿宋" w:cs="仿宋"/>
          <w:b w:val="0"/>
          <w:bCs w:val="0"/>
          <w:color w:val="auto"/>
          <w:sz w:val="30"/>
          <w:szCs w:val="30"/>
          <w:lang w:eastAsia="zh-CN"/>
        </w:rPr>
        <w:t>：</w:t>
      </w:r>
      <w:r>
        <w:rPr>
          <w:rFonts w:hint="eastAsia" w:ascii="仿宋" w:hAnsi="仿宋" w:eastAsia="仿宋" w:cs="仿宋"/>
          <w:b w:val="0"/>
          <w:bCs w:val="0"/>
          <w:color w:val="auto"/>
          <w:kern w:val="28"/>
          <w:sz w:val="30"/>
          <w:szCs w:val="30"/>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86F6A7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kern w:val="28"/>
          <w:sz w:val="30"/>
          <w:szCs w:val="30"/>
          <w:lang w:val="en-US" w:eastAsia="zh-CN" w:bidi="ar-SA"/>
        </w:rPr>
      </w:pPr>
      <w:r>
        <w:rPr>
          <w:rFonts w:hint="eastAsia" w:ascii="仿宋" w:hAnsi="仿宋" w:eastAsia="仿宋" w:cs="仿宋"/>
          <w:b w:val="0"/>
          <w:bCs w:val="0"/>
          <w:color w:val="auto"/>
          <w:kern w:val="28"/>
          <w:sz w:val="30"/>
          <w:szCs w:val="30"/>
          <w:lang w:val="en-US" w:eastAsia="zh-CN" w:bidi="ar-SA"/>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7EE2C543">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color w:val="auto"/>
          <w:sz w:val="30"/>
          <w:szCs w:val="30"/>
        </w:rPr>
      </w:pPr>
      <w:bookmarkStart w:id="8" w:name="_Toc68703836"/>
      <w:r>
        <w:rPr>
          <w:rFonts w:hint="eastAsia" w:ascii="仿宋" w:hAnsi="仿宋" w:eastAsia="仿宋" w:cs="仿宋"/>
          <w:b w:val="0"/>
          <w:bCs w:val="0"/>
          <w:color w:val="auto"/>
          <w:sz w:val="30"/>
          <w:szCs w:val="30"/>
          <w:lang w:val="en-US" w:eastAsia="zh-CN"/>
        </w:rPr>
        <w:t>2.</w:t>
      </w:r>
      <w:r>
        <w:rPr>
          <w:rFonts w:hint="eastAsia" w:ascii="仿宋" w:hAnsi="仿宋" w:eastAsia="仿宋" w:cs="仿宋"/>
          <w:b w:val="0"/>
          <w:bCs w:val="0"/>
          <w:color w:val="auto"/>
          <w:sz w:val="30"/>
          <w:szCs w:val="30"/>
        </w:rPr>
        <w:t>评价结论</w:t>
      </w:r>
      <w:bookmarkEnd w:id="8"/>
    </w:p>
    <w:p w14:paraId="193B40D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sz w:val="30"/>
          <w:szCs w:val="30"/>
          <w:highlight w:val="none"/>
        </w:rPr>
      </w:pPr>
      <w:r>
        <w:rPr>
          <w:rFonts w:hint="eastAsia" w:ascii="仿宋" w:hAnsi="仿宋" w:eastAsia="仿宋" w:cs="仿宋"/>
          <w:b w:val="0"/>
          <w:bCs w:val="0"/>
          <w:color w:val="auto"/>
          <w:sz w:val="30"/>
          <w:szCs w:val="3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仿宋" w:hAnsi="仿宋" w:eastAsia="仿宋" w:cs="仿宋"/>
          <w:b w:val="0"/>
          <w:bCs w:val="0"/>
          <w:color w:val="auto"/>
          <w:sz w:val="30"/>
          <w:szCs w:val="30"/>
          <w:highlight w:val="none"/>
        </w:rPr>
        <w:t xml:space="preserve">总得分为 </w:t>
      </w:r>
      <w:r>
        <w:rPr>
          <w:rFonts w:hint="eastAsia" w:ascii="仿宋" w:hAnsi="仿宋" w:eastAsia="仿宋" w:cs="仿宋"/>
          <w:b w:val="0"/>
          <w:bCs w:val="0"/>
          <w:color w:val="auto"/>
          <w:sz w:val="30"/>
          <w:szCs w:val="30"/>
          <w:highlight w:val="none"/>
          <w:lang w:val="en-US" w:eastAsia="zh-CN"/>
        </w:rPr>
        <w:t>100</w:t>
      </w:r>
      <w:r>
        <w:rPr>
          <w:rFonts w:hint="eastAsia" w:ascii="仿宋" w:hAnsi="仿宋" w:eastAsia="仿宋" w:cs="仿宋"/>
          <w:b w:val="0"/>
          <w:bCs w:val="0"/>
          <w:color w:val="auto"/>
          <w:sz w:val="30"/>
          <w:szCs w:val="30"/>
          <w:highlight w:val="none"/>
        </w:rPr>
        <w:t xml:space="preserve">分，属于“优”。其中，项目决策类指标权重为20分，得分为 </w:t>
      </w:r>
      <w:r>
        <w:rPr>
          <w:rFonts w:hint="eastAsia" w:ascii="仿宋" w:hAnsi="仿宋" w:eastAsia="仿宋" w:cs="仿宋"/>
          <w:b w:val="0"/>
          <w:bCs w:val="0"/>
          <w:color w:val="auto"/>
          <w:sz w:val="30"/>
          <w:szCs w:val="30"/>
          <w:highlight w:val="none"/>
          <w:lang w:val="en-US" w:eastAsia="zh-CN"/>
        </w:rPr>
        <w:t>20</w:t>
      </w:r>
      <w:r>
        <w:rPr>
          <w:rFonts w:hint="eastAsia" w:ascii="仿宋" w:hAnsi="仿宋" w:eastAsia="仿宋" w:cs="仿宋"/>
          <w:b w:val="0"/>
          <w:bCs w:val="0"/>
          <w:color w:val="auto"/>
          <w:sz w:val="30"/>
          <w:szCs w:val="30"/>
          <w:highlight w:val="none"/>
        </w:rPr>
        <w:t xml:space="preserve">分，得分率为 </w:t>
      </w:r>
      <w:r>
        <w:rPr>
          <w:rFonts w:hint="eastAsia" w:ascii="仿宋" w:hAnsi="仿宋" w:eastAsia="仿宋" w:cs="仿宋"/>
          <w:b w:val="0"/>
          <w:bCs w:val="0"/>
          <w:color w:val="auto"/>
          <w:sz w:val="30"/>
          <w:szCs w:val="30"/>
          <w:highlight w:val="none"/>
          <w:lang w:val="en-US" w:eastAsia="zh-CN"/>
        </w:rPr>
        <w:t>100</w:t>
      </w:r>
      <w:r>
        <w:rPr>
          <w:rFonts w:hint="eastAsia" w:ascii="仿宋" w:hAnsi="仿宋" w:eastAsia="仿宋" w:cs="仿宋"/>
          <w:b w:val="0"/>
          <w:bCs w:val="0"/>
          <w:color w:val="auto"/>
          <w:sz w:val="30"/>
          <w:szCs w:val="30"/>
          <w:highlight w:val="none"/>
        </w:rPr>
        <w:t>%。项目过程类指标权重为20分，得分为</w:t>
      </w:r>
      <w:r>
        <w:rPr>
          <w:rFonts w:hint="eastAsia" w:ascii="仿宋" w:hAnsi="仿宋" w:eastAsia="仿宋" w:cs="仿宋"/>
          <w:b w:val="0"/>
          <w:bCs w:val="0"/>
          <w:color w:val="auto"/>
          <w:sz w:val="30"/>
          <w:szCs w:val="30"/>
          <w:highlight w:val="none"/>
          <w:lang w:val="en-US" w:eastAsia="zh-CN"/>
        </w:rPr>
        <w:t>100</w:t>
      </w:r>
      <w:r>
        <w:rPr>
          <w:rFonts w:hint="eastAsia" w:ascii="仿宋" w:hAnsi="仿宋" w:eastAsia="仿宋" w:cs="仿宋"/>
          <w:b w:val="0"/>
          <w:bCs w:val="0"/>
          <w:color w:val="auto"/>
          <w:sz w:val="30"/>
          <w:szCs w:val="30"/>
          <w:highlight w:val="none"/>
        </w:rPr>
        <w:t xml:space="preserve">分，得分率为 </w:t>
      </w:r>
      <w:r>
        <w:rPr>
          <w:rFonts w:hint="eastAsia" w:ascii="仿宋" w:hAnsi="仿宋" w:eastAsia="仿宋" w:cs="仿宋"/>
          <w:b w:val="0"/>
          <w:bCs w:val="0"/>
          <w:color w:val="auto"/>
          <w:sz w:val="30"/>
          <w:szCs w:val="30"/>
          <w:highlight w:val="none"/>
          <w:lang w:val="en-US" w:eastAsia="zh-CN"/>
        </w:rPr>
        <w:t>100</w:t>
      </w:r>
      <w:r>
        <w:rPr>
          <w:rFonts w:hint="eastAsia" w:ascii="仿宋" w:hAnsi="仿宋" w:eastAsia="仿宋" w:cs="仿宋"/>
          <w:b w:val="0"/>
          <w:bCs w:val="0"/>
          <w:color w:val="auto"/>
          <w:sz w:val="30"/>
          <w:szCs w:val="30"/>
          <w:highlight w:val="none"/>
        </w:rPr>
        <w:t>%。项目产出类指标权重为40分，得分为</w:t>
      </w:r>
      <w:r>
        <w:rPr>
          <w:rFonts w:hint="eastAsia" w:ascii="仿宋" w:hAnsi="仿宋" w:eastAsia="仿宋" w:cs="仿宋"/>
          <w:b w:val="0"/>
          <w:bCs w:val="0"/>
          <w:color w:val="auto"/>
          <w:sz w:val="30"/>
          <w:szCs w:val="30"/>
          <w:highlight w:val="none"/>
          <w:lang w:val="en-US" w:eastAsia="zh-CN"/>
        </w:rPr>
        <w:t>40</w:t>
      </w:r>
      <w:r>
        <w:rPr>
          <w:rFonts w:hint="eastAsia" w:ascii="仿宋" w:hAnsi="仿宋" w:eastAsia="仿宋" w:cs="仿宋"/>
          <w:b w:val="0"/>
          <w:bCs w:val="0"/>
          <w:color w:val="auto"/>
          <w:sz w:val="30"/>
          <w:szCs w:val="30"/>
          <w:highlight w:val="none"/>
        </w:rPr>
        <w:t xml:space="preserve">分，得分率为 </w:t>
      </w:r>
      <w:r>
        <w:rPr>
          <w:rFonts w:hint="eastAsia" w:ascii="仿宋" w:hAnsi="仿宋" w:eastAsia="仿宋" w:cs="仿宋"/>
          <w:b w:val="0"/>
          <w:bCs w:val="0"/>
          <w:color w:val="auto"/>
          <w:sz w:val="30"/>
          <w:szCs w:val="30"/>
          <w:highlight w:val="none"/>
          <w:lang w:val="en-US" w:eastAsia="zh-CN"/>
        </w:rPr>
        <w:t>100</w:t>
      </w:r>
      <w:r>
        <w:rPr>
          <w:rFonts w:hint="eastAsia" w:ascii="仿宋" w:hAnsi="仿宋" w:eastAsia="仿宋" w:cs="仿宋"/>
          <w:b w:val="0"/>
          <w:bCs w:val="0"/>
          <w:color w:val="auto"/>
          <w:sz w:val="30"/>
          <w:szCs w:val="30"/>
          <w:highlight w:val="none"/>
        </w:rPr>
        <w:t>%。项目效益类指标权重为20分，得分为</w:t>
      </w:r>
      <w:r>
        <w:rPr>
          <w:rFonts w:hint="eastAsia" w:ascii="仿宋" w:hAnsi="仿宋" w:eastAsia="仿宋" w:cs="仿宋"/>
          <w:b w:val="0"/>
          <w:bCs w:val="0"/>
          <w:color w:val="auto"/>
          <w:sz w:val="30"/>
          <w:szCs w:val="30"/>
          <w:highlight w:val="none"/>
          <w:lang w:val="en-US" w:eastAsia="zh-CN"/>
        </w:rPr>
        <w:t>20</w:t>
      </w:r>
      <w:r>
        <w:rPr>
          <w:rFonts w:hint="eastAsia" w:ascii="仿宋" w:hAnsi="仿宋" w:eastAsia="仿宋" w:cs="仿宋"/>
          <w:b w:val="0"/>
          <w:bCs w:val="0"/>
          <w:color w:val="auto"/>
          <w:sz w:val="30"/>
          <w:szCs w:val="30"/>
          <w:highlight w:val="none"/>
        </w:rPr>
        <w:t>分，得分率为</w:t>
      </w:r>
      <w:r>
        <w:rPr>
          <w:rFonts w:hint="eastAsia" w:ascii="仿宋" w:hAnsi="仿宋" w:eastAsia="仿宋" w:cs="仿宋"/>
          <w:b w:val="0"/>
          <w:bCs w:val="0"/>
          <w:color w:val="auto"/>
          <w:sz w:val="30"/>
          <w:szCs w:val="30"/>
          <w:highlight w:val="none"/>
          <w:lang w:val="en-US" w:eastAsia="zh-CN"/>
        </w:rPr>
        <w:t>100</w:t>
      </w:r>
      <w:r>
        <w:rPr>
          <w:rFonts w:hint="eastAsia" w:ascii="仿宋" w:hAnsi="仿宋" w:eastAsia="仿宋" w:cs="仿宋"/>
          <w:b w:val="0"/>
          <w:bCs w:val="0"/>
          <w:color w:val="auto"/>
          <w:sz w:val="30"/>
          <w:szCs w:val="30"/>
          <w:highlight w:val="none"/>
        </w:rPr>
        <w:t>%。</w:t>
      </w:r>
    </w:p>
    <w:p w14:paraId="67CA726A">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color w:val="auto"/>
          <w:sz w:val="30"/>
          <w:szCs w:val="30"/>
          <w:highlight w:val="none"/>
          <w:lang w:eastAsia="zh-CN"/>
        </w:rPr>
      </w:pPr>
      <w:r>
        <w:rPr>
          <w:rFonts w:hint="eastAsia" w:ascii="仿宋" w:hAnsi="仿宋" w:eastAsia="仿宋" w:cs="仿宋"/>
          <w:b w:val="0"/>
          <w:bCs w:val="0"/>
          <w:color w:val="auto"/>
          <w:sz w:val="30"/>
          <w:szCs w:val="30"/>
          <w:highlight w:val="none"/>
        </w:rPr>
        <w:t>（</w:t>
      </w:r>
      <w:r>
        <w:rPr>
          <w:rFonts w:hint="eastAsia" w:ascii="仿宋" w:hAnsi="仿宋" w:eastAsia="仿宋" w:cs="仿宋"/>
          <w:b w:val="0"/>
          <w:bCs w:val="0"/>
          <w:color w:val="auto"/>
          <w:sz w:val="30"/>
          <w:szCs w:val="30"/>
          <w:highlight w:val="none"/>
          <w:lang w:eastAsia="zh-CN"/>
        </w:rPr>
        <w:t>二</w:t>
      </w:r>
      <w:r>
        <w:rPr>
          <w:rFonts w:hint="eastAsia" w:ascii="仿宋" w:hAnsi="仿宋" w:eastAsia="仿宋" w:cs="仿宋"/>
          <w:b w:val="0"/>
          <w:bCs w:val="0"/>
          <w:color w:val="auto"/>
          <w:sz w:val="30"/>
          <w:szCs w:val="30"/>
          <w:highlight w:val="none"/>
        </w:rPr>
        <w:t>）</w:t>
      </w:r>
      <w:r>
        <w:rPr>
          <w:rFonts w:hint="eastAsia" w:ascii="仿宋" w:hAnsi="仿宋" w:eastAsia="仿宋" w:cs="仿宋"/>
          <w:b w:val="0"/>
          <w:bCs w:val="0"/>
          <w:color w:val="auto"/>
          <w:sz w:val="30"/>
          <w:szCs w:val="30"/>
          <w:highlight w:val="none"/>
          <w:lang w:eastAsia="zh-CN"/>
        </w:rPr>
        <w:t>相关评分表</w:t>
      </w:r>
    </w:p>
    <w:p w14:paraId="6B9A112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sz w:val="30"/>
          <w:szCs w:val="30"/>
          <w:highlight w:val="none"/>
          <w:lang w:eastAsia="zh-CN"/>
        </w:rPr>
      </w:pPr>
      <w:r>
        <w:rPr>
          <w:rFonts w:hint="eastAsia" w:ascii="仿宋" w:hAnsi="仿宋" w:eastAsia="仿宋" w:cs="仿宋"/>
          <w:b w:val="0"/>
          <w:bCs w:val="0"/>
          <w:color w:val="auto"/>
          <w:sz w:val="30"/>
          <w:szCs w:val="30"/>
          <w:highlight w:val="none"/>
        </w:rPr>
        <w:t>具体打分情况详见：附件1综合评分表</w:t>
      </w:r>
      <w:r>
        <w:rPr>
          <w:rFonts w:hint="eastAsia" w:ascii="仿宋" w:hAnsi="仿宋" w:eastAsia="仿宋" w:cs="仿宋"/>
          <w:b w:val="0"/>
          <w:bCs w:val="0"/>
          <w:color w:val="auto"/>
          <w:sz w:val="30"/>
          <w:szCs w:val="30"/>
          <w:highlight w:val="none"/>
          <w:lang w:eastAsia="zh-CN"/>
        </w:rPr>
        <w:t>。</w:t>
      </w:r>
    </w:p>
    <w:p w14:paraId="22B241F0">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highlight w:val="none"/>
          <w:u w:val="none"/>
        </w:rPr>
        <w:t>高新技术企业认定后补助奖励项目</w:t>
      </w:r>
      <w:r>
        <w:rPr>
          <w:rFonts w:hint="eastAsia" w:ascii="仿宋" w:hAnsi="仿宋" w:eastAsia="仿宋" w:cs="仿宋"/>
          <w:color w:val="auto"/>
          <w:sz w:val="30"/>
          <w:szCs w:val="30"/>
        </w:rPr>
        <w:t>评价得分情况</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664636B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2A20453">
            <w:pPr>
              <w:pageBreakBefore w:val="0"/>
              <w:kinsoku/>
              <w:wordWrap/>
              <w:overflowPunct/>
              <w:topLinePunct w:val="0"/>
              <w:autoSpaceDE/>
              <w:autoSpaceDN/>
              <w:bidi w:val="0"/>
              <w:adjustRightInd/>
              <w:snapToGrid/>
              <w:spacing w:line="560" w:lineRule="exact"/>
              <w:ind w:firstLine="602" w:firstLineChars="200"/>
              <w:jc w:val="center"/>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9F71753">
            <w:pPr>
              <w:pageBreakBefore w:val="0"/>
              <w:kinsoku/>
              <w:wordWrap/>
              <w:overflowPunct/>
              <w:topLinePunct w:val="0"/>
              <w:autoSpaceDE/>
              <w:autoSpaceDN/>
              <w:bidi w:val="0"/>
              <w:adjustRightInd/>
              <w:snapToGrid/>
              <w:spacing w:line="560" w:lineRule="exact"/>
              <w:ind w:firstLine="602" w:firstLineChars="200"/>
              <w:jc w:val="center"/>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05DC69D">
            <w:pPr>
              <w:pageBreakBefore w:val="0"/>
              <w:kinsoku/>
              <w:wordWrap/>
              <w:overflowPunct/>
              <w:topLinePunct w:val="0"/>
              <w:autoSpaceDE/>
              <w:autoSpaceDN/>
              <w:bidi w:val="0"/>
              <w:adjustRightInd/>
              <w:snapToGrid/>
              <w:spacing w:line="560" w:lineRule="exact"/>
              <w:ind w:firstLine="602" w:firstLineChars="200"/>
              <w:jc w:val="center"/>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得分</w:t>
            </w:r>
          </w:p>
        </w:tc>
      </w:tr>
      <w:tr w14:paraId="0D7706B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649347C">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项目决策</w:t>
            </w:r>
          </w:p>
        </w:tc>
        <w:tc>
          <w:tcPr>
            <w:tcW w:w="2168" w:type="dxa"/>
            <w:tcBorders>
              <w:top w:val="nil"/>
              <w:left w:val="nil"/>
              <w:bottom w:val="single" w:color="auto" w:sz="4" w:space="0"/>
              <w:right w:val="single" w:color="auto" w:sz="4" w:space="0"/>
            </w:tcBorders>
            <w:shd w:val="clear" w:color="auto" w:fill="auto"/>
            <w:vAlign w:val="center"/>
          </w:tcPr>
          <w:p w14:paraId="20A07556">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555EC64">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w:t>
            </w:r>
          </w:p>
        </w:tc>
      </w:tr>
      <w:tr w14:paraId="3C362A4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CD47E31">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项目过程</w:t>
            </w:r>
          </w:p>
        </w:tc>
        <w:tc>
          <w:tcPr>
            <w:tcW w:w="2168" w:type="dxa"/>
            <w:tcBorders>
              <w:top w:val="nil"/>
              <w:left w:val="nil"/>
              <w:bottom w:val="single" w:color="auto" w:sz="4" w:space="0"/>
              <w:right w:val="single" w:color="auto" w:sz="4" w:space="0"/>
            </w:tcBorders>
            <w:shd w:val="clear" w:color="auto" w:fill="auto"/>
            <w:vAlign w:val="center"/>
          </w:tcPr>
          <w:p w14:paraId="0B2148AE">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7B698AC">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w:t>
            </w:r>
          </w:p>
        </w:tc>
      </w:tr>
      <w:tr w14:paraId="4C31D03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E434083">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项目产出</w:t>
            </w:r>
          </w:p>
        </w:tc>
        <w:tc>
          <w:tcPr>
            <w:tcW w:w="2168" w:type="dxa"/>
            <w:tcBorders>
              <w:top w:val="nil"/>
              <w:left w:val="nil"/>
              <w:bottom w:val="single" w:color="auto" w:sz="4" w:space="0"/>
              <w:right w:val="single" w:color="auto" w:sz="4" w:space="0"/>
            </w:tcBorders>
            <w:shd w:val="clear" w:color="auto" w:fill="auto"/>
            <w:vAlign w:val="center"/>
          </w:tcPr>
          <w:p w14:paraId="690A3178">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379651F">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40</w:t>
            </w:r>
          </w:p>
        </w:tc>
      </w:tr>
      <w:tr w14:paraId="6E9F9FC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E50A419">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项目效益</w:t>
            </w:r>
          </w:p>
        </w:tc>
        <w:tc>
          <w:tcPr>
            <w:tcW w:w="2168" w:type="dxa"/>
            <w:tcBorders>
              <w:top w:val="nil"/>
              <w:left w:val="nil"/>
              <w:bottom w:val="single" w:color="auto" w:sz="4" w:space="0"/>
              <w:right w:val="single" w:color="auto" w:sz="4" w:space="0"/>
            </w:tcBorders>
            <w:shd w:val="clear" w:color="auto" w:fill="auto"/>
            <w:vAlign w:val="center"/>
          </w:tcPr>
          <w:p w14:paraId="7924A485">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9ED34CC">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20</w:t>
            </w:r>
          </w:p>
        </w:tc>
      </w:tr>
      <w:tr w14:paraId="79A1A4A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8C74713">
            <w:pPr>
              <w:pageBreakBefore w:val="0"/>
              <w:kinsoku/>
              <w:wordWrap/>
              <w:overflowPunct/>
              <w:topLinePunct w:val="0"/>
              <w:autoSpaceDE/>
              <w:autoSpaceDN/>
              <w:bidi w:val="0"/>
              <w:adjustRightInd/>
              <w:snapToGrid/>
              <w:spacing w:line="560" w:lineRule="exact"/>
              <w:ind w:firstLine="602" w:firstLineChars="200"/>
              <w:jc w:val="center"/>
              <w:textAlignment w:val="auto"/>
              <w:rPr>
                <w:rFonts w:hint="eastAsia" w:ascii="仿宋" w:hAnsi="仿宋" w:eastAsia="仿宋" w:cs="仿宋"/>
                <w:b/>
                <w:bCs/>
                <w:color w:val="auto"/>
                <w:sz w:val="30"/>
                <w:szCs w:val="30"/>
              </w:rPr>
            </w:pPr>
            <w:r>
              <w:rPr>
                <w:rFonts w:hint="eastAsia" w:ascii="仿宋" w:hAnsi="仿宋" w:eastAsia="仿宋" w:cs="仿宋"/>
                <w:b/>
                <w:bCs/>
                <w:color w:val="auto"/>
                <w:sz w:val="30"/>
                <w:szCs w:val="30"/>
              </w:rPr>
              <w:t>合计</w:t>
            </w:r>
          </w:p>
        </w:tc>
        <w:tc>
          <w:tcPr>
            <w:tcW w:w="2168" w:type="dxa"/>
            <w:tcBorders>
              <w:top w:val="nil"/>
              <w:left w:val="nil"/>
              <w:bottom w:val="single" w:color="auto" w:sz="4" w:space="0"/>
              <w:right w:val="single" w:color="auto" w:sz="4" w:space="0"/>
            </w:tcBorders>
            <w:shd w:val="clear" w:color="auto" w:fill="auto"/>
            <w:vAlign w:val="center"/>
          </w:tcPr>
          <w:p w14:paraId="1542742D">
            <w:pPr>
              <w:pageBreakBefore w:val="0"/>
              <w:kinsoku/>
              <w:wordWrap/>
              <w:overflowPunct/>
              <w:topLinePunct w:val="0"/>
              <w:autoSpaceDE/>
              <w:autoSpaceDN/>
              <w:bidi w:val="0"/>
              <w:adjustRightInd/>
              <w:snapToGrid/>
              <w:spacing w:line="560" w:lineRule="exact"/>
              <w:ind w:firstLine="602" w:firstLineChars="200"/>
              <w:jc w:val="center"/>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80A0B4B">
            <w:pPr>
              <w:pageBreakBefore w:val="0"/>
              <w:kinsoku/>
              <w:wordWrap/>
              <w:overflowPunct/>
              <w:topLinePunct w:val="0"/>
              <w:autoSpaceDE/>
              <w:autoSpaceDN/>
              <w:bidi w:val="0"/>
              <w:adjustRightInd/>
              <w:snapToGrid/>
              <w:spacing w:line="560" w:lineRule="exact"/>
              <w:ind w:firstLine="602" w:firstLineChars="200"/>
              <w:jc w:val="center"/>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100</w:t>
            </w:r>
          </w:p>
        </w:tc>
      </w:tr>
    </w:tbl>
    <w:p w14:paraId="1569E7EA">
      <w:pPr>
        <w:pStyle w:val="2"/>
        <w:pageBreakBefore w:val="0"/>
        <w:kinsoku/>
        <w:wordWrap/>
        <w:overflowPunct/>
        <w:topLinePunct w:val="0"/>
        <w:autoSpaceDE/>
        <w:autoSpaceDN/>
        <w:bidi w:val="0"/>
        <w:adjustRightInd/>
        <w:snapToGrid/>
        <w:spacing w:before="0" w:after="0" w:line="560" w:lineRule="exact"/>
        <w:ind w:firstLine="602" w:firstLineChars="200"/>
        <w:textAlignment w:val="auto"/>
        <w:rPr>
          <w:rFonts w:hint="eastAsia" w:ascii="仿宋" w:hAnsi="仿宋" w:eastAsia="仿宋" w:cs="仿宋"/>
          <w:color w:val="auto"/>
          <w:sz w:val="30"/>
          <w:szCs w:val="30"/>
        </w:rPr>
      </w:pPr>
    </w:p>
    <w:p w14:paraId="0B47FB89">
      <w:pPr>
        <w:pStyle w:val="3"/>
        <w:pageBreakBefore w:val="0"/>
        <w:kinsoku/>
        <w:wordWrap/>
        <w:overflowPunct/>
        <w:topLinePunct w:val="0"/>
        <w:autoSpaceDE/>
        <w:autoSpaceDN/>
        <w:bidi w:val="0"/>
        <w:adjustRightInd/>
        <w:snapToGrid/>
        <w:spacing w:before="0" w:after="0" w:line="560" w:lineRule="exact"/>
        <w:ind w:firstLine="602" w:firstLineChars="200"/>
        <w:textAlignment w:val="auto"/>
        <w:rPr>
          <w:rFonts w:hint="eastAsia" w:ascii="仿宋" w:hAnsi="仿宋" w:eastAsia="仿宋" w:cs="仿宋"/>
          <w:color w:val="auto"/>
          <w:sz w:val="30"/>
          <w:szCs w:val="30"/>
          <w:highlight w:val="none"/>
        </w:rPr>
      </w:pPr>
      <w:bookmarkStart w:id="9" w:name="_Toc68703837"/>
      <w:r>
        <w:rPr>
          <w:rFonts w:hint="eastAsia" w:ascii="仿宋" w:hAnsi="仿宋" w:eastAsia="仿宋" w:cs="仿宋"/>
          <w:color w:val="auto"/>
          <w:sz w:val="30"/>
          <w:szCs w:val="30"/>
          <w:highlight w:val="none"/>
        </w:rPr>
        <w:t>四、绩效评价指标分析</w:t>
      </w:r>
      <w:bookmarkEnd w:id="9"/>
    </w:p>
    <w:p w14:paraId="469A7BF6">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color w:val="auto"/>
          <w:sz w:val="30"/>
          <w:szCs w:val="30"/>
        </w:rPr>
      </w:pPr>
      <w:bookmarkStart w:id="10" w:name="_Toc68703838"/>
      <w:r>
        <w:rPr>
          <w:rFonts w:hint="eastAsia" w:ascii="仿宋" w:hAnsi="仿宋" w:eastAsia="仿宋" w:cs="仿宋"/>
          <w:b w:val="0"/>
          <w:bCs w:val="0"/>
          <w:color w:val="auto"/>
          <w:sz w:val="30"/>
          <w:szCs w:val="30"/>
        </w:rPr>
        <w:t>（一）项目决策情况。</w:t>
      </w:r>
      <w:bookmarkEnd w:id="10"/>
    </w:p>
    <w:p w14:paraId="6E309BD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立项依据充分性</w:t>
      </w:r>
    </w:p>
    <w:p w14:paraId="3512DBC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sz w:val="30"/>
          <w:szCs w:val="30"/>
          <w:highlight w:val="none"/>
        </w:rPr>
      </w:pPr>
      <w:r>
        <w:rPr>
          <w:rFonts w:hint="eastAsia" w:ascii="仿宋" w:hAnsi="仿宋" w:eastAsia="仿宋" w:cs="仿宋"/>
          <w:b w:val="0"/>
          <w:bCs w:val="0"/>
          <w:color w:val="auto"/>
          <w:sz w:val="30"/>
          <w:szCs w:val="30"/>
          <w:highlight w:val="none"/>
        </w:rPr>
        <w:t>项目立项依据</w:t>
      </w:r>
      <w:r>
        <w:rPr>
          <w:rFonts w:hint="eastAsia" w:ascii="仿宋" w:hAnsi="仿宋" w:eastAsia="仿宋" w:cs="仿宋"/>
          <w:b w:val="0"/>
          <w:bCs w:val="0"/>
          <w:color w:val="auto"/>
          <w:sz w:val="30"/>
          <w:szCs w:val="30"/>
          <w:highlight w:val="none"/>
          <w:lang w:val="en-US" w:eastAsia="zh-CN"/>
        </w:rPr>
        <w:t>《巴音郭楞蒙古自治州科技创新“十四五”规划》</w:t>
      </w:r>
      <w:r>
        <w:rPr>
          <w:rFonts w:hint="eastAsia"/>
          <w:color w:val="auto"/>
          <w:highlight w:val="none"/>
        </w:rPr>
        <w:t>符合国家法律法规</w:t>
      </w:r>
      <w:r>
        <w:rPr>
          <w:rFonts w:hint="eastAsia"/>
          <w:color w:val="auto"/>
          <w:highlight w:val="none"/>
          <w:lang w:eastAsia="zh-CN"/>
        </w:rPr>
        <w:t>、</w:t>
      </w:r>
      <w:r>
        <w:rPr>
          <w:rFonts w:hint="eastAsia"/>
          <w:color w:val="auto"/>
          <w:highlight w:val="none"/>
        </w:rPr>
        <w:t>发展规划和相关政策；符合行业发展规划和政策要求；</w:t>
      </w:r>
      <w:r>
        <w:rPr>
          <w:rFonts w:hint="eastAsia" w:ascii="仿宋" w:hAnsi="仿宋" w:eastAsia="仿宋" w:cs="仿宋"/>
          <w:b w:val="0"/>
          <w:bCs w:val="0"/>
          <w:color w:val="auto"/>
          <w:sz w:val="30"/>
          <w:szCs w:val="30"/>
          <w:highlight w:val="none"/>
          <w:lang w:val="en-US" w:eastAsia="zh-CN"/>
        </w:rPr>
        <w:t>《关于印发新疆维吾尔自治区高新技术企业发展专项资金管理办法 (暂行 )》的通知新财规【2022】 2号属于财政支持范围，符合中央、地方事权支出责任划分原则；与相关部门同类项目或部门内部相关项目不存在重复。</w:t>
      </w:r>
    </w:p>
    <w:p w14:paraId="4C8BF093">
      <w:pPr>
        <w:pStyle w:val="2"/>
        <w:ind w:firstLine="600" w:firstLineChars="200"/>
        <w:jc w:val="left"/>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此项权重分3分，得分3分。</w:t>
      </w:r>
    </w:p>
    <w:p w14:paraId="045FBA5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立项程序规范性</w:t>
      </w:r>
    </w:p>
    <w:p w14:paraId="625A2A6A">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 w:hAnsi="仿宋" w:eastAsia="仿宋" w:cs="仿宋"/>
          <w:b w:val="0"/>
          <w:bCs w:val="0"/>
          <w:color w:val="auto"/>
          <w:sz w:val="30"/>
          <w:szCs w:val="30"/>
          <w:highlight w:val="none"/>
          <w:lang w:val="en-US" w:eastAsia="zh-CN"/>
        </w:rPr>
      </w:pPr>
      <w:r>
        <w:rPr>
          <w:rFonts w:hint="eastAsia" w:ascii="仿宋" w:hAnsi="仿宋" w:eastAsia="仿宋" w:cs="仿宋"/>
          <w:b w:val="0"/>
          <w:bCs w:val="0"/>
          <w:color w:val="auto"/>
          <w:sz w:val="30"/>
          <w:szCs w:val="30"/>
          <w:highlight w:val="none"/>
          <w:lang w:val="en-US" w:eastAsia="zh-CN"/>
        </w:rPr>
        <w:t>项目申请、设立过程符合《关于印发新疆维吾尔自治区高新技术企业发展专项资金管理办法 (暂行 )》的通知新财规【2022】 2号文件要求，</w:t>
      </w:r>
      <w:r>
        <w:rPr>
          <w:rFonts w:hint="eastAsia" w:ascii="仿宋" w:hAnsi="仿宋" w:eastAsia="仿宋" w:cs="仿宋"/>
          <w:b w:val="0"/>
          <w:bCs w:val="0"/>
          <w:color w:val="auto"/>
          <w:sz w:val="30"/>
          <w:szCs w:val="30"/>
          <w:highlight w:val="none"/>
          <w:lang w:val="en-US" w:eastAsia="zh-Hans"/>
        </w:rPr>
        <w:t>严格按照审批流程准备符合要求的文件、材料；</w:t>
      </w:r>
      <w:r>
        <w:rPr>
          <w:rFonts w:hint="eastAsia" w:ascii="仿宋" w:hAnsi="仿宋" w:eastAsia="仿宋" w:cs="仿宋"/>
          <w:b w:val="0"/>
          <w:bCs w:val="0"/>
          <w:color w:val="auto"/>
          <w:sz w:val="30"/>
          <w:szCs w:val="30"/>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9EA5FF8">
      <w:pPr>
        <w:pStyle w:val="2"/>
        <w:ind w:firstLine="600" w:firstLineChars="200"/>
        <w:jc w:val="left"/>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此项权重分3分，得分3分。</w:t>
      </w:r>
    </w:p>
    <w:p w14:paraId="33A5B80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3</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绩效目标合理性</w:t>
      </w:r>
    </w:p>
    <w:p w14:paraId="248E4607">
      <w:pPr>
        <w:keepNext w:val="0"/>
        <w:keepLines w:val="0"/>
        <w:widowControl/>
        <w:suppressLineNumbers w:val="0"/>
        <w:ind w:firstLine="600" w:firstLineChars="200"/>
        <w:jc w:val="left"/>
        <w:rPr>
          <w:rFonts w:hint="eastAsia" w:ascii="仿宋" w:hAnsi="仿宋" w:eastAsia="仿宋" w:cs="仿宋"/>
          <w:b w:val="0"/>
          <w:bCs w:val="0"/>
          <w:color w:val="auto"/>
          <w:kern w:val="28"/>
          <w:sz w:val="30"/>
          <w:szCs w:val="30"/>
          <w:lang w:val="en-US" w:eastAsia="zh-CN" w:bidi="ar-SA"/>
        </w:rPr>
      </w:pPr>
      <w:r>
        <w:rPr>
          <w:rFonts w:hint="eastAsia" w:ascii="仿宋" w:hAnsi="仿宋" w:eastAsia="仿宋" w:cs="仿宋"/>
          <w:b w:val="0"/>
          <w:bCs w:val="0"/>
          <w:color w:val="auto"/>
          <w:kern w:val="28"/>
          <w:sz w:val="30"/>
          <w:szCs w:val="30"/>
          <w:lang w:val="en-US" w:eastAsia="zh-CN" w:bidi="ar-SA"/>
        </w:rPr>
        <w:t>高新技术企业认定后补助奖励项目项目设立了项目绩效目标，与</w:t>
      </w:r>
      <w:r>
        <w:rPr>
          <w:rFonts w:hint="eastAsia" w:ascii="仿宋" w:hAnsi="仿宋" w:eastAsia="仿宋" w:cs="仿宋"/>
          <w:color w:val="auto"/>
          <w:sz w:val="30"/>
          <w:szCs w:val="30"/>
          <w:highlight w:val="none"/>
        </w:rPr>
        <w:t>落实自治州第十一届党委第94次常委会会议纪要中“兑现高新技术企业奖励政策，由州科技局提出2022年、2023年州级层面高新技术企业奖励方案，足额兑现奖励；分年度提出2022年之前州级层面高新技术企业奖励方案</w:t>
      </w:r>
      <w:r>
        <w:rPr>
          <w:rFonts w:hint="eastAsia" w:ascii="仿宋" w:hAnsi="仿宋" w:eastAsia="仿宋" w:cs="仿宋"/>
          <w:b w:val="0"/>
          <w:bCs w:val="0"/>
          <w:color w:val="auto"/>
          <w:kern w:val="28"/>
          <w:sz w:val="30"/>
          <w:szCs w:val="30"/>
          <w:lang w:val="en-US" w:eastAsia="zh-CN" w:bidi="ar-SA"/>
        </w:rPr>
        <w:t>，项目的预期产出效益和效果也均能符合正常的业绩水平，并且与预算确定的项目投资额或资金量相匹配。</w:t>
      </w:r>
    </w:p>
    <w:p w14:paraId="02EEA1A9">
      <w:pPr>
        <w:pStyle w:val="2"/>
        <w:ind w:firstLine="600" w:firstLineChars="200"/>
        <w:jc w:val="left"/>
        <w:rPr>
          <w:rFonts w:hint="eastAsia" w:ascii="仿宋" w:hAnsi="仿宋" w:eastAsia="仿宋" w:cs="仿宋"/>
          <w:color w:val="auto"/>
          <w:sz w:val="30"/>
          <w:szCs w:val="30"/>
        </w:rPr>
      </w:pPr>
      <w:r>
        <w:rPr>
          <w:rFonts w:hint="eastAsia" w:ascii="仿宋" w:hAnsi="仿宋" w:eastAsia="仿宋" w:cs="仿宋"/>
          <w:b w:val="0"/>
          <w:bCs w:val="0"/>
          <w:color w:val="auto"/>
          <w:kern w:val="2"/>
          <w:sz w:val="30"/>
          <w:szCs w:val="30"/>
          <w:lang w:val="en-US" w:eastAsia="zh-CN" w:bidi="ar-SA"/>
        </w:rPr>
        <w:t>此项权重分3分，得分3分。</w:t>
      </w:r>
    </w:p>
    <w:p w14:paraId="10A1B80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4</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绩效指标明确性</w:t>
      </w:r>
    </w:p>
    <w:p w14:paraId="7CFBCD4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rPr>
      </w:pPr>
      <w:bookmarkStart w:id="11" w:name="_Hlk68699917"/>
      <w:r>
        <w:rPr>
          <w:rFonts w:hint="eastAsia" w:ascii="仿宋" w:hAnsi="仿宋" w:eastAsia="仿宋" w:cs="仿宋"/>
          <w:color w:val="auto"/>
          <w:sz w:val="30"/>
          <w:szCs w:val="30"/>
          <w:highlight w:val="none"/>
          <w:u w:val="none"/>
        </w:rPr>
        <w:t>高新技术企业认定后补助奖励项目</w:t>
      </w:r>
      <w:r>
        <w:rPr>
          <w:rFonts w:hint="eastAsia" w:ascii="仿宋" w:hAnsi="仿宋" w:eastAsia="仿宋" w:cs="仿宋"/>
          <w:color w:val="auto"/>
          <w:sz w:val="30"/>
          <w:szCs w:val="30"/>
        </w:rPr>
        <w:t>将项目绩效目标细化分解为具体的绩效指标，一级指标共</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条，二级指标共</w:t>
      </w:r>
      <w:r>
        <w:rPr>
          <w:rFonts w:hint="eastAsia" w:ascii="仿宋" w:hAnsi="仿宋" w:eastAsia="仿宋" w:cs="仿宋"/>
          <w:color w:val="auto"/>
          <w:sz w:val="30"/>
          <w:szCs w:val="30"/>
          <w:lang w:val="en-US" w:eastAsia="zh-CN"/>
        </w:rPr>
        <w:t>11</w:t>
      </w:r>
      <w:r>
        <w:rPr>
          <w:rFonts w:hint="eastAsia" w:ascii="仿宋" w:hAnsi="仿宋" w:eastAsia="仿宋" w:cs="仿宋"/>
          <w:color w:val="auto"/>
          <w:sz w:val="30"/>
          <w:szCs w:val="30"/>
        </w:rPr>
        <w:t>条，三级指标共</w:t>
      </w:r>
      <w:r>
        <w:rPr>
          <w:rFonts w:hint="eastAsia" w:ascii="仿宋" w:hAnsi="仿宋" w:eastAsia="仿宋" w:cs="仿宋"/>
          <w:color w:val="auto"/>
          <w:sz w:val="30"/>
          <w:szCs w:val="30"/>
          <w:lang w:val="en-US" w:eastAsia="zh-CN"/>
        </w:rPr>
        <w:t>7</w:t>
      </w:r>
      <w:r>
        <w:rPr>
          <w:rFonts w:hint="eastAsia" w:ascii="仿宋" w:hAnsi="仿宋" w:eastAsia="仿宋" w:cs="仿宋"/>
          <w:color w:val="auto"/>
          <w:sz w:val="30"/>
          <w:szCs w:val="30"/>
        </w:rPr>
        <w:t>条，所有绩效指标均通过清晰、可衡量的指标值予以体现，并且做到了与项目目标任务数或计划数相对应。</w:t>
      </w:r>
      <w:bookmarkEnd w:id="11"/>
    </w:p>
    <w:p w14:paraId="7BF16CEB">
      <w:pPr>
        <w:pStyle w:val="2"/>
        <w:ind w:firstLine="600" w:firstLineChars="200"/>
        <w:jc w:val="left"/>
        <w:rPr>
          <w:rFonts w:hint="eastAsia" w:ascii="仿宋" w:hAnsi="仿宋" w:eastAsia="仿宋" w:cs="仿宋"/>
          <w:color w:val="auto"/>
          <w:sz w:val="30"/>
          <w:szCs w:val="30"/>
        </w:rPr>
      </w:pPr>
      <w:r>
        <w:rPr>
          <w:rFonts w:hint="eastAsia" w:ascii="仿宋" w:hAnsi="仿宋" w:eastAsia="仿宋" w:cs="仿宋"/>
          <w:b w:val="0"/>
          <w:bCs w:val="0"/>
          <w:color w:val="auto"/>
          <w:kern w:val="2"/>
          <w:sz w:val="30"/>
          <w:szCs w:val="30"/>
          <w:lang w:val="en-US" w:eastAsia="zh-CN" w:bidi="ar-SA"/>
        </w:rPr>
        <w:t>此项权重分3分，得分3分。</w:t>
      </w:r>
    </w:p>
    <w:p w14:paraId="6274B92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5</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预算编制科学性</w:t>
      </w:r>
    </w:p>
    <w:p w14:paraId="5E7BBA6F">
      <w:pPr>
        <w:pStyle w:val="14"/>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本项目</w:t>
      </w:r>
      <w:r>
        <w:rPr>
          <w:rFonts w:hint="eastAsia" w:ascii="仿宋" w:hAnsi="仿宋" w:eastAsia="仿宋" w:cs="仿宋"/>
          <w:color w:val="auto"/>
          <w:sz w:val="30"/>
          <w:szCs w:val="30"/>
        </w:rPr>
        <w:t>预算编制是经过科学论证</w:t>
      </w:r>
      <w:r>
        <w:rPr>
          <w:rFonts w:hint="eastAsia" w:ascii="仿宋" w:hAnsi="仿宋" w:eastAsia="仿宋" w:cs="仿宋"/>
          <w:color w:val="auto"/>
          <w:sz w:val="30"/>
          <w:szCs w:val="30"/>
          <w:lang w:eastAsia="zh-CN"/>
        </w:rPr>
        <w:t>，与项目实施内容相匹配，按照预算额度科学测算、严格按照标准编制而成的。本项目路径存在、目标存在、路径合理、目标合理，按照预算编制标准编制，预算确定的项目资金量与工作任务项匹配。</w:t>
      </w:r>
    </w:p>
    <w:p w14:paraId="14314083">
      <w:pPr>
        <w:pStyle w:val="2"/>
        <w:ind w:firstLine="600" w:firstLineChars="200"/>
        <w:jc w:val="left"/>
        <w:rPr>
          <w:rFonts w:hint="eastAsia" w:ascii="仿宋" w:hAnsi="仿宋" w:eastAsia="仿宋" w:cs="仿宋"/>
          <w:color w:val="auto"/>
          <w:sz w:val="30"/>
          <w:szCs w:val="30"/>
        </w:rPr>
      </w:pPr>
      <w:r>
        <w:rPr>
          <w:rFonts w:hint="eastAsia" w:ascii="仿宋" w:hAnsi="仿宋" w:eastAsia="仿宋" w:cs="仿宋"/>
          <w:b w:val="0"/>
          <w:bCs w:val="0"/>
          <w:color w:val="auto"/>
          <w:kern w:val="2"/>
          <w:sz w:val="30"/>
          <w:szCs w:val="30"/>
          <w:lang w:val="en-US" w:eastAsia="zh-CN" w:bidi="ar-SA"/>
        </w:rPr>
        <w:t>此项权重分4分，得分4分。</w:t>
      </w:r>
    </w:p>
    <w:p w14:paraId="0BFE3BB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6</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资金分配合理性</w:t>
      </w:r>
    </w:p>
    <w:p w14:paraId="7181277E">
      <w:pPr>
        <w:pStyle w:val="14"/>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本项目按照下达的</w:t>
      </w:r>
      <w:r>
        <w:rPr>
          <w:rFonts w:hint="eastAsia" w:ascii="仿宋" w:hAnsi="仿宋" w:eastAsia="仿宋" w:cs="仿宋"/>
          <w:b w:val="0"/>
          <w:bCs w:val="0"/>
          <w:color w:val="auto"/>
          <w:kern w:val="28"/>
          <w:sz w:val="30"/>
          <w:szCs w:val="30"/>
          <w:lang w:val="en-US" w:eastAsia="zh-CN" w:bidi="ar-SA"/>
        </w:rPr>
        <w:t>新疆维吾尔自治区高新技术企业 发展专项资金管理办法 (暂行 )》文件要求，</w:t>
      </w:r>
      <w:r>
        <w:rPr>
          <w:rFonts w:hint="eastAsia" w:ascii="仿宋" w:hAnsi="仿宋" w:eastAsia="仿宋" w:cs="仿宋"/>
          <w:color w:val="auto"/>
          <w:sz w:val="30"/>
          <w:szCs w:val="30"/>
        </w:rPr>
        <w:t>预算资金分配依据是充分</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资金分配额度是合理</w:t>
      </w:r>
      <w:r>
        <w:rPr>
          <w:rFonts w:hint="eastAsia" w:ascii="仿宋" w:hAnsi="仿宋" w:eastAsia="仿宋" w:cs="仿宋"/>
          <w:color w:val="auto"/>
          <w:sz w:val="30"/>
          <w:szCs w:val="30"/>
          <w:lang w:eastAsia="zh-CN"/>
        </w:rPr>
        <w:t>。</w:t>
      </w:r>
    </w:p>
    <w:p w14:paraId="3495D961">
      <w:pPr>
        <w:pStyle w:val="2"/>
        <w:ind w:firstLine="600" w:firstLineChars="200"/>
        <w:jc w:val="left"/>
        <w:rPr>
          <w:rFonts w:hint="eastAsia" w:ascii="仿宋" w:hAnsi="仿宋" w:eastAsia="仿宋" w:cs="仿宋"/>
          <w:color w:val="auto"/>
          <w:sz w:val="30"/>
          <w:szCs w:val="30"/>
        </w:rPr>
      </w:pPr>
      <w:r>
        <w:rPr>
          <w:rFonts w:hint="eastAsia" w:ascii="仿宋" w:hAnsi="仿宋" w:eastAsia="仿宋" w:cs="仿宋"/>
          <w:b w:val="0"/>
          <w:bCs w:val="0"/>
          <w:color w:val="auto"/>
          <w:kern w:val="2"/>
          <w:sz w:val="30"/>
          <w:szCs w:val="30"/>
          <w:lang w:val="en-US" w:eastAsia="zh-CN" w:bidi="ar-SA"/>
        </w:rPr>
        <w:t>此项权重分4分，得分4分。</w:t>
      </w:r>
    </w:p>
    <w:p w14:paraId="654A5FC7">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color w:val="auto"/>
          <w:sz w:val="30"/>
          <w:szCs w:val="30"/>
        </w:rPr>
      </w:pPr>
      <w:bookmarkStart w:id="12" w:name="_Toc68703839"/>
      <w:r>
        <w:rPr>
          <w:rFonts w:hint="eastAsia" w:ascii="仿宋" w:hAnsi="仿宋" w:eastAsia="仿宋" w:cs="仿宋"/>
          <w:b w:val="0"/>
          <w:bCs w:val="0"/>
          <w:color w:val="auto"/>
          <w:sz w:val="30"/>
          <w:szCs w:val="30"/>
        </w:rPr>
        <w:t>（二）项目过程情况。</w:t>
      </w:r>
      <w:bookmarkEnd w:id="12"/>
    </w:p>
    <w:p w14:paraId="7A4E508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资金到位率：</w:t>
      </w:r>
    </w:p>
    <w:p w14:paraId="107FE72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预算资金</w:t>
      </w:r>
      <w:r>
        <w:rPr>
          <w:rFonts w:hint="eastAsia" w:ascii="仿宋" w:hAnsi="仿宋" w:eastAsia="仿宋" w:cs="仿宋"/>
          <w:color w:val="auto"/>
          <w:sz w:val="30"/>
          <w:szCs w:val="30"/>
          <w:lang w:val="en-US" w:eastAsia="zh-CN"/>
        </w:rPr>
        <w:t>360</w:t>
      </w:r>
      <w:r>
        <w:rPr>
          <w:rFonts w:hint="eastAsia" w:ascii="仿宋" w:hAnsi="仿宋" w:eastAsia="仿宋" w:cs="仿宋"/>
          <w:color w:val="auto"/>
          <w:sz w:val="30"/>
          <w:szCs w:val="30"/>
        </w:rPr>
        <w:t>万元，实际到位资金</w:t>
      </w:r>
      <w:r>
        <w:rPr>
          <w:rFonts w:hint="eastAsia" w:ascii="仿宋" w:hAnsi="仿宋" w:eastAsia="仿宋" w:cs="仿宋"/>
          <w:color w:val="auto"/>
          <w:sz w:val="30"/>
          <w:szCs w:val="30"/>
          <w:lang w:val="en-US" w:eastAsia="zh-CN"/>
        </w:rPr>
        <w:t>360</w:t>
      </w:r>
      <w:r>
        <w:rPr>
          <w:rFonts w:hint="eastAsia" w:ascii="仿宋" w:hAnsi="仿宋" w:eastAsia="仿宋" w:cs="仿宋"/>
          <w:color w:val="auto"/>
          <w:sz w:val="30"/>
          <w:szCs w:val="30"/>
        </w:rPr>
        <w:t>万元，资金到位率</w:t>
      </w:r>
      <w:r>
        <w:rPr>
          <w:rFonts w:hint="eastAsia" w:ascii="仿宋" w:hAnsi="仿宋" w:eastAsia="仿宋" w:cs="仿宋"/>
          <w:color w:val="auto"/>
          <w:sz w:val="30"/>
          <w:szCs w:val="30"/>
          <w:lang w:val="en-US" w:eastAsia="zh-CN"/>
        </w:rPr>
        <w:t>100</w:t>
      </w:r>
      <w:r>
        <w:rPr>
          <w:rFonts w:hint="eastAsia" w:ascii="仿宋" w:hAnsi="仿宋" w:eastAsia="仿宋" w:cs="仿宋"/>
          <w:color w:val="auto"/>
          <w:sz w:val="30"/>
          <w:szCs w:val="30"/>
        </w:rPr>
        <w:t>%。</w:t>
      </w:r>
    </w:p>
    <w:p w14:paraId="5B3C3488">
      <w:pPr>
        <w:pStyle w:val="2"/>
        <w:ind w:firstLine="600" w:firstLineChars="200"/>
        <w:jc w:val="left"/>
        <w:rPr>
          <w:rFonts w:hint="eastAsia" w:ascii="仿宋" w:hAnsi="仿宋" w:eastAsia="仿宋" w:cs="仿宋"/>
          <w:color w:val="auto"/>
          <w:sz w:val="30"/>
          <w:szCs w:val="30"/>
        </w:rPr>
      </w:pPr>
      <w:r>
        <w:rPr>
          <w:rFonts w:hint="eastAsia" w:ascii="仿宋" w:hAnsi="仿宋" w:eastAsia="仿宋" w:cs="仿宋"/>
          <w:b w:val="0"/>
          <w:bCs w:val="0"/>
          <w:color w:val="auto"/>
          <w:kern w:val="2"/>
          <w:sz w:val="30"/>
          <w:szCs w:val="30"/>
          <w:lang w:val="en-US" w:eastAsia="zh-CN" w:bidi="ar-SA"/>
        </w:rPr>
        <w:t>此项权重分3分，得分3分。</w:t>
      </w:r>
    </w:p>
    <w:p w14:paraId="49CBCBE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预算执行率</w:t>
      </w:r>
    </w:p>
    <w:p w14:paraId="3282BBA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lang w:eastAsia="zh-CN"/>
        </w:rPr>
      </w:pPr>
      <w:r>
        <w:rPr>
          <w:rFonts w:hint="eastAsia" w:ascii="仿宋" w:hAnsi="仿宋" w:eastAsia="仿宋" w:cs="仿宋"/>
          <w:color w:val="auto"/>
          <w:sz w:val="30"/>
          <w:szCs w:val="30"/>
        </w:rPr>
        <w:t>年初预算数</w:t>
      </w:r>
      <w:r>
        <w:rPr>
          <w:rFonts w:hint="eastAsia" w:ascii="仿宋" w:hAnsi="仿宋" w:eastAsia="仿宋" w:cs="仿宋"/>
          <w:color w:val="auto"/>
          <w:sz w:val="30"/>
          <w:szCs w:val="30"/>
          <w:lang w:val="en-US" w:eastAsia="zh-CN"/>
        </w:rPr>
        <w:t>360</w:t>
      </w:r>
      <w:r>
        <w:rPr>
          <w:rFonts w:hint="eastAsia" w:ascii="仿宋" w:hAnsi="仿宋" w:eastAsia="仿宋" w:cs="仿宋"/>
          <w:color w:val="auto"/>
          <w:sz w:val="30"/>
          <w:szCs w:val="30"/>
        </w:rPr>
        <w:t>万元</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全年预算数</w:t>
      </w:r>
      <w:r>
        <w:rPr>
          <w:rFonts w:hint="eastAsia" w:ascii="仿宋" w:hAnsi="仿宋" w:eastAsia="仿宋" w:cs="仿宋"/>
          <w:color w:val="auto"/>
          <w:sz w:val="30"/>
          <w:szCs w:val="30"/>
          <w:lang w:val="en-US" w:eastAsia="zh-CN"/>
        </w:rPr>
        <w:t>360</w:t>
      </w:r>
      <w:r>
        <w:rPr>
          <w:rFonts w:hint="eastAsia" w:ascii="仿宋" w:hAnsi="仿宋" w:eastAsia="仿宋" w:cs="仿宋"/>
          <w:color w:val="auto"/>
          <w:sz w:val="30"/>
          <w:szCs w:val="30"/>
        </w:rPr>
        <w:t>万元</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全年执行数</w:t>
      </w:r>
      <w:r>
        <w:rPr>
          <w:rFonts w:hint="eastAsia" w:ascii="仿宋" w:hAnsi="仿宋" w:eastAsia="仿宋" w:cs="仿宋"/>
          <w:color w:val="auto"/>
          <w:sz w:val="30"/>
          <w:szCs w:val="30"/>
          <w:lang w:val="en-US" w:eastAsia="zh-CN"/>
        </w:rPr>
        <w:t>360</w:t>
      </w:r>
      <w:r>
        <w:rPr>
          <w:rFonts w:hint="eastAsia" w:ascii="仿宋" w:hAnsi="仿宋" w:eastAsia="仿宋" w:cs="仿宋"/>
          <w:color w:val="auto"/>
          <w:sz w:val="30"/>
          <w:szCs w:val="30"/>
        </w:rPr>
        <w:t>万元，预算执行率为</w:t>
      </w:r>
      <w:r>
        <w:rPr>
          <w:rFonts w:hint="eastAsia" w:ascii="仿宋" w:hAnsi="仿宋" w:eastAsia="仿宋" w:cs="仿宋"/>
          <w:color w:val="auto"/>
          <w:sz w:val="30"/>
          <w:szCs w:val="30"/>
          <w:lang w:val="en-US" w:eastAsia="zh-CN"/>
        </w:rPr>
        <w:t>100</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w:t>
      </w:r>
    </w:p>
    <w:p w14:paraId="3E9D618C">
      <w:pPr>
        <w:pStyle w:val="2"/>
        <w:ind w:firstLine="600" w:firstLineChars="200"/>
        <w:jc w:val="left"/>
        <w:rPr>
          <w:rFonts w:hint="eastAsia" w:ascii="仿宋" w:hAnsi="仿宋" w:eastAsia="仿宋" w:cs="仿宋"/>
          <w:color w:val="auto"/>
          <w:sz w:val="30"/>
          <w:szCs w:val="30"/>
        </w:rPr>
      </w:pPr>
      <w:r>
        <w:rPr>
          <w:rFonts w:hint="eastAsia" w:ascii="仿宋" w:hAnsi="仿宋" w:eastAsia="仿宋" w:cs="仿宋"/>
          <w:b w:val="0"/>
          <w:bCs w:val="0"/>
          <w:color w:val="auto"/>
          <w:kern w:val="2"/>
          <w:sz w:val="30"/>
          <w:szCs w:val="30"/>
          <w:lang w:val="en-US" w:eastAsia="zh-CN" w:bidi="ar-SA"/>
        </w:rPr>
        <w:t>此项权重分3分，得分3分。</w:t>
      </w:r>
    </w:p>
    <w:p w14:paraId="7CF7995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3</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资金使用合规性</w:t>
      </w:r>
    </w:p>
    <w:p w14:paraId="0FC4DE0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本项目按照《巴音郭楞蒙古自治州科技创新“十四五”规划》文件要求，严格按照预期绩效目标执行预算资金。对项目经费使用进行规范管理，财务制度健全、执行严格。资金的拨付有完整的审批程序和手续，在项目资金拨付和使用过程中，为确保项目资金的安全性，提高项目资金使用效率，严格遵循</w:t>
      </w:r>
      <w:r>
        <w:rPr>
          <w:rFonts w:hint="eastAsia" w:ascii="仿宋" w:hAnsi="仿宋" w:eastAsia="仿宋" w:cs="仿宋"/>
          <w:b w:val="0"/>
          <w:bCs w:val="0"/>
          <w:color w:val="auto"/>
          <w:kern w:val="28"/>
          <w:sz w:val="30"/>
          <w:szCs w:val="30"/>
          <w:highlight w:val="none"/>
          <w:lang w:val="en-US" w:eastAsia="zh-CN" w:bidi="ar-SA"/>
        </w:rPr>
        <w:t>《新疆维吾尔自治区高新技术企业发展专项资金管理办法(暂行 )》，</w:t>
      </w:r>
      <w:r>
        <w:rPr>
          <w:rFonts w:hint="eastAsia" w:ascii="仿宋" w:hAnsi="仿宋" w:eastAsia="仿宋" w:cs="仿宋"/>
          <w:b w:val="0"/>
          <w:bCs w:val="0"/>
          <w:color w:val="auto"/>
          <w:sz w:val="30"/>
          <w:szCs w:val="30"/>
          <w:lang w:val="en-US" w:eastAsia="zh-CN"/>
        </w:rPr>
        <w:t>项目资金的拨付程序完整，认真审核项目实施各阶段的相关材料和手续，根据项目实施进展情况拨付资金。资金使用符合该项目的立项批复。资金不存在截留、挤占、挪用、虚列支出等情况。</w:t>
      </w:r>
    </w:p>
    <w:p w14:paraId="4455F407">
      <w:pPr>
        <w:pStyle w:val="2"/>
        <w:ind w:firstLine="600" w:firstLineChars="200"/>
        <w:jc w:val="left"/>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kern w:val="2"/>
          <w:sz w:val="30"/>
          <w:szCs w:val="30"/>
          <w:lang w:val="en-US" w:eastAsia="zh-CN" w:bidi="ar-SA"/>
        </w:rPr>
        <w:t>此项权重分3分，得分3分。</w:t>
      </w:r>
    </w:p>
    <w:p w14:paraId="44C6E54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4</w:t>
      </w:r>
      <w:r>
        <w:rPr>
          <w:rFonts w:hint="eastAsia" w:ascii="仿宋" w:hAnsi="仿宋" w:eastAsia="仿宋" w:cs="仿宋"/>
          <w:b w:val="0"/>
          <w:bCs w:val="0"/>
          <w:color w:val="auto"/>
          <w:sz w:val="30"/>
          <w:szCs w:val="30"/>
          <w:lang w:val="en-US" w:eastAsia="zh-CN"/>
        </w:rPr>
        <w:t>.</w:t>
      </w:r>
      <w:r>
        <w:rPr>
          <w:rFonts w:hint="eastAsia" w:ascii="仿宋" w:hAnsi="仿宋" w:eastAsia="仿宋" w:cs="仿宋"/>
          <w:b w:val="0"/>
          <w:bCs w:val="0"/>
          <w:color w:val="auto"/>
          <w:sz w:val="30"/>
          <w:szCs w:val="30"/>
        </w:rPr>
        <w:t>管理制度健全性</w:t>
      </w:r>
    </w:p>
    <w:p w14:paraId="3AC3DCC8">
      <w:pPr>
        <w:ind w:firstLine="600" w:firstLineChars="200"/>
        <w:jc w:val="left"/>
        <w:rPr>
          <w:rFonts w:hint="eastAsia" w:ascii="仿宋" w:hAnsi="仿宋" w:eastAsia="仿宋" w:cs="仿宋"/>
          <w:b w:val="0"/>
          <w:bCs w:val="0"/>
          <w:color w:val="auto"/>
          <w:sz w:val="30"/>
          <w:szCs w:val="30"/>
          <w:lang w:val="en-US" w:eastAsia="zh-CN"/>
        </w:rPr>
      </w:pPr>
      <w:r>
        <w:rPr>
          <w:rFonts w:hint="eastAsia" w:ascii="仿宋" w:hAnsi="仿宋" w:eastAsia="仿宋" w:cs="仿宋"/>
          <w:b w:val="0"/>
          <w:bCs w:val="0"/>
          <w:color w:val="auto"/>
          <w:sz w:val="30"/>
          <w:szCs w:val="30"/>
          <w:lang w:val="en-US" w:eastAsia="zh-CN"/>
        </w:rPr>
        <w:t>我局按照</w:t>
      </w:r>
      <w:r>
        <w:rPr>
          <w:rFonts w:hint="eastAsia" w:ascii="仿宋" w:hAnsi="仿宋" w:eastAsia="仿宋" w:cs="仿宋"/>
          <w:b w:val="0"/>
          <w:bCs w:val="0"/>
          <w:color w:val="auto"/>
          <w:kern w:val="28"/>
          <w:sz w:val="30"/>
          <w:szCs w:val="30"/>
          <w:lang w:val="en-US" w:eastAsia="zh-CN" w:bidi="ar-SA"/>
        </w:rPr>
        <w:t>《新疆维吾尔自治区高新技术企业发展专项资金管理办法(暂行 )》，《自治州科技创新人才培养项目资金管理办法》、</w:t>
      </w:r>
      <w:r>
        <w:rPr>
          <w:rFonts w:hint="eastAsia" w:ascii="仿宋" w:hAnsi="仿宋" w:eastAsia="仿宋" w:cs="仿宋"/>
          <w:b w:val="0"/>
          <w:bCs w:val="0"/>
          <w:color w:val="auto"/>
          <w:sz w:val="30"/>
          <w:szCs w:val="30"/>
          <w:lang w:val="en-US" w:eastAsia="zh-CN"/>
        </w:rPr>
        <w:t>《巴音郭楞蒙古自治州科技创新“十四五”规划》，严格按照《会计法》、《预算法》等法律法规制度执行。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5C30B2E">
      <w:pPr>
        <w:pStyle w:val="2"/>
        <w:ind w:firstLine="600" w:firstLineChars="200"/>
        <w:jc w:val="left"/>
        <w:rPr>
          <w:rFonts w:hint="eastAsia" w:ascii="仿宋" w:hAnsi="仿宋" w:eastAsia="仿宋" w:cs="仿宋"/>
          <w:color w:val="auto"/>
          <w:sz w:val="30"/>
          <w:szCs w:val="30"/>
          <w:lang w:val="en-US" w:eastAsia="zh-CN"/>
        </w:rPr>
      </w:pPr>
      <w:r>
        <w:rPr>
          <w:rFonts w:hint="eastAsia" w:ascii="仿宋" w:hAnsi="仿宋" w:eastAsia="仿宋" w:cs="仿宋"/>
          <w:b w:val="0"/>
          <w:bCs w:val="0"/>
          <w:color w:val="auto"/>
          <w:kern w:val="2"/>
          <w:sz w:val="30"/>
          <w:szCs w:val="30"/>
          <w:lang w:val="en-US" w:eastAsia="zh-CN" w:bidi="ar-SA"/>
        </w:rPr>
        <w:t>此项权重分3分，得分3分。</w:t>
      </w:r>
    </w:p>
    <w:p w14:paraId="3BB7F00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5</w:t>
      </w:r>
      <w:r>
        <w:rPr>
          <w:rFonts w:hint="eastAsia" w:ascii="仿宋" w:hAnsi="仿宋" w:eastAsia="仿宋" w:cs="仿宋"/>
          <w:color w:val="auto"/>
          <w:sz w:val="30"/>
          <w:szCs w:val="30"/>
          <w:lang w:val="en-US" w:eastAsia="zh-CN"/>
        </w:rPr>
        <w:t>.</w:t>
      </w:r>
      <w:r>
        <w:rPr>
          <w:rFonts w:hint="eastAsia" w:ascii="仿宋" w:hAnsi="仿宋" w:eastAsia="仿宋" w:cs="仿宋"/>
          <w:color w:val="auto"/>
          <w:sz w:val="30"/>
          <w:szCs w:val="30"/>
        </w:rPr>
        <w:t>制度执行有效性</w:t>
      </w:r>
    </w:p>
    <w:p w14:paraId="73A7D03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highlight w:val="none"/>
        </w:rPr>
      </w:pPr>
      <w:r>
        <w:rPr>
          <w:rFonts w:hint="eastAsia" w:ascii="仿宋" w:hAnsi="仿宋" w:eastAsia="仿宋" w:cs="仿宋"/>
          <w:color w:val="auto"/>
          <w:sz w:val="30"/>
          <w:szCs w:val="30"/>
          <w:lang w:eastAsia="zh-CN"/>
        </w:rPr>
        <w:t>巴州科技局严格履行项目监管职责，对资金的使用的合法合规性进行监督。本项目遵守</w:t>
      </w:r>
      <w:r>
        <w:rPr>
          <w:rFonts w:hint="eastAsia" w:ascii="仿宋" w:hAnsi="仿宋" w:eastAsia="仿宋" w:cs="仿宋"/>
          <w:color w:val="auto"/>
          <w:sz w:val="30"/>
          <w:szCs w:val="30"/>
        </w:rPr>
        <w:t>相关法律法规和</w:t>
      </w:r>
      <w:r>
        <w:rPr>
          <w:rFonts w:hint="eastAsia" w:ascii="仿宋" w:hAnsi="仿宋" w:eastAsia="仿宋" w:cs="仿宋"/>
          <w:b w:val="0"/>
          <w:bCs w:val="0"/>
          <w:color w:val="auto"/>
          <w:kern w:val="28"/>
          <w:sz w:val="30"/>
          <w:szCs w:val="30"/>
          <w:highlight w:val="none"/>
          <w:lang w:val="en-US" w:eastAsia="zh-CN" w:bidi="ar-SA"/>
        </w:rPr>
        <w:t>《新疆维吾尔自治区高新技术企业发展专项资金管理办法(暂行 )》</w:t>
      </w:r>
      <w:r>
        <w:rPr>
          <w:rFonts w:hint="eastAsia" w:ascii="仿宋" w:hAnsi="仿宋" w:eastAsia="仿宋" w:cs="仿宋"/>
          <w:color w:val="auto"/>
          <w:sz w:val="30"/>
          <w:szCs w:val="30"/>
          <w:highlight w:val="none"/>
        </w:rPr>
        <w:t>规定</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项目调整及支出调整手续完备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highlight w:val="none"/>
        </w:rPr>
        <w:t>项目</w:t>
      </w:r>
      <w:r>
        <w:rPr>
          <w:rFonts w:hint="eastAsia" w:ascii="仿宋" w:hAnsi="仿宋" w:eastAsia="仿宋" w:cs="仿宋"/>
          <w:color w:val="auto"/>
          <w:sz w:val="30"/>
          <w:szCs w:val="30"/>
          <w:highlight w:val="none"/>
          <w:lang w:eastAsia="zh-CN"/>
        </w:rPr>
        <w:t>申报书</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lang w:eastAsia="zh-CN"/>
        </w:rPr>
        <w:t>高新技术企业证书</w:t>
      </w:r>
      <w:r>
        <w:rPr>
          <w:rFonts w:hint="eastAsia" w:ascii="仿宋" w:hAnsi="仿宋" w:eastAsia="仿宋" w:cs="仿宋"/>
          <w:color w:val="auto"/>
          <w:sz w:val="30"/>
          <w:szCs w:val="30"/>
          <w:highlight w:val="none"/>
        </w:rPr>
        <w:t>等资料齐全并及时归档；项目实施的人员条件、场地设备、信息支撑等落实到位。</w:t>
      </w:r>
    </w:p>
    <w:p w14:paraId="7E069CF5">
      <w:pPr>
        <w:pStyle w:val="2"/>
        <w:ind w:firstLine="600" w:firstLineChars="200"/>
        <w:jc w:val="left"/>
        <w:rPr>
          <w:rFonts w:hint="eastAsia" w:ascii="仿宋" w:hAnsi="仿宋" w:eastAsia="仿宋" w:cs="仿宋"/>
          <w:color w:val="auto"/>
          <w:sz w:val="30"/>
          <w:szCs w:val="30"/>
        </w:rPr>
      </w:pPr>
      <w:r>
        <w:rPr>
          <w:rFonts w:hint="eastAsia" w:ascii="仿宋" w:hAnsi="仿宋" w:eastAsia="仿宋" w:cs="仿宋"/>
          <w:b w:val="0"/>
          <w:bCs w:val="0"/>
          <w:color w:val="auto"/>
          <w:kern w:val="2"/>
          <w:sz w:val="30"/>
          <w:szCs w:val="30"/>
          <w:lang w:val="en-US" w:eastAsia="zh-CN" w:bidi="ar-SA"/>
        </w:rPr>
        <w:t>此项权重分8分，得分8分。</w:t>
      </w:r>
    </w:p>
    <w:p w14:paraId="6A93ECFD">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b w:val="0"/>
          <w:bCs w:val="0"/>
          <w:color w:val="auto"/>
          <w:sz w:val="30"/>
          <w:szCs w:val="30"/>
          <w:highlight w:val="none"/>
        </w:rPr>
      </w:pPr>
      <w:bookmarkStart w:id="13" w:name="_Toc68703840"/>
      <w:r>
        <w:rPr>
          <w:rFonts w:hint="eastAsia" w:ascii="仿宋" w:hAnsi="仿宋" w:eastAsia="仿宋" w:cs="仿宋"/>
          <w:color w:val="auto"/>
          <w:sz w:val="30"/>
          <w:szCs w:val="30"/>
          <w:highlight w:val="none"/>
          <w:lang w:val="en-US" w:eastAsia="zh-CN"/>
        </w:rPr>
        <w:t>（三）</w:t>
      </w:r>
      <w:r>
        <w:rPr>
          <w:rFonts w:hint="eastAsia" w:ascii="仿宋" w:hAnsi="仿宋" w:eastAsia="仿宋" w:cs="仿宋"/>
          <w:b w:val="0"/>
          <w:bCs w:val="0"/>
          <w:color w:val="auto"/>
          <w:sz w:val="30"/>
          <w:szCs w:val="30"/>
          <w:highlight w:val="none"/>
        </w:rPr>
        <w:t>项目产出情况。</w:t>
      </w:r>
      <w:bookmarkEnd w:id="13"/>
    </w:p>
    <w:p w14:paraId="30AA8E86">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数量指标</w:t>
      </w:r>
      <w:r>
        <w:rPr>
          <w:rFonts w:hint="eastAsia" w:ascii="仿宋" w:hAnsi="仿宋" w:eastAsia="仿宋" w:cs="仿宋"/>
          <w:color w:val="auto"/>
          <w:sz w:val="30"/>
          <w:szCs w:val="30"/>
          <w:lang w:eastAsia="zh-CN"/>
        </w:rPr>
        <w:t>完成情况</w:t>
      </w:r>
      <w:r>
        <w:rPr>
          <w:rFonts w:hint="eastAsia" w:ascii="仿宋" w:hAnsi="仿宋" w:eastAsia="仿宋" w:cs="仿宋"/>
          <w:color w:val="auto"/>
          <w:sz w:val="30"/>
          <w:szCs w:val="30"/>
        </w:rPr>
        <w:t>：指标1：</w:t>
      </w:r>
      <w:r>
        <w:rPr>
          <w:rFonts w:hint="eastAsia" w:ascii="仿宋" w:hAnsi="仿宋" w:eastAsia="仿宋" w:cs="仿宋"/>
          <w:color w:val="auto"/>
          <w:sz w:val="30"/>
          <w:szCs w:val="30"/>
          <w:lang w:eastAsia="zh-CN"/>
        </w:rPr>
        <w:t>奖励企业数量</w:t>
      </w:r>
      <w:r>
        <w:rPr>
          <w:rFonts w:hint="eastAsia" w:ascii="仿宋" w:hAnsi="仿宋" w:eastAsia="仿宋" w:cs="仿宋"/>
          <w:color w:val="auto"/>
          <w:sz w:val="30"/>
          <w:szCs w:val="30"/>
        </w:rPr>
        <w:t>，指标值：</w:t>
      </w:r>
      <w:r>
        <w:rPr>
          <w:rFonts w:hint="eastAsia" w:ascii="仿宋" w:hAnsi="仿宋" w:eastAsia="仿宋" w:cs="仿宋"/>
          <w:color w:val="auto"/>
          <w:sz w:val="30"/>
          <w:szCs w:val="30"/>
          <w:lang w:val="en-US" w:eastAsia="zh-CN"/>
        </w:rPr>
        <w:t>=18家</w:t>
      </w:r>
      <w:r>
        <w:rPr>
          <w:rFonts w:hint="eastAsia" w:ascii="仿宋" w:hAnsi="仿宋" w:eastAsia="仿宋" w:cs="仿宋"/>
          <w:color w:val="auto"/>
          <w:sz w:val="30"/>
          <w:szCs w:val="30"/>
        </w:rPr>
        <w:t>，实际完成值</w:t>
      </w:r>
      <w:r>
        <w:rPr>
          <w:rFonts w:hint="eastAsia" w:ascii="仿宋" w:hAnsi="仿宋" w:eastAsia="仿宋" w:cs="仿宋"/>
          <w:color w:val="auto"/>
          <w:sz w:val="30"/>
          <w:szCs w:val="30"/>
          <w:lang w:val="en-US" w:eastAsia="zh-CN"/>
        </w:rPr>
        <w:t>=18家</w:t>
      </w:r>
      <w:r>
        <w:rPr>
          <w:rFonts w:hint="eastAsia" w:ascii="仿宋" w:hAnsi="仿宋" w:eastAsia="仿宋" w:cs="仿宋"/>
          <w:color w:val="auto"/>
          <w:sz w:val="30"/>
          <w:szCs w:val="30"/>
        </w:rPr>
        <w:t>，指标完成率</w:t>
      </w:r>
      <w:r>
        <w:rPr>
          <w:rFonts w:hint="eastAsia" w:ascii="仿宋" w:hAnsi="仿宋" w:eastAsia="仿宋" w:cs="仿宋"/>
          <w:color w:val="auto"/>
          <w:sz w:val="30"/>
          <w:szCs w:val="30"/>
          <w:lang w:val="en-US" w:eastAsia="zh-CN"/>
        </w:rPr>
        <w:t>100</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w:t>
      </w:r>
    </w:p>
    <w:p w14:paraId="3F1C85BE">
      <w:pPr>
        <w:pStyle w:val="2"/>
        <w:ind w:firstLine="600" w:firstLineChars="200"/>
        <w:jc w:val="left"/>
        <w:rPr>
          <w:rFonts w:hint="eastAsia" w:ascii="仿宋" w:hAnsi="仿宋" w:eastAsia="仿宋" w:cs="仿宋"/>
          <w:b w:val="0"/>
          <w:bCs w:val="0"/>
          <w:color w:val="auto"/>
          <w:kern w:val="2"/>
          <w:sz w:val="30"/>
          <w:szCs w:val="30"/>
          <w:lang w:val="en-US" w:eastAsia="zh-CN" w:bidi="ar-SA"/>
        </w:rPr>
      </w:pPr>
      <w:r>
        <w:rPr>
          <w:rFonts w:hint="eastAsia" w:ascii="仿宋" w:hAnsi="仿宋" w:eastAsia="仿宋" w:cs="仿宋"/>
          <w:b w:val="0"/>
          <w:bCs w:val="0"/>
          <w:color w:val="auto"/>
          <w:kern w:val="2"/>
          <w:sz w:val="30"/>
          <w:szCs w:val="30"/>
          <w:lang w:val="en-US" w:eastAsia="zh-CN" w:bidi="ar-SA"/>
        </w:rPr>
        <w:t>此项权重分10分，得分10分。</w:t>
      </w:r>
    </w:p>
    <w:p w14:paraId="4D73DAB9">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质量指标</w:t>
      </w:r>
      <w:r>
        <w:rPr>
          <w:rFonts w:hint="eastAsia" w:ascii="仿宋" w:hAnsi="仿宋" w:eastAsia="仿宋" w:cs="仿宋"/>
          <w:color w:val="auto"/>
          <w:sz w:val="30"/>
          <w:szCs w:val="30"/>
          <w:lang w:eastAsia="zh-CN"/>
        </w:rPr>
        <w:t>完成情况</w:t>
      </w:r>
      <w:r>
        <w:rPr>
          <w:rFonts w:hint="eastAsia" w:ascii="仿宋" w:hAnsi="仿宋" w:eastAsia="仿宋" w:cs="仿宋"/>
          <w:color w:val="auto"/>
          <w:sz w:val="30"/>
          <w:szCs w:val="30"/>
        </w:rPr>
        <w:t>：指标1：</w:t>
      </w:r>
      <w:r>
        <w:rPr>
          <w:rFonts w:hint="eastAsia" w:ascii="仿宋" w:hAnsi="仿宋" w:eastAsia="仿宋" w:cs="仿宋"/>
          <w:color w:val="auto"/>
          <w:sz w:val="30"/>
          <w:szCs w:val="30"/>
          <w:lang w:eastAsia="zh-CN"/>
        </w:rPr>
        <w:t>企业正常运营率</w:t>
      </w:r>
      <w:r>
        <w:rPr>
          <w:rFonts w:hint="eastAsia" w:ascii="仿宋" w:hAnsi="仿宋" w:eastAsia="仿宋" w:cs="仿宋"/>
          <w:color w:val="auto"/>
          <w:sz w:val="30"/>
          <w:szCs w:val="30"/>
        </w:rPr>
        <w:t>，指标值：</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95%</w:t>
      </w:r>
      <w:r>
        <w:rPr>
          <w:rFonts w:hint="eastAsia" w:ascii="仿宋" w:hAnsi="仿宋" w:eastAsia="仿宋" w:cs="仿宋"/>
          <w:color w:val="auto"/>
          <w:sz w:val="30"/>
          <w:szCs w:val="30"/>
        </w:rPr>
        <w:t>，实际完成值</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highlight w:val="none"/>
          <w:lang w:eastAsia="zh-CN"/>
        </w:rPr>
        <w:t>=100%</w:t>
      </w:r>
      <w:r>
        <w:rPr>
          <w:rFonts w:hint="eastAsia" w:ascii="仿宋" w:hAnsi="仿宋" w:eastAsia="仿宋" w:cs="仿宋"/>
          <w:color w:val="auto"/>
          <w:sz w:val="30"/>
          <w:szCs w:val="30"/>
        </w:rPr>
        <w:t>，指标完成率</w:t>
      </w:r>
      <w:r>
        <w:rPr>
          <w:rFonts w:hint="eastAsia" w:ascii="仿宋" w:hAnsi="仿宋" w:eastAsia="仿宋" w:cs="仿宋"/>
          <w:color w:val="auto"/>
          <w:sz w:val="30"/>
          <w:szCs w:val="30"/>
          <w:lang w:eastAsia="zh-CN"/>
        </w:rPr>
        <w:t>：105.26%</w:t>
      </w:r>
      <w:r>
        <w:rPr>
          <w:rFonts w:hint="eastAsia" w:ascii="仿宋" w:hAnsi="仿宋" w:eastAsia="仿宋" w:cs="仿宋"/>
          <w:color w:val="auto"/>
          <w:sz w:val="30"/>
          <w:szCs w:val="30"/>
        </w:rPr>
        <w:t>，偏差原因：</w:t>
      </w:r>
      <w:r>
        <w:rPr>
          <w:rFonts w:hint="eastAsia" w:ascii="仿宋" w:hAnsi="仿宋" w:eastAsia="仿宋" w:cs="仿宋"/>
          <w:color w:val="auto"/>
          <w:sz w:val="30"/>
          <w:szCs w:val="30"/>
          <w:lang w:eastAsia="zh-CN"/>
        </w:rPr>
        <w:t>经过核查</w:t>
      </w:r>
      <w:r>
        <w:rPr>
          <w:rFonts w:hint="eastAsia" w:ascii="仿宋" w:hAnsi="仿宋" w:eastAsia="仿宋" w:cs="仿宋"/>
          <w:color w:val="auto"/>
          <w:sz w:val="30"/>
          <w:szCs w:val="30"/>
          <w:lang w:val="en-US" w:eastAsia="zh-CN"/>
        </w:rPr>
        <w:t>18家企业均正常运营，未列入经营异常名录，正常运营率为100%</w:t>
      </w:r>
      <w:r>
        <w:rPr>
          <w:rFonts w:hint="eastAsia" w:ascii="仿宋" w:hAnsi="仿宋" w:eastAsia="仿宋" w:cs="仿宋"/>
          <w:color w:val="auto"/>
          <w:sz w:val="30"/>
          <w:szCs w:val="30"/>
        </w:rPr>
        <w:t>；指标2：</w:t>
      </w:r>
      <w:r>
        <w:rPr>
          <w:rFonts w:hint="eastAsia" w:ascii="仿宋" w:hAnsi="仿宋" w:eastAsia="仿宋" w:cs="仿宋"/>
          <w:color w:val="auto"/>
          <w:sz w:val="30"/>
          <w:szCs w:val="30"/>
          <w:lang w:eastAsia="zh-CN"/>
        </w:rPr>
        <w:t>核查通过率</w:t>
      </w:r>
      <w:r>
        <w:rPr>
          <w:rFonts w:hint="eastAsia" w:ascii="仿宋" w:hAnsi="仿宋" w:eastAsia="仿宋" w:cs="仿宋"/>
          <w:color w:val="auto"/>
          <w:sz w:val="30"/>
          <w:szCs w:val="30"/>
        </w:rPr>
        <w:t>，指标值：</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95%</w:t>
      </w:r>
      <w:r>
        <w:rPr>
          <w:rFonts w:hint="eastAsia" w:ascii="仿宋" w:hAnsi="仿宋" w:eastAsia="仿宋" w:cs="仿宋"/>
          <w:color w:val="auto"/>
          <w:sz w:val="30"/>
          <w:szCs w:val="30"/>
        </w:rPr>
        <w:t>，实际完成值</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=100%</w:t>
      </w:r>
      <w:r>
        <w:rPr>
          <w:rFonts w:hint="eastAsia" w:ascii="仿宋" w:hAnsi="仿宋" w:eastAsia="仿宋" w:cs="仿宋"/>
          <w:color w:val="auto"/>
          <w:sz w:val="30"/>
          <w:szCs w:val="30"/>
        </w:rPr>
        <w:t>，指标完成率</w:t>
      </w:r>
      <w:r>
        <w:rPr>
          <w:rFonts w:hint="eastAsia" w:ascii="仿宋" w:hAnsi="仿宋" w:eastAsia="仿宋" w:cs="仿宋"/>
          <w:color w:val="auto"/>
          <w:sz w:val="30"/>
          <w:szCs w:val="30"/>
          <w:lang w:val="en-US" w:eastAsia="zh-CN"/>
        </w:rPr>
        <w:t>105.26%</w:t>
      </w:r>
      <w:r>
        <w:rPr>
          <w:rFonts w:hint="eastAsia" w:ascii="仿宋" w:hAnsi="仿宋" w:eastAsia="仿宋" w:cs="仿宋"/>
          <w:color w:val="auto"/>
          <w:sz w:val="30"/>
          <w:szCs w:val="30"/>
        </w:rPr>
        <w:t>，偏差原因：</w:t>
      </w:r>
      <w:r>
        <w:rPr>
          <w:rFonts w:hint="eastAsia" w:ascii="仿宋" w:hAnsi="仿宋" w:eastAsia="仿宋" w:cs="仿宋"/>
          <w:color w:val="auto"/>
          <w:sz w:val="30"/>
          <w:szCs w:val="30"/>
          <w:lang w:eastAsia="zh-CN"/>
        </w:rPr>
        <w:t>经过核查</w:t>
      </w:r>
      <w:r>
        <w:rPr>
          <w:rFonts w:hint="eastAsia" w:ascii="仿宋" w:hAnsi="仿宋" w:eastAsia="仿宋" w:cs="仿宋"/>
          <w:color w:val="auto"/>
          <w:sz w:val="30"/>
          <w:szCs w:val="30"/>
          <w:lang w:val="en-US" w:eastAsia="zh-CN"/>
        </w:rPr>
        <w:t>18家企业均正常运营，未列入经营异常名录，正常运营率为100%</w:t>
      </w:r>
      <w:r>
        <w:rPr>
          <w:rFonts w:hint="eastAsia" w:ascii="仿宋" w:hAnsi="仿宋" w:eastAsia="仿宋" w:cs="仿宋"/>
          <w:color w:val="auto"/>
          <w:sz w:val="30"/>
          <w:szCs w:val="30"/>
          <w:lang w:eastAsia="zh-CN"/>
        </w:rPr>
        <w:t>。</w:t>
      </w:r>
    </w:p>
    <w:p w14:paraId="131DA839">
      <w:pPr>
        <w:pStyle w:val="2"/>
        <w:ind w:firstLine="600" w:firstLineChars="200"/>
        <w:jc w:val="left"/>
        <w:rPr>
          <w:rFonts w:hint="eastAsia" w:ascii="仿宋" w:hAnsi="仿宋" w:eastAsia="仿宋" w:cs="仿宋"/>
          <w:color w:val="auto"/>
          <w:sz w:val="30"/>
          <w:szCs w:val="30"/>
        </w:rPr>
      </w:pPr>
      <w:r>
        <w:rPr>
          <w:rFonts w:hint="eastAsia" w:ascii="仿宋" w:hAnsi="仿宋" w:eastAsia="仿宋" w:cs="仿宋"/>
          <w:b w:val="0"/>
          <w:bCs w:val="0"/>
          <w:color w:val="auto"/>
          <w:kern w:val="2"/>
          <w:sz w:val="30"/>
          <w:szCs w:val="30"/>
          <w:lang w:val="en-US" w:eastAsia="zh-CN" w:bidi="ar-SA"/>
        </w:rPr>
        <w:t>此项权重分10分，得分10分。</w:t>
      </w:r>
    </w:p>
    <w:p w14:paraId="7A278D00">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 w:hAnsi="仿宋" w:eastAsia="仿宋" w:cs="仿宋"/>
          <w:color w:val="auto"/>
          <w:sz w:val="30"/>
          <w:szCs w:val="30"/>
          <w:lang w:eastAsia="zh-CN"/>
        </w:rPr>
      </w:pPr>
      <w:r>
        <w:rPr>
          <w:rFonts w:hint="eastAsia" w:ascii="仿宋" w:hAnsi="仿宋" w:eastAsia="仿宋" w:cs="仿宋"/>
          <w:color w:val="auto"/>
          <w:sz w:val="30"/>
          <w:szCs w:val="30"/>
        </w:rPr>
        <w:t>时效指标</w:t>
      </w:r>
      <w:r>
        <w:rPr>
          <w:rFonts w:hint="eastAsia" w:ascii="仿宋" w:hAnsi="仿宋" w:eastAsia="仿宋" w:cs="仿宋"/>
          <w:color w:val="auto"/>
          <w:sz w:val="30"/>
          <w:szCs w:val="30"/>
          <w:lang w:eastAsia="zh-CN"/>
        </w:rPr>
        <w:t>完成情况</w:t>
      </w:r>
      <w:r>
        <w:rPr>
          <w:rFonts w:hint="eastAsia" w:ascii="仿宋" w:hAnsi="仿宋" w:eastAsia="仿宋" w:cs="仿宋"/>
          <w:color w:val="auto"/>
          <w:sz w:val="30"/>
          <w:szCs w:val="30"/>
        </w:rPr>
        <w:t>：指标1：</w:t>
      </w:r>
      <w:r>
        <w:rPr>
          <w:rFonts w:hint="eastAsia" w:ascii="仿宋" w:hAnsi="仿宋" w:eastAsia="仿宋" w:cs="仿宋"/>
          <w:color w:val="auto"/>
          <w:sz w:val="30"/>
          <w:szCs w:val="30"/>
          <w:lang w:eastAsia="zh-CN"/>
        </w:rPr>
        <w:t>奖励资金拨付时限</w:t>
      </w:r>
      <w:r>
        <w:rPr>
          <w:rFonts w:hint="eastAsia" w:ascii="仿宋" w:hAnsi="仿宋" w:eastAsia="仿宋" w:cs="仿宋"/>
          <w:color w:val="auto"/>
          <w:sz w:val="30"/>
          <w:szCs w:val="30"/>
        </w:rPr>
        <w:t>，指标值：</w:t>
      </w:r>
      <w:r>
        <w:rPr>
          <w:rFonts w:hint="eastAsia" w:ascii="仿宋" w:hAnsi="仿宋" w:eastAsia="仿宋" w:cs="仿宋"/>
          <w:color w:val="auto"/>
          <w:sz w:val="30"/>
          <w:szCs w:val="30"/>
          <w:lang w:val="en-US" w:eastAsia="zh-CN"/>
        </w:rPr>
        <w:t>2023年11月30日</w:t>
      </w:r>
      <w:r>
        <w:rPr>
          <w:rFonts w:hint="eastAsia" w:ascii="仿宋" w:hAnsi="仿宋" w:eastAsia="仿宋" w:cs="仿宋"/>
          <w:color w:val="auto"/>
          <w:sz w:val="30"/>
          <w:szCs w:val="30"/>
        </w:rPr>
        <w:t>，实际完成值</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highlight w:val="none"/>
          <w:lang w:val="en-US" w:eastAsia="zh-CN"/>
        </w:rPr>
        <w:t>2023年11月26日</w:t>
      </w:r>
      <w:r>
        <w:rPr>
          <w:rFonts w:hint="eastAsia" w:ascii="仿宋" w:hAnsi="仿宋" w:eastAsia="仿宋" w:cs="仿宋"/>
          <w:color w:val="auto"/>
          <w:sz w:val="30"/>
          <w:szCs w:val="30"/>
        </w:rPr>
        <w:t>，指标完成率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100%</w:t>
      </w:r>
    </w:p>
    <w:p w14:paraId="35129CD3">
      <w:pPr>
        <w:pStyle w:val="2"/>
        <w:ind w:firstLine="600" w:firstLineChars="200"/>
        <w:jc w:val="left"/>
        <w:rPr>
          <w:rFonts w:hint="eastAsia"/>
          <w:lang w:eastAsia="zh-CN"/>
        </w:rPr>
      </w:pPr>
      <w:r>
        <w:rPr>
          <w:rFonts w:hint="eastAsia" w:ascii="仿宋" w:hAnsi="仿宋" w:eastAsia="仿宋" w:cs="仿宋"/>
          <w:b w:val="0"/>
          <w:bCs w:val="0"/>
          <w:color w:val="auto"/>
          <w:kern w:val="2"/>
          <w:sz w:val="30"/>
          <w:szCs w:val="30"/>
          <w:lang w:val="en-US" w:eastAsia="zh-CN" w:bidi="ar-SA"/>
        </w:rPr>
        <w:t>此项权重分10分，得分10分。</w:t>
      </w:r>
    </w:p>
    <w:p w14:paraId="614EFAF8">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highlight w:val="none"/>
          <w:lang w:val="en-US" w:eastAsia="zh-CN"/>
        </w:rPr>
        <w:t>经济成本指标完成情况</w:t>
      </w:r>
      <w:r>
        <w:rPr>
          <w:rFonts w:hint="eastAsia" w:ascii="仿宋" w:hAnsi="仿宋" w:eastAsia="仿宋" w:cs="仿宋"/>
          <w:color w:val="auto"/>
          <w:sz w:val="30"/>
          <w:szCs w:val="30"/>
          <w:highlight w:val="none"/>
          <w:lang w:eastAsia="zh-CN"/>
        </w:rPr>
        <w:t>：</w:t>
      </w:r>
      <w:r>
        <w:rPr>
          <w:rFonts w:hint="eastAsia" w:ascii="仿宋" w:hAnsi="仿宋" w:eastAsia="仿宋" w:cs="仿宋"/>
          <w:color w:val="auto"/>
          <w:sz w:val="30"/>
          <w:szCs w:val="30"/>
        </w:rPr>
        <w:t>指标1：</w:t>
      </w:r>
      <w:r>
        <w:rPr>
          <w:rFonts w:hint="eastAsia" w:ascii="仿宋" w:hAnsi="仿宋" w:eastAsia="仿宋" w:cs="仿宋"/>
          <w:color w:val="auto"/>
          <w:sz w:val="30"/>
          <w:szCs w:val="30"/>
          <w:lang w:eastAsia="zh-CN"/>
        </w:rPr>
        <w:t>每家高新技术企业认定后补助奖励资金</w:t>
      </w:r>
      <w:r>
        <w:rPr>
          <w:rFonts w:hint="eastAsia" w:ascii="仿宋" w:hAnsi="仿宋" w:eastAsia="仿宋" w:cs="仿宋"/>
          <w:color w:val="auto"/>
          <w:sz w:val="30"/>
          <w:szCs w:val="30"/>
        </w:rPr>
        <w:t>，指标值：</w:t>
      </w:r>
      <w:r>
        <w:rPr>
          <w:rFonts w:hint="eastAsia" w:ascii="仿宋" w:hAnsi="仿宋" w:eastAsia="仿宋" w:cs="仿宋"/>
          <w:color w:val="auto"/>
          <w:sz w:val="30"/>
          <w:szCs w:val="30"/>
          <w:lang w:val="en-US" w:eastAsia="zh-CN"/>
        </w:rPr>
        <w:t>=20万元</w:t>
      </w:r>
      <w:r>
        <w:rPr>
          <w:rFonts w:hint="eastAsia" w:ascii="仿宋" w:hAnsi="仿宋" w:eastAsia="仿宋" w:cs="仿宋"/>
          <w:color w:val="auto"/>
          <w:sz w:val="30"/>
          <w:szCs w:val="30"/>
        </w:rPr>
        <w:t>，实际完成值</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=20万元</w:t>
      </w:r>
      <w:r>
        <w:rPr>
          <w:rFonts w:hint="eastAsia" w:ascii="仿宋" w:hAnsi="仿宋" w:eastAsia="仿宋" w:cs="仿宋"/>
          <w:color w:val="auto"/>
          <w:sz w:val="30"/>
          <w:szCs w:val="30"/>
        </w:rPr>
        <w:t>，指标完成率</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100%</w:t>
      </w:r>
    </w:p>
    <w:p w14:paraId="6AAA47C5">
      <w:pPr>
        <w:pStyle w:val="2"/>
        <w:numPr>
          <w:ilvl w:val="0"/>
          <w:numId w:val="0"/>
        </w:numPr>
        <w:ind w:leftChars="200"/>
        <w:jc w:val="both"/>
        <w:rPr>
          <w:rFonts w:hint="eastAsia" w:eastAsia="仿宋"/>
          <w:lang w:val="en-US" w:eastAsia="zh-CN"/>
        </w:rPr>
      </w:pPr>
      <w:r>
        <w:rPr>
          <w:rFonts w:hint="eastAsia" w:ascii="仿宋" w:hAnsi="仿宋" w:eastAsia="仿宋" w:cs="仿宋"/>
          <w:b w:val="0"/>
          <w:bCs w:val="0"/>
          <w:color w:val="auto"/>
          <w:kern w:val="2"/>
          <w:sz w:val="30"/>
          <w:szCs w:val="30"/>
          <w:lang w:val="en-US" w:eastAsia="zh-CN" w:bidi="ar-SA"/>
        </w:rPr>
        <w:t>此项权重分10分，得分10分。</w:t>
      </w:r>
    </w:p>
    <w:p w14:paraId="6359B10C">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color w:val="auto"/>
          <w:sz w:val="30"/>
          <w:szCs w:val="30"/>
          <w:highlight w:val="none"/>
        </w:rPr>
      </w:pPr>
      <w:bookmarkStart w:id="14" w:name="_Toc68703841"/>
      <w:r>
        <w:rPr>
          <w:rFonts w:hint="eastAsia" w:ascii="仿宋" w:hAnsi="仿宋" w:eastAsia="仿宋" w:cs="仿宋"/>
          <w:b w:val="0"/>
          <w:bCs w:val="0"/>
          <w:color w:val="auto"/>
          <w:sz w:val="30"/>
          <w:szCs w:val="30"/>
          <w:highlight w:val="none"/>
        </w:rPr>
        <w:t>（</w:t>
      </w:r>
      <w:r>
        <w:rPr>
          <w:rFonts w:hint="eastAsia" w:ascii="仿宋" w:hAnsi="仿宋" w:eastAsia="仿宋" w:cs="仿宋"/>
          <w:b w:val="0"/>
          <w:bCs w:val="0"/>
          <w:color w:val="auto"/>
          <w:sz w:val="30"/>
          <w:szCs w:val="30"/>
          <w:highlight w:val="none"/>
          <w:lang w:eastAsia="zh-CN"/>
        </w:rPr>
        <w:t>四</w:t>
      </w:r>
      <w:r>
        <w:rPr>
          <w:rFonts w:hint="eastAsia" w:ascii="仿宋" w:hAnsi="仿宋" w:eastAsia="仿宋" w:cs="仿宋"/>
          <w:b w:val="0"/>
          <w:bCs w:val="0"/>
          <w:color w:val="auto"/>
          <w:sz w:val="30"/>
          <w:szCs w:val="30"/>
          <w:highlight w:val="none"/>
        </w:rPr>
        <w:t>）项目效益情况。</w:t>
      </w:r>
      <w:bookmarkEnd w:id="14"/>
    </w:p>
    <w:p w14:paraId="4B4561CF">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社会效益指标完成情况：指标1：提升企业创新能力，指标值：效果显著，实际完成值：达成目标，指标完成率：100%</w:t>
      </w:r>
    </w:p>
    <w:p w14:paraId="59118CF8">
      <w:pPr>
        <w:pStyle w:val="14"/>
        <w:ind w:left="0" w:leftChars="0" w:firstLine="600" w:firstLineChars="200"/>
        <w:rPr>
          <w:rFonts w:hint="default"/>
          <w:lang w:val="en-US" w:eastAsia="zh-CN"/>
        </w:rPr>
      </w:pPr>
      <w:r>
        <w:rPr>
          <w:rFonts w:hint="eastAsia" w:ascii="仿宋" w:hAnsi="仿宋" w:eastAsia="仿宋" w:cs="仿宋"/>
          <w:b w:val="0"/>
          <w:bCs w:val="0"/>
          <w:color w:val="auto"/>
          <w:kern w:val="2"/>
          <w:sz w:val="30"/>
          <w:szCs w:val="30"/>
          <w:lang w:val="en-US" w:eastAsia="zh-CN" w:bidi="ar-SA"/>
        </w:rPr>
        <w:t>此项权重分10分，得分10分</w:t>
      </w:r>
    </w:p>
    <w:p w14:paraId="24709C3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满意度指标完成情况分析：指标1：企业满意度，指标值：≥90%，实际完成值=100%，指标完成率：111.11%，偏差原因：经调查企业满意度较高，满意度为100%</w:t>
      </w:r>
    </w:p>
    <w:p w14:paraId="7F1F1B65">
      <w:pPr>
        <w:pStyle w:val="14"/>
        <w:ind w:left="0" w:leftChars="0" w:firstLine="600" w:firstLineChars="200"/>
        <w:rPr>
          <w:rFonts w:hint="eastAsia"/>
          <w:lang w:val="en-US" w:eastAsia="zh-CN"/>
        </w:rPr>
      </w:pPr>
      <w:r>
        <w:rPr>
          <w:rFonts w:hint="eastAsia" w:ascii="仿宋" w:hAnsi="仿宋" w:eastAsia="仿宋" w:cs="仿宋"/>
          <w:b w:val="0"/>
          <w:bCs w:val="0"/>
          <w:color w:val="auto"/>
          <w:kern w:val="2"/>
          <w:sz w:val="30"/>
          <w:szCs w:val="30"/>
          <w:lang w:val="en-US" w:eastAsia="zh-CN" w:bidi="ar-SA"/>
        </w:rPr>
        <w:t>此项权重分10分，得分10分</w:t>
      </w:r>
    </w:p>
    <w:p w14:paraId="60A7DF4C">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lang w:eastAsia="zh-Hans"/>
        </w:rPr>
      </w:pPr>
      <w:bookmarkStart w:id="15" w:name="_Toc68703842"/>
      <w:r>
        <w:rPr>
          <w:rFonts w:hint="eastAsia" w:ascii="仿宋" w:hAnsi="仿宋" w:eastAsia="仿宋" w:cs="仿宋"/>
          <w:color w:val="auto"/>
          <w:sz w:val="30"/>
          <w:szCs w:val="30"/>
          <w:lang w:eastAsia="zh-Hans"/>
        </w:rPr>
        <w:t>五、预算执行进度与绩效指标总体完成率偏差</w:t>
      </w:r>
    </w:p>
    <w:p w14:paraId="6219D38D">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u w:val="none"/>
        </w:rPr>
        <w:t>高新技术企业认定后补助奖励项目</w:t>
      </w:r>
      <w:r>
        <w:rPr>
          <w:rFonts w:hint="eastAsia" w:ascii="仿宋" w:hAnsi="仿宋" w:eastAsia="仿宋" w:cs="仿宋"/>
          <w:color w:val="auto"/>
          <w:sz w:val="30"/>
          <w:szCs w:val="30"/>
          <w:highlight w:val="none"/>
        </w:rPr>
        <w:t>项目年初预算</w:t>
      </w:r>
      <w:r>
        <w:rPr>
          <w:rFonts w:hint="eastAsia" w:ascii="仿宋" w:hAnsi="仿宋" w:eastAsia="仿宋" w:cs="仿宋"/>
          <w:color w:val="auto"/>
          <w:sz w:val="30"/>
          <w:szCs w:val="30"/>
          <w:highlight w:val="none"/>
          <w:lang w:val="en-US" w:eastAsia="zh-CN"/>
        </w:rPr>
        <w:t>360</w:t>
      </w:r>
      <w:r>
        <w:rPr>
          <w:rFonts w:hint="eastAsia" w:ascii="仿宋" w:hAnsi="仿宋" w:eastAsia="仿宋" w:cs="仿宋"/>
          <w:color w:val="auto"/>
          <w:sz w:val="30"/>
          <w:szCs w:val="30"/>
          <w:highlight w:val="none"/>
        </w:rPr>
        <w:t>万元，全年预算</w:t>
      </w:r>
      <w:r>
        <w:rPr>
          <w:rFonts w:hint="eastAsia" w:ascii="仿宋" w:hAnsi="仿宋" w:eastAsia="仿宋" w:cs="仿宋"/>
          <w:color w:val="auto"/>
          <w:sz w:val="30"/>
          <w:szCs w:val="30"/>
          <w:highlight w:val="none"/>
          <w:lang w:val="en-US" w:eastAsia="zh-CN"/>
        </w:rPr>
        <w:t>360</w:t>
      </w:r>
      <w:r>
        <w:rPr>
          <w:rFonts w:hint="eastAsia" w:ascii="仿宋" w:hAnsi="仿宋" w:eastAsia="仿宋" w:cs="仿宋"/>
          <w:color w:val="auto"/>
          <w:sz w:val="30"/>
          <w:szCs w:val="30"/>
          <w:highlight w:val="none"/>
        </w:rPr>
        <w:t>万元，实际支出</w:t>
      </w:r>
      <w:r>
        <w:rPr>
          <w:rFonts w:hint="eastAsia" w:ascii="仿宋" w:hAnsi="仿宋" w:eastAsia="仿宋" w:cs="仿宋"/>
          <w:color w:val="auto"/>
          <w:sz w:val="30"/>
          <w:szCs w:val="30"/>
          <w:highlight w:val="none"/>
          <w:lang w:val="en-US" w:eastAsia="zh-CN"/>
        </w:rPr>
        <w:t>360</w:t>
      </w:r>
      <w:r>
        <w:rPr>
          <w:rFonts w:hint="eastAsia" w:ascii="仿宋" w:hAnsi="仿宋" w:eastAsia="仿宋" w:cs="仿宋"/>
          <w:color w:val="auto"/>
          <w:sz w:val="30"/>
          <w:szCs w:val="30"/>
          <w:highlight w:val="none"/>
        </w:rPr>
        <w:t>万元，预算执行率为</w:t>
      </w:r>
      <w:r>
        <w:rPr>
          <w:rFonts w:hint="eastAsia" w:ascii="仿宋" w:hAnsi="仿宋" w:eastAsia="仿宋" w:cs="仿宋"/>
          <w:color w:val="auto"/>
          <w:sz w:val="30"/>
          <w:szCs w:val="30"/>
          <w:highlight w:val="none"/>
          <w:lang w:val="en-US" w:eastAsia="zh-CN"/>
        </w:rPr>
        <w:t>100</w:t>
      </w:r>
      <w:r>
        <w:rPr>
          <w:rFonts w:hint="eastAsia" w:ascii="仿宋" w:hAnsi="仿宋" w:eastAsia="仿宋" w:cs="仿宋"/>
          <w:color w:val="auto"/>
          <w:sz w:val="30"/>
          <w:szCs w:val="30"/>
          <w:highlight w:val="none"/>
        </w:rPr>
        <w:t>%，项目绩效指标总体完成率为</w:t>
      </w:r>
      <w:r>
        <w:rPr>
          <w:rFonts w:hint="eastAsia" w:ascii="仿宋" w:hAnsi="仿宋" w:eastAsia="仿宋" w:cs="仿宋"/>
          <w:color w:val="auto"/>
          <w:sz w:val="30"/>
          <w:szCs w:val="30"/>
          <w:highlight w:val="none"/>
          <w:lang w:val="en-US" w:eastAsia="zh-CN"/>
        </w:rPr>
        <w:t>103.09</w:t>
      </w:r>
      <w:r>
        <w:rPr>
          <w:rFonts w:hint="eastAsia" w:ascii="仿宋" w:hAnsi="仿宋" w:eastAsia="仿宋" w:cs="仿宋"/>
          <w:color w:val="auto"/>
          <w:sz w:val="30"/>
          <w:szCs w:val="30"/>
          <w:highlight w:val="none"/>
        </w:rPr>
        <w:t>%，</w:t>
      </w:r>
      <w:r>
        <w:rPr>
          <w:rFonts w:hint="eastAsia" w:ascii="仿宋" w:hAnsi="仿宋" w:eastAsia="仿宋" w:cs="仿宋"/>
          <w:color w:val="auto"/>
          <w:sz w:val="30"/>
          <w:szCs w:val="30"/>
          <w:highlight w:val="none"/>
          <w:u w:val="none"/>
          <w:lang w:eastAsia="zh-Hans"/>
        </w:rPr>
        <w:t>总体</w:t>
      </w:r>
      <w:r>
        <w:rPr>
          <w:rFonts w:hint="eastAsia" w:ascii="仿宋" w:hAnsi="仿宋" w:eastAsia="仿宋" w:cs="仿宋"/>
          <w:color w:val="auto"/>
          <w:sz w:val="30"/>
          <w:szCs w:val="30"/>
          <w:highlight w:val="none"/>
          <w:u w:val="none"/>
        </w:rPr>
        <w:t>偏差率为</w:t>
      </w:r>
      <w:r>
        <w:rPr>
          <w:rFonts w:hint="eastAsia" w:ascii="仿宋" w:hAnsi="仿宋" w:eastAsia="仿宋" w:cs="仿宋"/>
          <w:color w:val="auto"/>
          <w:sz w:val="30"/>
          <w:szCs w:val="30"/>
          <w:highlight w:val="none"/>
          <w:u w:val="none"/>
          <w:lang w:val="en-US" w:eastAsia="zh-CN"/>
        </w:rPr>
        <w:t>3.09</w:t>
      </w:r>
      <w:r>
        <w:rPr>
          <w:rFonts w:hint="eastAsia" w:ascii="仿宋" w:hAnsi="仿宋" w:eastAsia="仿宋" w:cs="仿宋"/>
          <w:color w:val="auto"/>
          <w:sz w:val="30"/>
          <w:szCs w:val="30"/>
          <w:highlight w:val="none"/>
          <w:u w:val="none"/>
        </w:rPr>
        <w:t>%,</w:t>
      </w:r>
      <w:r>
        <w:rPr>
          <w:rFonts w:hint="eastAsia" w:ascii="仿宋" w:hAnsi="仿宋" w:eastAsia="仿宋" w:cs="仿宋"/>
          <w:color w:val="auto"/>
          <w:sz w:val="30"/>
          <w:szCs w:val="30"/>
          <w:highlight w:val="none"/>
          <w:u w:val="none"/>
          <w:lang w:eastAsia="zh-Hans"/>
        </w:rPr>
        <w:t>偏差</w:t>
      </w:r>
      <w:r>
        <w:rPr>
          <w:rFonts w:hint="eastAsia" w:ascii="仿宋" w:hAnsi="仿宋" w:eastAsia="仿宋" w:cs="仿宋"/>
          <w:color w:val="auto"/>
          <w:sz w:val="30"/>
          <w:szCs w:val="30"/>
          <w:highlight w:val="none"/>
          <w:u w:val="none"/>
        </w:rPr>
        <w:t>原因</w:t>
      </w:r>
      <w:r>
        <w:rPr>
          <w:rFonts w:hint="eastAsia" w:ascii="仿宋" w:hAnsi="仿宋" w:eastAsia="仿宋" w:cs="仿宋"/>
          <w:color w:val="auto"/>
          <w:sz w:val="30"/>
          <w:szCs w:val="30"/>
          <w:highlight w:val="none"/>
          <w:u w:val="none"/>
          <w:lang w:val="en-US" w:eastAsia="zh-CN"/>
        </w:rPr>
        <w:t>经过核查18家企业均正常运营，未列入经营异常名录，正常运营率为</w:t>
      </w:r>
      <w:r>
        <w:rPr>
          <w:rFonts w:hint="eastAsia" w:ascii="仿宋" w:hAnsi="仿宋" w:eastAsia="仿宋" w:cs="仿宋"/>
          <w:color w:val="auto"/>
          <w:sz w:val="30"/>
          <w:szCs w:val="30"/>
          <w:highlight w:val="none"/>
          <w:lang w:val="en-US" w:eastAsia="zh-CN"/>
        </w:rPr>
        <w:t>100%，经调查企业满意度较高，满意度为100%。</w:t>
      </w:r>
      <w:r>
        <w:rPr>
          <w:rFonts w:hint="eastAsia" w:ascii="仿宋" w:hAnsi="仿宋" w:eastAsia="仿宋" w:cs="仿宋"/>
          <w:color w:val="auto"/>
          <w:sz w:val="30"/>
          <w:szCs w:val="30"/>
          <w:highlight w:val="none"/>
          <w:lang w:val="en-US" w:eastAsia="zh-Hans"/>
        </w:rPr>
        <w:t>改进</w:t>
      </w:r>
      <w:r>
        <w:rPr>
          <w:rFonts w:hint="eastAsia" w:ascii="仿宋" w:hAnsi="仿宋" w:eastAsia="仿宋" w:cs="仿宋"/>
          <w:color w:val="auto"/>
          <w:sz w:val="30"/>
          <w:szCs w:val="30"/>
          <w:highlight w:val="none"/>
          <w:lang w:val="en-US" w:eastAsia="zh-CN"/>
        </w:rPr>
        <w:t>措施：在今后的项目执行中加强项目计划指标值设定的合理性以及规范性，提高项目执行率。</w:t>
      </w:r>
    </w:p>
    <w:p w14:paraId="6C93856E">
      <w:pPr>
        <w:pStyle w:val="3"/>
        <w:pageBreakBefore w:val="0"/>
        <w:kinsoku/>
        <w:wordWrap/>
        <w:overflowPunct/>
        <w:topLinePunct w:val="0"/>
        <w:autoSpaceDE/>
        <w:autoSpaceDN/>
        <w:bidi w:val="0"/>
        <w:adjustRightInd/>
        <w:snapToGrid/>
        <w:spacing w:before="0" w:after="0" w:line="560" w:lineRule="exact"/>
        <w:ind w:firstLine="602"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六</w:t>
      </w:r>
      <w:r>
        <w:rPr>
          <w:rFonts w:hint="eastAsia" w:ascii="仿宋" w:hAnsi="仿宋" w:eastAsia="仿宋" w:cs="仿宋"/>
          <w:color w:val="auto"/>
          <w:sz w:val="30"/>
          <w:szCs w:val="30"/>
        </w:rPr>
        <w:t>、主要经验及做法、存在的问题及原因分析</w:t>
      </w:r>
      <w:bookmarkEnd w:id="15"/>
    </w:p>
    <w:p w14:paraId="433511D1">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color w:val="auto"/>
          <w:sz w:val="30"/>
          <w:szCs w:val="30"/>
        </w:rPr>
      </w:pPr>
      <w:bookmarkStart w:id="16" w:name="_Toc68703843"/>
      <w:r>
        <w:rPr>
          <w:rFonts w:hint="eastAsia" w:ascii="仿宋" w:hAnsi="仿宋" w:eastAsia="仿宋" w:cs="仿宋"/>
          <w:b w:val="0"/>
          <w:bCs w:val="0"/>
          <w:color w:val="auto"/>
          <w:sz w:val="30"/>
          <w:szCs w:val="30"/>
        </w:rPr>
        <w:t>（一）主要经验及做法</w:t>
      </w:r>
      <w:bookmarkEnd w:id="16"/>
    </w:p>
    <w:p w14:paraId="2031DA68">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lang w:eastAsia="zh-CN"/>
        </w:rPr>
      </w:pPr>
      <w:r>
        <w:rPr>
          <w:rFonts w:hint="eastAsia" w:ascii="仿宋" w:hAnsi="仿宋" w:eastAsia="仿宋" w:cs="仿宋"/>
          <w:color w:val="auto"/>
          <w:sz w:val="30"/>
          <w:szCs w:val="30"/>
        </w:rPr>
        <w:t>本项目资金来源来源渠道明确</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为财政拨款资金，</w:t>
      </w:r>
      <w:r>
        <w:rPr>
          <w:rFonts w:hint="eastAsia" w:ascii="仿宋" w:hAnsi="仿宋" w:eastAsia="仿宋" w:cs="仿宋"/>
          <w:color w:val="auto"/>
          <w:sz w:val="30"/>
          <w:szCs w:val="30"/>
          <w:lang w:val="en-US" w:eastAsia="zh-CN"/>
        </w:rPr>
        <w:t>资金来源渠道符合相关规定，资金筹措程序科学规范，奖励资金由巴州科技局拨付，确保资金能够按时到位。</w:t>
      </w:r>
      <w:r>
        <w:rPr>
          <w:rFonts w:hint="eastAsia" w:ascii="仿宋" w:hAnsi="仿宋" w:eastAsia="仿宋" w:cs="仿宋"/>
          <w:color w:val="auto"/>
          <w:sz w:val="30"/>
          <w:szCs w:val="30"/>
        </w:rPr>
        <w:t>遵循客观公正原则、科学规范原则、依据充分原则、成本效益原则，强化对资金支出的事前监管，筹资渠道合规</w:t>
      </w:r>
      <w:r>
        <w:rPr>
          <w:rFonts w:hint="eastAsia" w:ascii="仿宋" w:hAnsi="仿宋" w:eastAsia="仿宋" w:cs="仿宋"/>
          <w:color w:val="auto"/>
          <w:sz w:val="30"/>
          <w:szCs w:val="30"/>
          <w:lang w:eastAsia="zh-CN"/>
        </w:rPr>
        <w:t>。</w:t>
      </w:r>
    </w:p>
    <w:p w14:paraId="7D24E844">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 w:hAnsi="仿宋" w:eastAsia="仿宋" w:cs="仿宋"/>
          <w:b w:val="0"/>
          <w:bCs w:val="0"/>
          <w:color w:val="auto"/>
          <w:sz w:val="30"/>
          <w:szCs w:val="30"/>
        </w:rPr>
      </w:pPr>
      <w:bookmarkStart w:id="17" w:name="_Toc68703844"/>
      <w:r>
        <w:rPr>
          <w:rFonts w:hint="eastAsia" w:ascii="仿宋" w:hAnsi="仿宋" w:eastAsia="仿宋" w:cs="仿宋"/>
          <w:b w:val="0"/>
          <w:bCs w:val="0"/>
          <w:color w:val="auto"/>
          <w:sz w:val="30"/>
          <w:szCs w:val="30"/>
        </w:rPr>
        <w:t>（二）存在的问题及原因分析</w:t>
      </w:r>
      <w:bookmarkEnd w:id="17"/>
    </w:p>
    <w:p w14:paraId="40DDE136">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highlight w:val="none"/>
          <w:lang w:val="en-US" w:eastAsia="zh-CN"/>
        </w:rPr>
      </w:pPr>
      <w:bookmarkStart w:id="18" w:name="_Toc68703845"/>
      <w:r>
        <w:rPr>
          <w:rFonts w:hint="eastAsia" w:ascii="仿宋" w:hAnsi="仿宋" w:eastAsia="仿宋" w:cs="仿宋"/>
          <w:color w:val="auto"/>
          <w:sz w:val="30"/>
          <w:szCs w:val="30"/>
          <w:highlight w:val="none"/>
          <w:lang w:val="en-US" w:eastAsia="zh-CN"/>
        </w:rPr>
        <w:t>相关绩效管理方面专业知识的系统性学习待加强。各项指标的设置要进一步优化、完善，主要在细化、量化上改进。在绩效自评过程中，由于部分人员的缺乏相关专业知识，自评价工作还存在自我审定的局限性，影响评价工作。</w:t>
      </w:r>
    </w:p>
    <w:p w14:paraId="4DA3C15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七</w:t>
      </w:r>
      <w:r>
        <w:rPr>
          <w:rFonts w:hint="eastAsia" w:ascii="仿宋" w:hAnsi="仿宋" w:eastAsia="仿宋" w:cs="仿宋"/>
          <w:color w:val="auto"/>
          <w:sz w:val="30"/>
          <w:szCs w:val="30"/>
        </w:rPr>
        <w:t>、有关建议</w:t>
      </w:r>
      <w:bookmarkEnd w:id="18"/>
    </w:p>
    <w:p w14:paraId="5692965B">
      <w:pPr>
        <w:pageBreakBefore w:val="0"/>
        <w:shd w:val="clear"/>
        <w:kinsoku/>
        <w:wordWrap/>
        <w:overflowPunct/>
        <w:topLinePunct w:val="0"/>
        <w:autoSpaceDE/>
        <w:autoSpaceDN/>
        <w:bidi w:val="0"/>
        <w:adjustRightInd/>
        <w:snapToGrid/>
        <w:spacing w:line="560" w:lineRule="exact"/>
        <w:ind w:firstLine="600" w:firstLineChars="200"/>
        <w:textAlignment w:val="auto"/>
        <w:outlineLvl w:val="0"/>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针对存在问题巴州科技局积极开展绩效管理知识方面的工作培训，进一步提升我局绩效管理工作业务水品，扎实做好绩效管理工作。进一步加强工作的组织领导，提高对预算绩效管理工作的认识，总结经验查找问题，制定更完善的绩效评价管理办法。加大我局对绩效管理工作的学习力度，让“花钱必问效，无效必问责”的理念深入工作每个环节。</w:t>
      </w:r>
    </w:p>
    <w:p w14:paraId="2357E531">
      <w:pPr>
        <w:pStyle w:val="3"/>
        <w:pageBreakBefore w:val="0"/>
        <w:kinsoku/>
        <w:wordWrap/>
        <w:overflowPunct/>
        <w:topLinePunct w:val="0"/>
        <w:autoSpaceDE/>
        <w:autoSpaceDN/>
        <w:bidi w:val="0"/>
        <w:adjustRightInd/>
        <w:snapToGrid/>
        <w:spacing w:before="0" w:after="0" w:line="560" w:lineRule="exact"/>
        <w:ind w:firstLine="602" w:firstLineChars="200"/>
        <w:textAlignment w:val="auto"/>
        <w:rPr>
          <w:rFonts w:hint="eastAsia" w:ascii="仿宋" w:hAnsi="仿宋" w:eastAsia="仿宋" w:cs="仿宋"/>
          <w:color w:val="auto"/>
          <w:sz w:val="30"/>
          <w:szCs w:val="30"/>
        </w:rPr>
      </w:pPr>
      <w:bookmarkStart w:id="19" w:name="_Toc68703846"/>
      <w:r>
        <w:rPr>
          <w:rFonts w:hint="eastAsia" w:ascii="仿宋" w:hAnsi="仿宋" w:eastAsia="仿宋" w:cs="仿宋"/>
          <w:color w:val="auto"/>
          <w:sz w:val="30"/>
          <w:szCs w:val="30"/>
          <w:lang w:val="en-US" w:eastAsia="zh-CN"/>
        </w:rPr>
        <w:t>八</w:t>
      </w:r>
      <w:r>
        <w:rPr>
          <w:rFonts w:hint="eastAsia" w:ascii="仿宋" w:hAnsi="仿宋" w:eastAsia="仿宋" w:cs="仿宋"/>
          <w:color w:val="auto"/>
          <w:sz w:val="30"/>
          <w:szCs w:val="30"/>
        </w:rPr>
        <w:t>、其他需要说明的问题</w:t>
      </w:r>
      <w:bookmarkEnd w:id="19"/>
    </w:p>
    <w:p w14:paraId="2FD1D09E">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auto"/>
          <w:sz w:val="30"/>
          <w:szCs w:val="30"/>
          <w:lang w:eastAsia="zh-CN"/>
        </w:rPr>
      </w:pPr>
      <w:r>
        <w:rPr>
          <w:rFonts w:hint="eastAsia" w:ascii="仿宋" w:hAnsi="仿宋" w:eastAsia="仿宋" w:cs="仿宋"/>
          <w:color w:val="auto"/>
          <w:sz w:val="30"/>
          <w:szCs w:val="30"/>
          <w:lang w:eastAsia="zh-CN"/>
        </w:rPr>
        <w:t>本项目</w:t>
      </w:r>
      <w:r>
        <w:rPr>
          <w:rFonts w:hint="eastAsia" w:ascii="仿宋" w:hAnsi="仿宋" w:eastAsia="仿宋" w:cs="仿宋"/>
          <w:color w:val="auto"/>
          <w:sz w:val="30"/>
          <w:szCs w:val="30"/>
        </w:rPr>
        <w:t>无</w:t>
      </w:r>
      <w:r>
        <w:rPr>
          <w:rFonts w:hint="eastAsia" w:ascii="仿宋" w:hAnsi="仿宋" w:eastAsia="仿宋" w:cs="仿宋"/>
          <w:color w:val="auto"/>
          <w:sz w:val="30"/>
          <w:szCs w:val="30"/>
          <w:lang w:eastAsia="zh-CN"/>
        </w:rPr>
        <w:t>其他需说明的问题。</w:t>
      </w:r>
    </w:p>
    <w:p w14:paraId="154F2E3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p>
    <w:p w14:paraId="31A54C91">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F2A6BF7"/>
    <w:rsid w:val="15EC4D86"/>
    <w:rsid w:val="179C5818"/>
    <w:rsid w:val="1D723F37"/>
    <w:rsid w:val="1D785367"/>
    <w:rsid w:val="21465063"/>
    <w:rsid w:val="22151078"/>
    <w:rsid w:val="2BBB564C"/>
    <w:rsid w:val="2E200339"/>
    <w:rsid w:val="2EFA351F"/>
    <w:rsid w:val="328B5C1F"/>
    <w:rsid w:val="32AE0DEC"/>
    <w:rsid w:val="36B72533"/>
    <w:rsid w:val="39E61B8F"/>
    <w:rsid w:val="3A674D9B"/>
    <w:rsid w:val="3BD64A55"/>
    <w:rsid w:val="3CF30BB1"/>
    <w:rsid w:val="4057649F"/>
    <w:rsid w:val="421D5DAC"/>
    <w:rsid w:val="43182414"/>
    <w:rsid w:val="43B93FA8"/>
    <w:rsid w:val="46507BB3"/>
    <w:rsid w:val="4928790D"/>
    <w:rsid w:val="49435481"/>
    <w:rsid w:val="4A7C25BE"/>
    <w:rsid w:val="4C22332E"/>
    <w:rsid w:val="56796849"/>
    <w:rsid w:val="5DA95371"/>
    <w:rsid w:val="600D2854"/>
    <w:rsid w:val="65DE076E"/>
    <w:rsid w:val="68F11999"/>
    <w:rsid w:val="6BA563A9"/>
    <w:rsid w:val="714D0A05"/>
    <w:rsid w:val="763A0251"/>
    <w:rsid w:val="785712FB"/>
    <w:rsid w:val="78A857E1"/>
    <w:rsid w:val="7B7030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qFormat="1" w:uiPriority="99" w:semiHidden="0"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index 6"/>
    <w:basedOn w:val="1"/>
    <w:next w:val="1"/>
    <w:unhideWhenUsed/>
    <w:qFormat/>
    <w:uiPriority w:val="99"/>
    <w:pPr>
      <w:ind w:left="1000" w:leftChars="1000"/>
    </w:pPr>
  </w:style>
  <w:style w:type="paragraph" w:styleId="7">
    <w:name w:val="Body Text"/>
    <w:basedOn w:val="1"/>
    <w:next w:val="1"/>
    <w:qFormat/>
    <w:uiPriority w:val="1"/>
    <w:rPr>
      <w:rFonts w:ascii="宋体" w:hAnsi="宋体" w:eastAsia="宋体" w:cs="宋体"/>
      <w:sz w:val="20"/>
      <w:szCs w:val="20"/>
      <w:lang w:val="zh-CN" w:eastAsia="zh-CN" w:bidi="zh-CN"/>
    </w:rPr>
  </w:style>
  <w:style w:type="paragraph" w:styleId="8">
    <w:name w:val="Body Text Indent"/>
    <w:basedOn w:val="1"/>
    <w:next w:val="7"/>
    <w:qFormat/>
    <w:uiPriority w:val="0"/>
    <w:pPr>
      <w:spacing w:after="120"/>
      <w:ind w:left="420" w:leftChars="200"/>
    </w:pPr>
    <w:rPr>
      <w:rFonts w:eastAsia="仿宋"/>
    </w:rPr>
  </w:style>
  <w:style w:type="paragraph" w:styleId="9">
    <w:name w:val="footer"/>
    <w:basedOn w:val="1"/>
    <w:link w:val="22"/>
    <w:semiHidden/>
    <w:unhideWhenUsed/>
    <w:qFormat/>
    <w:uiPriority w:val="99"/>
    <w:pPr>
      <w:tabs>
        <w:tab w:val="center" w:pos="4153"/>
        <w:tab w:val="right" w:pos="8306"/>
      </w:tabs>
      <w:snapToGrid w:val="0"/>
      <w:jc w:val="left"/>
    </w:pPr>
    <w:rPr>
      <w:sz w:val="18"/>
      <w:szCs w:val="18"/>
    </w:rPr>
  </w:style>
  <w:style w:type="paragraph" w:styleId="10">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3">
    <w:name w:val="Body Text First Indent"/>
    <w:basedOn w:val="7"/>
    <w:next w:val="6"/>
    <w:qFormat/>
    <w:uiPriority w:val="0"/>
    <w:pPr>
      <w:ind w:firstLine="420" w:firstLineChars="100"/>
    </w:pPr>
    <w:rPr>
      <w:rFonts w:eastAsia="宋体" w:cs="Times New Roman"/>
      <w:szCs w:val="24"/>
    </w:rPr>
  </w:style>
  <w:style w:type="paragraph" w:styleId="14">
    <w:name w:val="Body Text First Indent 2"/>
    <w:basedOn w:val="8"/>
    <w:next w:val="13"/>
    <w:qFormat/>
    <w:uiPriority w:val="0"/>
    <w:pPr>
      <w:spacing w:after="0"/>
      <w:ind w:firstLine="420" w:firstLineChars="200"/>
    </w:pPr>
    <w:rPr>
      <w:rFonts w:eastAsia="宋体" w:cs="Times New Roman"/>
      <w:szCs w:val="24"/>
    </w:r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customStyle="1" w:styleId="18">
    <w:name w:val="标题 1 Char"/>
    <w:basedOn w:val="16"/>
    <w:link w:val="3"/>
    <w:qFormat/>
    <w:uiPriority w:val="9"/>
    <w:rPr>
      <w:rFonts w:ascii="Times New Roman" w:hAnsi="Times New Roman" w:eastAsia="仿宋_GB2312" w:cs="Times New Roman"/>
      <w:b/>
      <w:bCs/>
      <w:kern w:val="44"/>
      <w:sz w:val="44"/>
      <w:szCs w:val="44"/>
    </w:rPr>
  </w:style>
  <w:style w:type="character" w:customStyle="1" w:styleId="19">
    <w:name w:val="标题 2 Char"/>
    <w:basedOn w:val="16"/>
    <w:link w:val="4"/>
    <w:qFormat/>
    <w:uiPriority w:val="9"/>
    <w:rPr>
      <w:rFonts w:asciiTheme="majorHAnsi" w:hAnsiTheme="majorHAnsi" w:eastAsiaTheme="majorEastAsia" w:cstheme="majorBidi"/>
      <w:b/>
      <w:bCs/>
      <w:sz w:val="32"/>
      <w:szCs w:val="32"/>
    </w:rPr>
  </w:style>
  <w:style w:type="paragraph" w:customStyle="1" w:styleId="20">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1">
    <w:name w:val="页眉 Char"/>
    <w:basedOn w:val="16"/>
    <w:link w:val="10"/>
    <w:semiHidden/>
    <w:qFormat/>
    <w:uiPriority w:val="99"/>
    <w:rPr>
      <w:rFonts w:ascii="Times New Roman" w:hAnsi="Times New Roman" w:eastAsia="仿宋_GB2312" w:cs="Times New Roman"/>
      <w:sz w:val="18"/>
      <w:szCs w:val="18"/>
    </w:rPr>
  </w:style>
  <w:style w:type="character" w:customStyle="1" w:styleId="22">
    <w:name w:val="页脚 Char"/>
    <w:basedOn w:val="16"/>
    <w:link w:val="9"/>
    <w:semiHidden/>
    <w:qFormat/>
    <w:uiPriority w:val="99"/>
    <w:rPr>
      <w:rFonts w:ascii="Times New Roman" w:hAnsi="Times New Roman" w:eastAsia="仿宋_GB2312" w:cs="Times New Roman"/>
      <w:sz w:val="18"/>
      <w:szCs w:val="18"/>
    </w:rPr>
  </w:style>
  <w:style w:type="paragraph" w:customStyle="1" w:styleId="23">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6467</Words>
  <Characters>6780</Characters>
  <Lines>37</Lines>
  <Paragraphs>10</Paragraphs>
  <TotalTime>24</TotalTime>
  <ScaleCrop>false</ScaleCrop>
  <LinksUpToDate>false</LinksUpToDate>
  <CharactersWithSpaces>6818</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2024-09-30T09:25:50Z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00B83A0FBABF4084B160CBD385F2636D</vt:lpwstr>
  </property>
</Properties>
</file>