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CE85C">
      <w:pPr>
        <w:spacing w:line="560" w:lineRule="exact"/>
        <w:ind w:firstLine="964" w:firstLineChars="200"/>
        <w:jc w:val="center"/>
        <w:rPr>
          <w:rFonts w:ascii="宋体" w:hAnsi="宋体" w:eastAsia="宋体" w:cs="Arial"/>
          <w:b/>
          <w:bCs/>
          <w:sz w:val="48"/>
          <w:szCs w:val="48"/>
        </w:rPr>
      </w:pPr>
    </w:p>
    <w:p w14:paraId="1CC4E6B8">
      <w:pPr>
        <w:spacing w:line="560" w:lineRule="exact"/>
        <w:ind w:firstLine="964" w:firstLineChars="200"/>
        <w:jc w:val="center"/>
        <w:rPr>
          <w:rFonts w:ascii="宋体" w:hAnsi="宋体" w:eastAsia="宋体" w:cs="Arial"/>
          <w:b/>
          <w:bCs/>
          <w:sz w:val="48"/>
          <w:szCs w:val="48"/>
        </w:rPr>
      </w:pPr>
    </w:p>
    <w:p w14:paraId="3F6A6034">
      <w:pPr>
        <w:spacing w:line="560" w:lineRule="exact"/>
        <w:ind w:firstLine="964" w:firstLineChars="200"/>
        <w:jc w:val="center"/>
        <w:rPr>
          <w:rFonts w:ascii="宋体" w:hAnsi="宋体" w:eastAsia="宋体" w:cs="Arial"/>
          <w:b/>
          <w:bCs/>
          <w:sz w:val="48"/>
          <w:szCs w:val="48"/>
        </w:rPr>
      </w:pPr>
    </w:p>
    <w:p w14:paraId="544BDC8C">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D02EBC4">
      <w:pPr>
        <w:spacing w:line="560" w:lineRule="exact"/>
        <w:ind w:firstLine="964" w:firstLineChars="200"/>
        <w:jc w:val="center"/>
        <w:rPr>
          <w:rFonts w:ascii="宋体" w:hAnsi="宋体" w:eastAsia="宋体" w:cs="Arial"/>
          <w:b/>
          <w:bCs/>
          <w:sz w:val="48"/>
          <w:szCs w:val="48"/>
        </w:rPr>
      </w:pPr>
    </w:p>
    <w:p w14:paraId="3079EF41">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71A27888">
      <w:pPr>
        <w:spacing w:line="560" w:lineRule="exact"/>
        <w:ind w:firstLine="1004" w:firstLineChars="200"/>
        <w:jc w:val="center"/>
        <w:rPr>
          <w:rFonts w:ascii="仿宋_GB2312" w:hAnsi="仿宋_GB2312" w:cs="仿宋_GB2312"/>
          <w:b/>
          <w:kern w:val="0"/>
          <w:sz w:val="50"/>
          <w:szCs w:val="50"/>
          <w:lang w:bidi="en-US"/>
        </w:rPr>
      </w:pPr>
    </w:p>
    <w:p w14:paraId="2792C2DE">
      <w:pPr>
        <w:spacing w:line="560" w:lineRule="exact"/>
        <w:ind w:firstLine="1004" w:firstLineChars="200"/>
        <w:jc w:val="center"/>
        <w:rPr>
          <w:rFonts w:ascii="仿宋_GB2312" w:hAnsi="仿宋_GB2312" w:cs="仿宋_GB2312"/>
          <w:b/>
          <w:kern w:val="0"/>
          <w:sz w:val="50"/>
          <w:szCs w:val="50"/>
          <w:lang w:bidi="en-US"/>
        </w:rPr>
      </w:pPr>
    </w:p>
    <w:p w14:paraId="4ED4A3C7">
      <w:pPr>
        <w:spacing w:line="560" w:lineRule="exact"/>
        <w:ind w:firstLine="1004" w:firstLineChars="200"/>
        <w:jc w:val="center"/>
        <w:rPr>
          <w:rFonts w:ascii="仿宋_GB2312" w:hAnsi="仿宋_GB2312" w:cs="仿宋_GB2312"/>
          <w:b/>
          <w:kern w:val="0"/>
          <w:sz w:val="50"/>
          <w:szCs w:val="50"/>
          <w:lang w:bidi="en-US"/>
        </w:rPr>
      </w:pPr>
    </w:p>
    <w:p w14:paraId="6134F0FD">
      <w:pPr>
        <w:spacing w:line="560" w:lineRule="exact"/>
        <w:ind w:firstLine="1004" w:firstLineChars="200"/>
        <w:jc w:val="center"/>
        <w:rPr>
          <w:rFonts w:ascii="仿宋_GB2312" w:hAnsi="仿宋_GB2312" w:cs="仿宋_GB2312"/>
          <w:b/>
          <w:kern w:val="0"/>
          <w:sz w:val="50"/>
          <w:szCs w:val="50"/>
          <w:lang w:bidi="en-US"/>
        </w:rPr>
      </w:pPr>
    </w:p>
    <w:p w14:paraId="42B96A21">
      <w:pPr>
        <w:spacing w:line="560" w:lineRule="exact"/>
        <w:ind w:firstLine="1004" w:firstLineChars="200"/>
        <w:jc w:val="center"/>
        <w:rPr>
          <w:rFonts w:ascii="仿宋_GB2312" w:hAnsi="仿宋_GB2312" w:cs="仿宋_GB2312"/>
          <w:b/>
          <w:kern w:val="0"/>
          <w:sz w:val="50"/>
          <w:szCs w:val="50"/>
          <w:lang w:bidi="en-US"/>
        </w:rPr>
      </w:pPr>
    </w:p>
    <w:p w14:paraId="17BFED3C">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项目名称：巴财教〔2022〕37号关于提前下达2023年教育项目直达资金的--学生资助（中等职业-免学费）</w:t>
      </w:r>
    </w:p>
    <w:p w14:paraId="10029E94">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实施单位（公章）：新疆巴州红旗高级技工学校</w:t>
      </w:r>
    </w:p>
    <w:p w14:paraId="339155F4">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主管部门（公章）：新疆巴州红旗高级技工学校</w:t>
      </w:r>
    </w:p>
    <w:p w14:paraId="2263EF86">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项目负责人（签章）：刘刚</w:t>
      </w:r>
    </w:p>
    <w:p w14:paraId="4FEDC98E">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2024年5月15日</w:t>
      </w:r>
    </w:p>
    <w:p w14:paraId="650D4A7A">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66C2AB50">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1D11FFB">
      <w:pPr>
        <w:spacing w:line="560" w:lineRule="exact"/>
        <w:ind w:firstLine="600" w:firstLineChars="200"/>
        <w:jc w:val="center"/>
        <w:rPr>
          <w:rFonts w:ascii="仿宋_GB2312"/>
        </w:rPr>
      </w:pPr>
      <w:r>
        <w:rPr>
          <w:rFonts w:hint="eastAsia" w:ascii="仿宋_GB2312"/>
        </w:rPr>
        <w:t>（参考提纲）</w:t>
      </w:r>
    </w:p>
    <w:p w14:paraId="5C21B43C">
      <w:pPr>
        <w:spacing w:line="560" w:lineRule="exact"/>
        <w:ind w:firstLine="600" w:firstLineChars="200"/>
        <w:jc w:val="center"/>
        <w:rPr>
          <w:rFonts w:ascii="仿宋_GB2312"/>
          <w:szCs w:val="30"/>
        </w:rPr>
      </w:pPr>
    </w:p>
    <w:p w14:paraId="25FE95B8">
      <w:pPr>
        <w:pStyle w:val="2"/>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5D29C81">
      <w:pPr>
        <w:pStyle w:val="3"/>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54AA6798">
      <w:pPr>
        <w:spacing w:line="560" w:lineRule="exact"/>
        <w:ind w:firstLine="600" w:firstLineChars="200"/>
        <w:rPr>
          <w:rFonts w:ascii="仿宋_GB2312"/>
        </w:rPr>
      </w:pPr>
      <w:r>
        <w:rPr>
          <w:rFonts w:hint="eastAsia" w:ascii="仿宋_GB2312"/>
        </w:rPr>
        <w:t>1.项目背景，主要内容及实施情况</w:t>
      </w:r>
    </w:p>
    <w:p w14:paraId="24D0CED3">
      <w:pPr>
        <w:spacing w:line="560" w:lineRule="exact"/>
        <w:ind w:firstLine="600" w:firstLineChars="200"/>
        <w:rPr>
          <w:rFonts w:ascii="仿宋_GB2312"/>
        </w:rPr>
      </w:pPr>
      <w:r>
        <w:rPr>
          <w:rFonts w:hint="eastAsia" w:ascii="仿宋_GB2312"/>
        </w:rPr>
        <w:t>（1）项目背景</w:t>
      </w:r>
    </w:p>
    <w:p w14:paraId="07C7DE6D">
      <w:pPr>
        <w:spacing w:line="560" w:lineRule="exact"/>
        <w:ind w:firstLine="600" w:firstLineChars="200"/>
        <w:rPr>
          <w:rFonts w:ascii="仿宋_GB2312"/>
        </w:rPr>
      </w:pPr>
      <w:r>
        <w:rPr>
          <w:rFonts w:hint="eastAsia" w:ascii="仿宋_GB2312"/>
        </w:rPr>
        <w:t>根据《学生资助资金管理办法》、《新疆维吾尔自治区学生资助资金管理办法》的通知，《自治州建档立卡贫困户学生教育资助政策实施细则》（巴扶领子〔2018〕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根据巴财教〔2022〕37号关于提前下达2023年教育项目直达资金的--学生资助（中等职业-免学费）下达63.08万元，建成该项目，用于保障学校运转。</w:t>
      </w:r>
    </w:p>
    <w:p w14:paraId="36E3F8F7">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2424EEED">
      <w:pPr>
        <w:spacing w:line="560" w:lineRule="exact"/>
        <w:ind w:firstLine="600" w:firstLineChars="200"/>
        <w:rPr>
          <w:rFonts w:ascii="仿宋_GB2312"/>
        </w:rPr>
      </w:pPr>
      <w:r>
        <w:rPr>
          <w:rFonts w:hint="eastAsia" w:ascii="仿宋_GB2312"/>
        </w:rPr>
        <w:t>主要内容：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p>
    <w:p w14:paraId="679C1A21">
      <w:pPr>
        <w:spacing w:line="560" w:lineRule="exact"/>
        <w:ind w:firstLine="600" w:firstLineChars="200"/>
        <w:rPr>
          <w:rFonts w:ascii="仿宋_GB2312"/>
        </w:rPr>
      </w:pPr>
      <w:r>
        <w:rPr>
          <w:rFonts w:hint="eastAsia" w:ascii="仿宋_GB2312"/>
        </w:rPr>
        <w:t>实施情况：中职免学费享受人数为631人，高中阶段各项国家资助政策按规定得到落实，中职免学费应受助学生资助比例达到100%。教育公平显著提升，满足家庭经济困难学生基本学习生活需要。</w:t>
      </w:r>
    </w:p>
    <w:p w14:paraId="3E7AF394">
      <w:pPr>
        <w:spacing w:line="560" w:lineRule="exact"/>
        <w:ind w:firstLine="600" w:firstLineChars="200"/>
        <w:rPr>
          <w:rFonts w:ascii="仿宋_GB2312"/>
        </w:rPr>
      </w:pPr>
      <w:r>
        <w:rPr>
          <w:rFonts w:hint="eastAsia" w:ascii="仿宋_GB2312"/>
        </w:rPr>
        <w:t>2.资金投入和使用情况</w:t>
      </w:r>
    </w:p>
    <w:p w14:paraId="1ACAD59A">
      <w:pPr>
        <w:spacing w:line="560" w:lineRule="exact"/>
        <w:ind w:firstLine="600" w:firstLineChars="200"/>
        <w:rPr>
          <w:color w:val="FF0000"/>
        </w:rPr>
      </w:pPr>
      <w:r>
        <w:rPr>
          <w:rFonts w:hint="eastAsia"/>
        </w:rPr>
        <w:t>（1）资金投入情况：该项目年初预算数63.08万元，全年预算数63.08万元，实际总投入63.08万元，该项目资金已全部落实到位资金来源为自治区教育直达资金。</w:t>
      </w:r>
    </w:p>
    <w:p w14:paraId="6D688230">
      <w:pPr>
        <w:spacing w:line="560" w:lineRule="exact"/>
        <w:ind w:firstLine="600" w:firstLineChars="200"/>
        <w:rPr>
          <w:color w:val="000000" w:themeColor="text1"/>
        </w:rPr>
      </w:pPr>
      <w:r>
        <w:rPr>
          <w:rFonts w:hint="eastAsia"/>
        </w:rPr>
        <w:t>（2）资金使用情况：该项目年初预算数63.08万元，全年预算数63.08万元，全年执行数63.08万元，预算执行率为100%。</w:t>
      </w:r>
      <w:r>
        <w:rPr>
          <w:rFonts w:hint="eastAsia"/>
          <w:color w:val="000000" w:themeColor="text1"/>
        </w:rPr>
        <w:t>资金主要用于：弥补全年外聘保安、后勤、师资等人员劳务费及校舍的维修（护）支出等公用经费支出。确保学校较好完成2023全年教育教学工作。</w:t>
      </w:r>
    </w:p>
    <w:p w14:paraId="0B154852">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74D656DC">
      <w:pPr>
        <w:spacing w:line="560" w:lineRule="exact"/>
        <w:ind w:firstLine="600" w:firstLineChars="200"/>
      </w:pPr>
      <w:r>
        <w:rPr>
          <w:rFonts w:hint="eastAsia"/>
        </w:rPr>
        <w:t>1.总体目标：高中阶段各项国家资助政策按规定得到落实。                                       教育公平显著提升，满足家庭经济困难学生基本学习生活需要。中职免学费应受助学生资助比例达到100%。</w:t>
      </w:r>
    </w:p>
    <w:p w14:paraId="7A87B207">
      <w:pPr>
        <w:spacing w:line="560" w:lineRule="exact"/>
        <w:ind w:firstLine="600" w:firstLineChars="200"/>
      </w:pPr>
      <w:r>
        <w:t>2</w:t>
      </w:r>
      <w:r>
        <w:rPr>
          <w:rFonts w:hint="eastAsia"/>
        </w:rPr>
        <w:t>.阶段性目标：</w:t>
      </w:r>
      <w:bookmarkStart w:id="3" w:name="_Toc68703830"/>
      <w:r>
        <w:rPr>
          <w:rFonts w:hint="eastAsia"/>
        </w:rPr>
        <w:t>计划2023年1-3月，完成上级专项资金的申请拨付，向学生宣传免学费补助政策，对免除的学费按学生班级签名确认。4-6月，落实免学费保障资金实施工作计划。7-9月，重点对免学费补助资金实施进度进度</w:t>
      </w:r>
      <w:r>
        <w:rPr>
          <w:rFonts w:hint="eastAsia"/>
          <w:lang w:eastAsia="zh-CN"/>
        </w:rPr>
        <w:t>跟踪</w:t>
      </w:r>
      <w:bookmarkStart w:id="19" w:name="_GoBack"/>
      <w:bookmarkEnd w:id="19"/>
      <w:r>
        <w:rPr>
          <w:rFonts w:hint="eastAsia"/>
        </w:rPr>
        <w:t>监督，需在假期实施的维修、采购督促完成。10-12月，除劳务费等需按进度支付的督促完成以外，对全年预算按月进行及时梳理，保障各项工作任务如期完成。</w:t>
      </w:r>
    </w:p>
    <w:p w14:paraId="058E5D64">
      <w:pPr>
        <w:pStyle w:val="2"/>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二、绩效评价工作开展情况</w:t>
      </w:r>
      <w:bookmarkEnd w:id="3"/>
    </w:p>
    <w:p w14:paraId="743FF619">
      <w:pPr>
        <w:pStyle w:val="3"/>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04A94321">
      <w:pPr>
        <w:spacing w:line="560" w:lineRule="exact"/>
        <w:ind w:firstLine="600" w:firstLineChars="200"/>
      </w:pPr>
      <w:r>
        <w:rPr>
          <w:rFonts w:hint="eastAsia"/>
        </w:rPr>
        <w:t>1.绩效评价目的：</w:t>
      </w:r>
    </w:p>
    <w:p w14:paraId="0F9AC170">
      <w:pPr>
        <w:spacing w:line="560" w:lineRule="exact"/>
        <w:ind w:firstLine="600" w:firstLineChars="200"/>
      </w:pPr>
      <w:r>
        <w:rPr>
          <w:rFonts w:hint="eastAsia"/>
        </w:rPr>
        <w:t>通过绩效评价，客观地评判项目的管理绩效，了解和掌握巴财教〔2022〕37号关于提前下达2023年教育项目直达资金的--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0C1D129B">
      <w:pPr>
        <w:spacing w:line="560" w:lineRule="exact"/>
        <w:ind w:firstLine="600" w:firstLineChars="200"/>
        <w:jc w:val="left"/>
      </w:pPr>
      <w:r>
        <w:rPr>
          <w:rFonts w:hint="eastAsia"/>
        </w:rPr>
        <w:t>2.绩效评价对象：</w:t>
      </w:r>
    </w:p>
    <w:p w14:paraId="0F21C2BF">
      <w:pPr>
        <w:spacing w:line="560" w:lineRule="exact"/>
        <w:ind w:firstLine="600" w:firstLineChars="200"/>
      </w:pPr>
      <w:r>
        <w:rPr>
          <w:rFonts w:hint="eastAsia"/>
        </w:rPr>
        <w:t>巴财教〔2022〕37号关于提前下达2023年教育项目直达资金的--学生资助（中等职业-免学费）预算项目所包含的全部项目内容。</w:t>
      </w:r>
    </w:p>
    <w:p w14:paraId="5358184B">
      <w:pPr>
        <w:spacing w:line="560" w:lineRule="exact"/>
        <w:ind w:firstLine="600" w:firstLineChars="200"/>
      </w:pPr>
      <w:r>
        <w:rPr>
          <w:rFonts w:hint="eastAsia"/>
        </w:rPr>
        <w:t>3.绩效评价范围：</w:t>
      </w:r>
    </w:p>
    <w:p w14:paraId="281FA8F4">
      <w:pPr>
        <w:spacing w:line="560" w:lineRule="exact"/>
        <w:ind w:firstLine="600" w:firstLineChars="200"/>
      </w:pPr>
      <w:r>
        <w:rPr>
          <w:rFonts w:hint="eastAsia"/>
        </w:rPr>
        <w:t>本次评价从项目决策（包括绩效目标、决策过程）、项目管理（包括项目资金、项目实施）、项目产出（包括项目产出数量、产出质量、产出时效和产出成本）项目效益四个维度对巴财教〔2022〕37号关于提前下达2023年教育项目直达资金的--学生资助（中等职业-免学费）预算项目进行评价，评价核心为专项资金的支出完成情况和效果。</w:t>
      </w:r>
    </w:p>
    <w:p w14:paraId="1DFC7B25">
      <w:pPr>
        <w:pStyle w:val="3"/>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14:paraId="210BDD4D">
      <w:pPr>
        <w:spacing w:line="560" w:lineRule="exact"/>
        <w:ind w:firstLine="600" w:firstLineChars="200"/>
        <w:jc w:val="left"/>
      </w:pPr>
      <w:r>
        <w:rPr>
          <w:rFonts w:hint="eastAsia"/>
        </w:rPr>
        <w:t>1.绩效评价原则</w:t>
      </w:r>
    </w:p>
    <w:p w14:paraId="3385BAB2">
      <w:pPr>
        <w:spacing w:line="560" w:lineRule="exact"/>
        <w:ind w:firstLine="640" w:firstLineChars="200"/>
        <w:rPr>
          <w:rFonts w:ascii="仿宋_GB2312"/>
          <w:bCs/>
          <w:color w:val="FF0000"/>
          <w:sz w:val="32"/>
          <w:szCs w:val="32"/>
        </w:rPr>
      </w:pPr>
      <w:r>
        <w:rPr>
          <w:color w:val="000000"/>
          <w:sz w:val="32"/>
          <w:szCs w:val="32"/>
        </w:rPr>
        <w:t>本次项目绩效评价遵循以下基本原则：</w:t>
      </w:r>
    </w:p>
    <w:p w14:paraId="560261B2">
      <w:pPr>
        <w:spacing w:line="560" w:lineRule="exact"/>
        <w:ind w:firstLine="640" w:firstLineChars="200"/>
        <w:rPr>
          <w:rFonts w:ascii="仿宋_GB2312"/>
          <w:bCs/>
          <w:sz w:val="32"/>
          <w:szCs w:val="32"/>
        </w:rPr>
      </w:pPr>
      <w:r>
        <w:rPr>
          <w:rFonts w:hint="eastAsia" w:ascii="仿宋_GB2312"/>
          <w:bCs/>
          <w:sz w:val="32"/>
          <w:szCs w:val="32"/>
        </w:rPr>
        <w:t>（一）科学公正。本次项目支出绩效评价运用科学合理的方法，按照规范的程序，对项目绩效进行客观、公正的反映。</w:t>
      </w:r>
    </w:p>
    <w:p w14:paraId="466A3D85">
      <w:pPr>
        <w:spacing w:line="560" w:lineRule="exact"/>
        <w:ind w:firstLine="640" w:firstLineChars="200"/>
        <w:rPr>
          <w:rFonts w:ascii="仿宋_GB2312"/>
          <w:bCs/>
          <w:sz w:val="32"/>
          <w:szCs w:val="32"/>
        </w:rPr>
      </w:pPr>
      <w:r>
        <w:rPr>
          <w:rFonts w:hint="eastAsia" w:ascii="仿宋_GB2312"/>
          <w:bCs/>
          <w:sz w:val="32"/>
          <w:szCs w:val="32"/>
        </w:rPr>
        <w:t>（二）统筹兼顾。本次项目支出绩效评价由本单位自主实施，即“谁支出、谁自评”。</w:t>
      </w:r>
    </w:p>
    <w:p w14:paraId="3D8F0AE3">
      <w:pPr>
        <w:spacing w:line="560" w:lineRule="exact"/>
        <w:ind w:firstLine="640" w:firstLineChars="200"/>
        <w:rPr>
          <w:rFonts w:ascii="仿宋_GB2312"/>
          <w:bCs/>
          <w:sz w:val="32"/>
          <w:szCs w:val="32"/>
        </w:rPr>
      </w:pPr>
      <w:r>
        <w:rPr>
          <w:rFonts w:hint="eastAsia" w:ascii="仿宋_GB2312"/>
          <w:bCs/>
          <w:sz w:val="32"/>
          <w:szCs w:val="32"/>
        </w:rPr>
        <w:t>（三）激励约束。本次项目支出绩效评价结果与预算安排、政策调整、改进管理实质性挂钩，体现奖优罚劣和激励相容导向，有效要安排、低效要压减、无效要问责。</w:t>
      </w:r>
    </w:p>
    <w:p w14:paraId="24330578">
      <w:pPr>
        <w:spacing w:line="560" w:lineRule="exact"/>
        <w:ind w:firstLine="640" w:firstLineChars="200"/>
      </w:pPr>
      <w:r>
        <w:rPr>
          <w:rFonts w:hint="eastAsia" w:ascii="仿宋_GB2312"/>
          <w:bCs/>
          <w:sz w:val="32"/>
          <w:szCs w:val="32"/>
        </w:rPr>
        <w:t>（四）公开透明。本次项目支出绩效评价结果已依法依规公开在巴州人民政府门户网站上，并自觉接受社会监督。</w:t>
      </w:r>
    </w:p>
    <w:p w14:paraId="5CF75237">
      <w:pPr>
        <w:spacing w:line="560" w:lineRule="exact"/>
        <w:ind w:firstLine="600" w:firstLineChars="200"/>
        <w:jc w:val="left"/>
      </w:pPr>
      <w:r>
        <w:rPr>
          <w:rFonts w:hint="eastAsia"/>
        </w:rPr>
        <w:t>2、评价指标体系（附表说明）</w:t>
      </w:r>
    </w:p>
    <w:p w14:paraId="212D0082">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w:t>
      </w:r>
      <w:r>
        <w:rPr>
          <w:color w:val="000000"/>
          <w:spacing w:val="17"/>
          <w:sz w:val="32"/>
          <w:szCs w:val="32"/>
        </w:rPr>
        <w:t>绩效评价框架是开展绩效评价的核心。绩效评价框架包括评价准则、关键评价问题、评价指标、数据来源、数据收集方法等。指标体系建立过程如下：</w:t>
      </w:r>
    </w:p>
    <w:p w14:paraId="01F6D64E">
      <w:pPr>
        <w:spacing w:line="560" w:lineRule="exact"/>
        <w:ind w:firstLine="708" w:firstLineChars="200"/>
        <w:rPr>
          <w:color w:val="000000"/>
          <w:spacing w:val="17"/>
          <w:sz w:val="32"/>
          <w:szCs w:val="32"/>
        </w:rPr>
      </w:pPr>
      <w:r>
        <w:rPr>
          <w:color w:val="000000"/>
          <w:spacing w:val="17"/>
          <w:sz w:val="32"/>
          <w:szCs w:val="32"/>
        </w:rPr>
        <w:t>（1）确定评价指标</w:t>
      </w:r>
    </w:p>
    <w:p w14:paraId="4409BB98">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巴财教〔2022〕37号关于提前下达2023年教育项目直达资金的--学生资助（中等职业-免学费）预算</w:t>
      </w: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A7A69B6">
      <w:pPr>
        <w:spacing w:line="560" w:lineRule="exact"/>
        <w:ind w:firstLine="708" w:firstLineChars="200"/>
        <w:rPr>
          <w:color w:val="000000"/>
          <w:spacing w:val="17"/>
          <w:sz w:val="32"/>
          <w:szCs w:val="32"/>
        </w:rPr>
      </w:pPr>
      <w:r>
        <w:rPr>
          <w:color w:val="000000"/>
          <w:spacing w:val="17"/>
          <w:sz w:val="32"/>
          <w:szCs w:val="32"/>
        </w:rPr>
        <w:t>（2）确定权重</w:t>
      </w:r>
    </w:p>
    <w:p w14:paraId="4BDB0392">
      <w:pPr>
        <w:spacing w:line="560" w:lineRule="exact"/>
        <w:ind w:firstLine="708" w:firstLineChars="200"/>
        <w:rPr>
          <w:color w:val="auto"/>
          <w:spacing w:val="17"/>
          <w:sz w:val="32"/>
          <w:szCs w:val="32"/>
        </w:rPr>
      </w:pPr>
      <w:r>
        <w:rPr>
          <w:rFonts w:hint="eastAsia"/>
          <w:color w:val="000000"/>
          <w:spacing w:val="17"/>
          <w:sz w:val="32"/>
          <w:szCs w:val="32"/>
        </w:rPr>
        <w:t>巴财教〔2022〕37号关于提前下达2023年教育项目直达资金的--学生资助（中等职业-免学费）预算项目确定各个指标相</w:t>
      </w:r>
      <w:r>
        <w:rPr>
          <w:rFonts w:hint="eastAsia"/>
          <w:color w:val="auto"/>
          <w:spacing w:val="17"/>
          <w:sz w:val="32"/>
          <w:szCs w:val="32"/>
        </w:rPr>
        <w:t>对于项目总体绩效的权重分值。</w:t>
      </w:r>
      <w:r>
        <w:rPr>
          <w:color w:val="auto"/>
          <w:spacing w:val="17"/>
          <w:sz w:val="32"/>
          <w:szCs w:val="32"/>
        </w:rPr>
        <w:t>在绩效评价指标体系中，项目决策权重为20分，项目过程权重为20分，项目产出权重为40分，项目效益权重为20分。</w:t>
      </w:r>
    </w:p>
    <w:p w14:paraId="24B5236D">
      <w:pPr>
        <w:spacing w:line="560" w:lineRule="exact"/>
        <w:ind w:firstLine="708" w:firstLineChars="200"/>
        <w:rPr>
          <w:color w:val="auto"/>
          <w:spacing w:val="17"/>
          <w:sz w:val="32"/>
          <w:szCs w:val="32"/>
        </w:rPr>
      </w:pPr>
      <w:r>
        <w:rPr>
          <w:color w:val="auto"/>
          <w:spacing w:val="17"/>
          <w:sz w:val="32"/>
          <w:szCs w:val="32"/>
        </w:rPr>
        <w:t>（3）确定指标标准值</w:t>
      </w:r>
    </w:p>
    <w:p w14:paraId="26AA8F68">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巴财教〔2022〕37号关于提前下达2023年教育项目直达资金的--学生资助（中等职业-免学费）预算项目</w:t>
      </w: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792274D1">
      <w:pPr>
        <w:pStyle w:val="12"/>
        <w:spacing w:before="0" w:after="0" w:line="560" w:lineRule="exact"/>
        <w:ind w:firstLine="708" w:firstLineChars="200"/>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巴财教〔2022〕37号关于提前下达2023年教育项目直达资金的--学生资助（中等职业-免学费）预算项目</w:t>
      </w: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23D159C">
      <w:pPr>
        <w:spacing w:line="560" w:lineRule="exact"/>
        <w:ind w:firstLine="600" w:firstLineChars="200"/>
        <w:jc w:val="left"/>
      </w:pPr>
      <w:r>
        <w:rPr>
          <w:rFonts w:hint="eastAsia"/>
        </w:rPr>
        <w:t>具体评价指标体系详情见附件1。</w:t>
      </w:r>
    </w:p>
    <w:p w14:paraId="15167CA6">
      <w:pPr>
        <w:spacing w:line="560" w:lineRule="exact"/>
        <w:ind w:firstLine="600" w:firstLineChars="200"/>
        <w:jc w:val="left"/>
      </w:pPr>
      <w:r>
        <w:rPr>
          <w:rFonts w:hint="eastAsia"/>
        </w:rPr>
        <w:t>3、评价方法</w:t>
      </w:r>
    </w:p>
    <w:p w14:paraId="0E9FC554">
      <w:pPr>
        <w:spacing w:line="560" w:lineRule="exact"/>
        <w:ind w:firstLine="708" w:firstLineChars="200"/>
        <w:jc w:val="left"/>
        <w:rPr>
          <w:color w:val="000000"/>
          <w:spacing w:val="17"/>
          <w:sz w:val="32"/>
          <w:szCs w:val="32"/>
        </w:rPr>
      </w:pPr>
      <w:r>
        <w:rPr>
          <w:rFonts w:hint="eastAsia"/>
          <w:color w:val="000000"/>
          <w:spacing w:val="17"/>
          <w:sz w:val="32"/>
          <w:szCs w:val="32"/>
        </w:rPr>
        <w:t>巴财教〔2022〕37号关于提前下达2023年教育项目直达资金的--学生资助（中等职业-免学费）预算项目绩效评价从项目决策、项目过程、项目产出、项目效益四个维度进行评价。评价对象为项目目标实施情况，评价核心为资金的支出完成情况和项目的产出效益。</w:t>
      </w:r>
    </w:p>
    <w:p w14:paraId="50706791">
      <w:pPr>
        <w:spacing w:line="560" w:lineRule="exact"/>
        <w:ind w:firstLine="708" w:firstLineChars="200"/>
        <w:jc w:val="left"/>
        <w:rPr>
          <w:color w:val="000000"/>
          <w:spacing w:val="17"/>
          <w:sz w:val="32"/>
          <w:szCs w:val="32"/>
        </w:rPr>
      </w:pPr>
      <w:r>
        <w:rPr>
          <w:rFonts w:hint="eastAsia"/>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9800342">
      <w:pPr>
        <w:spacing w:line="560" w:lineRule="exact"/>
        <w:ind w:firstLine="708" w:firstLineChars="200"/>
        <w:jc w:val="left"/>
        <w:rPr>
          <w:color w:val="000000"/>
          <w:spacing w:val="17"/>
          <w:sz w:val="32"/>
          <w:szCs w:val="32"/>
        </w:rPr>
      </w:pPr>
      <w:r>
        <w:rPr>
          <w:rFonts w:hint="eastAsia"/>
          <w:color w:val="000000"/>
          <w:spacing w:val="17"/>
          <w:sz w:val="32"/>
          <w:szCs w:val="32"/>
        </w:rPr>
        <w:t>本项目绩效评价方法主要采用了比较法和因素分析法。主要原因是：将巴财教〔2022〕37号关于提前下达2023年教育项目直达资金的--学生资助（中等职业-免学费）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540E00BD">
      <w:pPr>
        <w:spacing w:line="560" w:lineRule="exact"/>
        <w:ind w:firstLine="600" w:firstLineChars="200"/>
        <w:jc w:val="left"/>
      </w:pPr>
      <w:r>
        <w:rPr>
          <w:rFonts w:hint="eastAsia"/>
        </w:rPr>
        <w:t>4.评价标准</w:t>
      </w:r>
    </w:p>
    <w:p w14:paraId="7CB17501">
      <w:pPr>
        <w:spacing w:line="560" w:lineRule="exact"/>
        <w:ind w:firstLine="708" w:firstLineChars="200"/>
        <w:rPr>
          <w:color w:val="000000"/>
          <w:spacing w:val="17"/>
          <w:sz w:val="32"/>
          <w:szCs w:val="32"/>
        </w:rPr>
      </w:pPr>
      <w:r>
        <w:rPr>
          <w:rFonts w:hint="eastAsia"/>
          <w:color w:val="000000"/>
          <w:spacing w:val="17"/>
          <w:sz w:val="32"/>
          <w:szCs w:val="32"/>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bookmarkStart w:id="6" w:name="_Toc68703833"/>
    </w:p>
    <w:p w14:paraId="2C430C17">
      <w:pPr>
        <w:spacing w:line="560" w:lineRule="exact"/>
        <w:ind w:firstLine="600" w:firstLineChars="200"/>
        <w:rPr>
          <w:rFonts w:ascii="仿宋_GB2312"/>
        </w:rPr>
      </w:pPr>
      <w:r>
        <w:rPr>
          <w:rFonts w:hint="eastAsia" w:ascii="仿宋_GB2312"/>
        </w:rPr>
        <w:t>（三）绩效评价工作过程。</w:t>
      </w:r>
      <w:bookmarkEnd w:id="6"/>
      <w:bookmarkStart w:id="7" w:name="_Toc68703834"/>
    </w:p>
    <w:p w14:paraId="71ED2551">
      <w:pPr>
        <w:spacing w:line="560" w:lineRule="exact"/>
        <w:ind w:firstLine="708" w:firstLineChars="200"/>
        <w:rPr>
          <w:color w:val="000000"/>
          <w:spacing w:val="17"/>
          <w:sz w:val="32"/>
          <w:szCs w:val="32"/>
        </w:rPr>
      </w:pPr>
      <w:r>
        <w:rPr>
          <w:rFonts w:hint="eastAsia"/>
          <w:color w:val="000000"/>
          <w:spacing w:val="17"/>
          <w:sz w:val="32"/>
          <w:szCs w:val="32"/>
        </w:rPr>
        <w:t>1.前期准备。年初开始前期准备工作，成立评价小组，评价小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3D493589">
      <w:pPr>
        <w:spacing w:line="560" w:lineRule="exact"/>
        <w:ind w:firstLine="708" w:firstLineChars="200"/>
        <w:rPr>
          <w:color w:val="000000"/>
          <w:spacing w:val="17"/>
          <w:sz w:val="32"/>
          <w:szCs w:val="32"/>
        </w:rPr>
      </w:pPr>
      <w:r>
        <w:rPr>
          <w:rFonts w:hint="eastAsia"/>
          <w:color w:val="000000"/>
          <w:spacing w:val="17"/>
          <w:sz w:val="32"/>
          <w:szCs w:val="32"/>
        </w:rPr>
        <w:t>2.组织实施。一季度制定绩效评价工作方案，具体包括项目概况、评价思路、方法手段、组织实施、进度安排等。评价工作进入实施阶段，评价组收集绩效评价相关数据资料，进行专题讨论；并与项目实施负责人沟通，了解项目的进度、管理机制等情况，分析形成初步结论。</w:t>
      </w:r>
    </w:p>
    <w:p w14:paraId="0FA79396">
      <w:pPr>
        <w:spacing w:line="560" w:lineRule="exact"/>
        <w:ind w:firstLine="708" w:firstLineChars="200"/>
        <w:rPr>
          <w:color w:val="000000"/>
          <w:spacing w:val="17"/>
          <w:sz w:val="32"/>
          <w:szCs w:val="32"/>
        </w:rPr>
      </w:pPr>
      <w:r>
        <w:rPr>
          <w:rFonts w:hint="eastAsia"/>
          <w:color w:val="000000"/>
          <w:spacing w:val="17"/>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7140246">
      <w:pPr>
        <w:spacing w:line="560" w:lineRule="exact"/>
        <w:ind w:firstLine="640" w:firstLineChars="200"/>
        <w:rPr>
          <w:rFonts w:ascii="宋体" w:hAnsi="宋体" w:eastAsia="宋体"/>
          <w:sz w:val="32"/>
          <w:szCs w:val="32"/>
        </w:rPr>
      </w:pPr>
      <w:r>
        <w:rPr>
          <w:rFonts w:hint="eastAsia" w:ascii="宋体" w:hAnsi="宋体" w:eastAsia="宋体"/>
          <w:sz w:val="32"/>
          <w:szCs w:val="32"/>
        </w:rPr>
        <w:t>三、综合评价情况及评价结论</w:t>
      </w:r>
      <w:bookmarkEnd w:id="7"/>
      <w:bookmarkStart w:id="8" w:name="_Toc68703835"/>
    </w:p>
    <w:p w14:paraId="40956AF1">
      <w:pPr>
        <w:spacing w:line="560" w:lineRule="exact"/>
        <w:ind w:firstLine="600" w:firstLineChars="200"/>
        <w:rPr>
          <w:rFonts w:ascii="仿宋_GB2312"/>
        </w:rPr>
      </w:pPr>
      <w:r>
        <w:rPr>
          <w:rFonts w:hint="eastAsia" w:ascii="仿宋_GB2312"/>
        </w:rPr>
        <w:t>（一）综合评价情况</w:t>
      </w:r>
      <w:bookmarkEnd w:id="8"/>
      <w:r>
        <w:rPr>
          <w:rFonts w:hint="eastAsia" w:ascii="仿宋_GB2312"/>
        </w:rPr>
        <w:t>及评价结论</w:t>
      </w:r>
    </w:p>
    <w:p w14:paraId="22813D38">
      <w:pPr>
        <w:spacing w:line="560" w:lineRule="exact"/>
        <w:ind w:firstLine="600" w:firstLineChars="200"/>
        <w:rPr>
          <w:color w:val="000000"/>
          <w:spacing w:val="17"/>
          <w:sz w:val="32"/>
          <w:szCs w:val="32"/>
        </w:rPr>
      </w:pPr>
      <w:r>
        <w:rPr>
          <w:rFonts w:hint="eastAsia" w:ascii="仿宋_GB2312"/>
        </w:rPr>
        <w:t>1.综合评价情况：</w:t>
      </w:r>
      <w:bookmarkStart w:id="9" w:name="_Toc68703836"/>
      <w:r>
        <w:rPr>
          <w:rFonts w:hint="eastAsia"/>
          <w:color w:val="000000"/>
          <w:spacing w:val="17"/>
          <w:sz w:val="32"/>
          <w:szCs w:val="32"/>
        </w:rPr>
        <w:t>巴财教〔2022〕37号关于提前下达2023年教育项目直达资金的--学生资助（中等职业-免学费）预算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9FC35DB">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2.评价结论</w:t>
      </w:r>
      <w:bookmarkEnd w:id="9"/>
    </w:p>
    <w:p w14:paraId="4CBC6BF9">
      <w:pPr>
        <w:spacing w:line="560" w:lineRule="exact"/>
        <w:ind w:firstLine="600" w:firstLineChars="200"/>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p w14:paraId="01E32CF6">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3490D95E">
      <w:pPr>
        <w:spacing w:line="560" w:lineRule="exact"/>
        <w:ind w:firstLine="600" w:firstLineChars="200"/>
      </w:pPr>
      <w:r>
        <w:rPr>
          <w:rFonts w:hint="eastAsia"/>
        </w:rPr>
        <w:t>具体打分情况详见：附件1综合评分表。</w:t>
      </w:r>
    </w:p>
    <w:p w14:paraId="61015ACE">
      <w:pPr>
        <w:spacing w:line="560" w:lineRule="exact"/>
        <w:ind w:firstLine="600" w:firstLineChars="200"/>
        <w:jc w:val="center"/>
      </w:pPr>
      <w:r>
        <w:rPr>
          <w:rFonts w:hint="eastAsia"/>
        </w:rPr>
        <w:t>巴财教〔2022〕37号关于提前下达2023年教育项目直达资金的--学生资助（中等职业-免学费）项目评价得分情况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968166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7F1B1F8">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8A0A78">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587E52F">
            <w:pPr>
              <w:spacing w:line="560" w:lineRule="exact"/>
              <w:ind w:firstLine="442" w:firstLineChars="200"/>
              <w:jc w:val="center"/>
              <w:rPr>
                <w:b/>
                <w:bCs/>
                <w:color w:val="000000"/>
                <w:sz w:val="22"/>
              </w:rPr>
            </w:pPr>
            <w:r>
              <w:rPr>
                <w:rFonts w:hint="eastAsia"/>
                <w:b/>
                <w:bCs/>
                <w:color w:val="000000"/>
                <w:sz w:val="22"/>
              </w:rPr>
              <w:t>得分</w:t>
            </w:r>
          </w:p>
        </w:tc>
      </w:tr>
      <w:tr w14:paraId="4C9693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6A07B0">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AFD4367">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D2F7CF3">
            <w:pPr>
              <w:spacing w:line="560" w:lineRule="exact"/>
              <w:ind w:firstLine="440" w:firstLineChars="200"/>
              <w:jc w:val="center"/>
              <w:rPr>
                <w:color w:val="000000"/>
                <w:sz w:val="22"/>
              </w:rPr>
            </w:pPr>
            <w:r>
              <w:rPr>
                <w:rFonts w:hint="eastAsia"/>
                <w:color w:val="000000"/>
                <w:sz w:val="22"/>
              </w:rPr>
              <w:t>20</w:t>
            </w:r>
          </w:p>
        </w:tc>
      </w:tr>
      <w:tr w14:paraId="1E3AA62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6CA549">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56C626E">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4E93B9C">
            <w:pPr>
              <w:spacing w:line="560" w:lineRule="exact"/>
              <w:ind w:firstLine="440" w:firstLineChars="200"/>
              <w:jc w:val="center"/>
              <w:rPr>
                <w:color w:val="000000"/>
                <w:sz w:val="22"/>
              </w:rPr>
            </w:pPr>
            <w:r>
              <w:rPr>
                <w:rFonts w:hint="eastAsia"/>
                <w:color w:val="000000"/>
                <w:sz w:val="22"/>
              </w:rPr>
              <w:t>20</w:t>
            </w:r>
          </w:p>
        </w:tc>
      </w:tr>
      <w:tr w14:paraId="71F3A3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235A57">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ECAA890">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0E4CF74C">
            <w:pPr>
              <w:spacing w:line="560" w:lineRule="exact"/>
              <w:ind w:firstLine="440" w:firstLineChars="200"/>
              <w:jc w:val="center"/>
              <w:rPr>
                <w:color w:val="000000"/>
                <w:sz w:val="22"/>
              </w:rPr>
            </w:pPr>
            <w:r>
              <w:rPr>
                <w:rFonts w:hint="eastAsia"/>
                <w:color w:val="000000"/>
                <w:sz w:val="22"/>
              </w:rPr>
              <w:t>40</w:t>
            </w:r>
          </w:p>
        </w:tc>
      </w:tr>
      <w:tr w14:paraId="2BBFAC8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20D3B5">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34389DD">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D397927">
            <w:pPr>
              <w:spacing w:line="560" w:lineRule="exact"/>
              <w:ind w:firstLine="440" w:firstLineChars="200"/>
              <w:jc w:val="center"/>
              <w:rPr>
                <w:color w:val="000000"/>
                <w:sz w:val="22"/>
              </w:rPr>
            </w:pPr>
            <w:r>
              <w:rPr>
                <w:rFonts w:hint="eastAsia"/>
                <w:color w:val="000000"/>
                <w:sz w:val="22"/>
              </w:rPr>
              <w:t>20</w:t>
            </w:r>
          </w:p>
        </w:tc>
      </w:tr>
      <w:tr w14:paraId="7C49C0D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E4CF96">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F176D0B">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94D7A54">
            <w:pPr>
              <w:spacing w:line="560" w:lineRule="exact"/>
              <w:ind w:firstLine="442" w:firstLineChars="200"/>
              <w:jc w:val="center"/>
              <w:rPr>
                <w:b/>
                <w:bCs/>
                <w:color w:val="000000"/>
                <w:sz w:val="22"/>
              </w:rPr>
            </w:pPr>
            <w:r>
              <w:rPr>
                <w:rFonts w:hint="eastAsia"/>
                <w:b/>
                <w:bCs/>
                <w:color w:val="000000"/>
                <w:sz w:val="22"/>
              </w:rPr>
              <w:t>100</w:t>
            </w:r>
          </w:p>
        </w:tc>
      </w:tr>
    </w:tbl>
    <w:p w14:paraId="73B8F4CE">
      <w:pPr>
        <w:pStyle w:val="12"/>
        <w:spacing w:before="0" w:after="0" w:line="560" w:lineRule="exact"/>
        <w:ind w:firstLine="640" w:firstLineChars="200"/>
      </w:pPr>
    </w:p>
    <w:p w14:paraId="0AB6B5B9">
      <w:pPr>
        <w:pStyle w:val="2"/>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1602248F">
      <w:pPr>
        <w:pStyle w:val="3"/>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7C9FC863">
      <w:pPr>
        <w:spacing w:line="560" w:lineRule="exact"/>
        <w:ind w:firstLine="600" w:firstLineChars="200"/>
        <w:jc w:val="left"/>
      </w:pPr>
      <w:r>
        <w:rPr>
          <w:rFonts w:hint="eastAsia"/>
        </w:rPr>
        <w:t>1.立项依据充分性</w:t>
      </w:r>
    </w:p>
    <w:p w14:paraId="66DFFA36">
      <w:pPr>
        <w:spacing w:line="560" w:lineRule="exact"/>
        <w:ind w:firstLine="600" w:firstLineChars="200"/>
        <w:rPr>
          <w:color w:val="auto"/>
        </w:rPr>
      </w:pPr>
      <w:r>
        <w:rPr>
          <w:rFonts w:hint="eastAsia"/>
        </w:rPr>
        <w:t>为了鼓励学生积极就读中职学校，努力进取学好本领、成为社会的有用人才，根据《学生资助资金管理办法》，自治区关于印发《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根据巴财教〔2022〕37号关于提前下达2023年教育项目直达资金的--学生资助（中等职业-免学费）下达63.08万元。我校成立时间较长，学校所有设备、设施使用年限都已经比较长久了，由于办公经费不足，所以用免学费资金来弥补不足。此项目</w:t>
      </w:r>
      <w:r>
        <w:rPr>
          <w:rFonts w:hint="eastAsia"/>
          <w:color w:val="000000" w:themeColor="text1"/>
        </w:rPr>
        <w:t>资金主要用于：弥补全年外聘保安、后勤、师资等人员劳务费</w:t>
      </w:r>
      <w:r>
        <w:rPr>
          <w:rFonts w:hint="eastAsia"/>
          <w:color w:val="auto"/>
        </w:rPr>
        <w:t>及校舍的维修（护）支出等公用经费支出。确保学校较好完成2023全年教育教学工作。</w:t>
      </w:r>
    </w:p>
    <w:p w14:paraId="080A6E3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此项权重分3分，得分3分。</w:t>
      </w:r>
    </w:p>
    <w:p w14:paraId="06026C4A">
      <w:pPr>
        <w:spacing w:line="560" w:lineRule="exact"/>
        <w:ind w:firstLine="600" w:firstLineChars="200"/>
        <w:jc w:val="left"/>
        <w:rPr>
          <w:color w:val="auto"/>
        </w:rPr>
      </w:pPr>
      <w:r>
        <w:rPr>
          <w:rFonts w:hint="eastAsia"/>
          <w:color w:val="auto"/>
        </w:rPr>
        <w:t>2.立项程序规范性</w:t>
      </w:r>
    </w:p>
    <w:p w14:paraId="70438D43">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w:t>
      </w:r>
      <w:r>
        <w:rPr>
          <w:rFonts w:hint="eastAsia" w:ascii="Times New Roman" w:hAnsi="Times New Roman" w:eastAsia="仿宋_GB2312"/>
          <w:b w:val="0"/>
          <w:bCs w:val="0"/>
          <w:kern w:val="2"/>
          <w:sz w:val="30"/>
          <w:szCs w:val="24"/>
        </w:rPr>
        <w:t>预算项目按照规定的程序申请设立；提交的政策文件、材料符合项目设立的要求；事前经过科室申报、学校审核、风险评估、绩效评估、学校党委集体决策等，确定最终预算</w:t>
      </w:r>
      <w:r>
        <w:rPr>
          <w:rFonts w:hint="eastAsia" w:ascii="Times New Roman" w:hAnsi="Times New Roman" w:eastAsia="仿宋_GB2312"/>
          <w:b w:val="0"/>
          <w:bCs w:val="0"/>
          <w:color w:val="auto"/>
          <w:kern w:val="2"/>
          <w:sz w:val="30"/>
          <w:szCs w:val="24"/>
        </w:rPr>
        <w:t>方案，保障了程序的规范性。</w:t>
      </w:r>
    </w:p>
    <w:p w14:paraId="45788BF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此项权重分3分，得分3分。</w:t>
      </w:r>
    </w:p>
    <w:p w14:paraId="3C2904B1">
      <w:pPr>
        <w:spacing w:line="560" w:lineRule="exact"/>
        <w:ind w:firstLine="600" w:firstLineChars="200"/>
        <w:jc w:val="left"/>
        <w:rPr>
          <w:color w:val="auto"/>
        </w:rPr>
      </w:pPr>
      <w:r>
        <w:rPr>
          <w:rFonts w:hint="eastAsia"/>
          <w:color w:val="auto"/>
        </w:rPr>
        <w:t>3.绩效目标合理性</w:t>
      </w:r>
    </w:p>
    <w:p w14:paraId="1A950CA1">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color w:val="auto"/>
          <w:kern w:val="2"/>
          <w:sz w:val="30"/>
          <w:szCs w:val="24"/>
        </w:rPr>
        <w:t>巴财教〔2022〕37号关于提前下达20</w:t>
      </w:r>
      <w:r>
        <w:rPr>
          <w:rFonts w:hint="eastAsia" w:ascii="Times New Roman" w:hAnsi="Times New Roman" w:eastAsia="仿宋_GB2312"/>
          <w:b w:val="0"/>
          <w:bCs w:val="0"/>
          <w:kern w:val="2"/>
          <w:sz w:val="30"/>
          <w:szCs w:val="24"/>
        </w:rPr>
        <w:t>23年教育项目直达资金的--学生资助（中等职业-免学费）预算项目年初结合实际工作内容设定绩效目标，绩效目标依据充分，符合客观实际，与巴州师范学校的工作范围和职责相关性，项目的预期产出效益和效果也均能符合正常的业绩水平，并且与预算确定的项目资金量相匹配。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F66DF1D">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6B4E3A63">
      <w:pPr>
        <w:spacing w:line="560" w:lineRule="exact"/>
        <w:ind w:firstLine="600" w:firstLineChars="200"/>
        <w:jc w:val="left"/>
      </w:pPr>
      <w:r>
        <w:rPr>
          <w:rFonts w:hint="eastAsia"/>
        </w:rPr>
        <w:t>4.绩效指标明确性</w:t>
      </w:r>
    </w:p>
    <w:p w14:paraId="506C957B">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37号关于提前下达2023年教育项目直达资金的--学生资助（中等职业-免学费）预算项目将项目绩效目标细化分解为具体的绩效指标，一级指标共4条，二级指标共6条，三级指标共10条，其中量化指标条数共9条，所有绩效指标均通过清晰、可衡量的指标值予以体现，并且做到了与项目目标任务数或计划数相对应。</w:t>
      </w:r>
    </w:p>
    <w:p w14:paraId="5BC4BBDC">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03687DE3">
      <w:pPr>
        <w:spacing w:line="560" w:lineRule="exact"/>
        <w:ind w:firstLine="600" w:firstLineChars="200"/>
        <w:jc w:val="left"/>
      </w:pPr>
      <w:r>
        <w:rPr>
          <w:rFonts w:hint="eastAsia"/>
        </w:rPr>
        <w:t>5.预算编制科学性</w:t>
      </w:r>
    </w:p>
    <w:p w14:paraId="63C7FA4B">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37号关于提前下达2023年教育项目直达资金的--学生资助（中等职业-免学费）预算项目预算编制经过科学论证，提供充分的测算依据佐证资料，预算内容与项目内容相匹配。项目投资额与工作任务相匹配。</w:t>
      </w:r>
    </w:p>
    <w:p w14:paraId="480BC7ED">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F4FF96D">
      <w:pPr>
        <w:spacing w:line="560" w:lineRule="exact"/>
        <w:ind w:firstLine="600" w:firstLineChars="200"/>
        <w:jc w:val="left"/>
        <w:rPr>
          <w:color w:val="auto"/>
        </w:rPr>
      </w:pPr>
      <w:r>
        <w:rPr>
          <w:rFonts w:hint="eastAsia"/>
          <w:color w:val="auto"/>
        </w:rPr>
        <w:t>6.资金分配合理性</w:t>
      </w:r>
    </w:p>
    <w:p w14:paraId="59A56BCE">
      <w:pPr>
        <w:spacing w:line="540" w:lineRule="exact"/>
        <w:ind w:firstLine="567"/>
        <w:rPr>
          <w:color w:val="auto"/>
        </w:rPr>
      </w:pPr>
      <w:r>
        <w:rPr>
          <w:rFonts w:hint="eastAsia"/>
          <w:color w:val="auto"/>
        </w:rPr>
        <w:t>（巴财教〔2022〕37号关于提前下达2023年教育项目直达资金的--学生资助（中等职业-免学费）预算项目资金分配额度63.08万元与项目单位实际工作内容相适应，资金分配额度合理，资金分配依据充分。</w:t>
      </w:r>
    </w:p>
    <w:p w14:paraId="55A21736">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6CBD674A">
      <w:pPr>
        <w:pStyle w:val="3"/>
        <w:spacing w:before="0" w:after="0" w:line="560" w:lineRule="exact"/>
        <w:ind w:firstLine="640" w:firstLineChars="200"/>
        <w:rPr>
          <w:rFonts w:ascii="仿宋_GB2312" w:eastAsia="仿宋_GB2312"/>
          <w:b w:val="0"/>
          <w:bCs w:val="0"/>
          <w:color w:val="auto"/>
        </w:rPr>
      </w:pPr>
      <w:bookmarkStart w:id="12" w:name="_Toc68703839"/>
      <w:r>
        <w:rPr>
          <w:rFonts w:hint="eastAsia" w:ascii="仿宋_GB2312" w:eastAsia="仿宋_GB2312"/>
          <w:b w:val="0"/>
          <w:bCs w:val="0"/>
          <w:color w:val="auto"/>
        </w:rPr>
        <w:t>（二）项目过程情况。</w:t>
      </w:r>
      <w:bookmarkEnd w:id="12"/>
    </w:p>
    <w:p w14:paraId="67F9003A">
      <w:pPr>
        <w:spacing w:line="560" w:lineRule="exact"/>
        <w:ind w:firstLine="600" w:firstLineChars="200"/>
        <w:jc w:val="left"/>
        <w:rPr>
          <w:color w:val="auto"/>
        </w:rPr>
      </w:pPr>
      <w:r>
        <w:rPr>
          <w:rFonts w:hint="eastAsia"/>
          <w:color w:val="auto"/>
        </w:rPr>
        <w:t>1.资金到位率：</w:t>
      </w:r>
    </w:p>
    <w:p w14:paraId="7D5855C9">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巴财教〔2022〕37号关于提前下达2023年教育项目直达资金的--学生资助（中等职业-免学费）预算项目预算资金63.08万元，实际到位资金63.08万元，资金到位率100%。</w:t>
      </w:r>
    </w:p>
    <w:p w14:paraId="0DD3C78C">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7D849E5">
      <w:pPr>
        <w:spacing w:line="560" w:lineRule="exact"/>
        <w:ind w:firstLine="600" w:firstLineChars="200"/>
        <w:jc w:val="left"/>
        <w:rPr>
          <w:color w:val="auto"/>
        </w:rPr>
      </w:pPr>
      <w:r>
        <w:rPr>
          <w:rFonts w:hint="eastAsia"/>
          <w:color w:val="auto"/>
        </w:rPr>
        <w:t>2.预算执行率</w:t>
      </w:r>
    </w:p>
    <w:p w14:paraId="56BE5EDC">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巴财教〔2022〕37号关于提前下达2023年教育项目直达资金的--学生资助（中等职业-免学费）预算项目全年预算数63.08万元，全年执行数63.08万元，预算执行率为100%。</w:t>
      </w:r>
    </w:p>
    <w:p w14:paraId="1BF5758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2888D809">
      <w:pPr>
        <w:spacing w:line="560" w:lineRule="exact"/>
        <w:ind w:firstLine="600" w:firstLineChars="200"/>
        <w:jc w:val="left"/>
        <w:rPr>
          <w:color w:val="auto"/>
        </w:rPr>
      </w:pPr>
      <w:r>
        <w:rPr>
          <w:rFonts w:hint="eastAsia"/>
          <w:color w:val="auto"/>
        </w:rPr>
        <w:t>3.资金使用合规性</w:t>
      </w:r>
    </w:p>
    <w:p w14:paraId="64D1CC01">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14:paraId="16D777D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18E7AB87">
      <w:pPr>
        <w:spacing w:line="560" w:lineRule="exact"/>
        <w:ind w:firstLine="600" w:firstLineChars="200"/>
        <w:jc w:val="left"/>
        <w:rPr>
          <w:color w:val="auto"/>
        </w:rPr>
      </w:pPr>
      <w:r>
        <w:rPr>
          <w:rFonts w:hint="eastAsia"/>
          <w:color w:val="auto"/>
        </w:rPr>
        <w:t>4.管理制度健全性</w:t>
      </w:r>
    </w:p>
    <w:p w14:paraId="36DFDF9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制定了相关管理办法，对财政资金进行严格管理，做到专款专用，项目资金使用符合相关的财务管理制度规定，能够反映和考核项目资金的规范运行情况；学校的财务和业务管理制度健全，能够反映和考核财务和业务管理制度对项目顺利实施的保障情况。</w:t>
      </w:r>
    </w:p>
    <w:p w14:paraId="61D2E4F2">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5F4AD7CE">
      <w:pPr>
        <w:spacing w:line="560" w:lineRule="exact"/>
        <w:ind w:firstLine="600" w:firstLineChars="200"/>
        <w:jc w:val="left"/>
        <w:rPr>
          <w:color w:val="auto"/>
        </w:rPr>
      </w:pPr>
      <w:r>
        <w:rPr>
          <w:rFonts w:hint="eastAsia"/>
          <w:color w:val="auto"/>
        </w:rPr>
        <w:t>5.制度执行有效性</w:t>
      </w:r>
    </w:p>
    <w:p w14:paraId="4DBC42C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对遵守了国家免学费资金管理的相关法律法规和相关财务管理规定；项目调整及支出调整手续完备；项目相关的合同书、采购、验收等资料齐全并及时归档；项目实施的人员条件、场地设备、信息支撑等落实到位。</w:t>
      </w:r>
    </w:p>
    <w:p w14:paraId="23AA69F7">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045D71BF">
      <w:pPr>
        <w:spacing w:line="560" w:lineRule="exact"/>
        <w:ind w:firstLine="600" w:firstLineChars="200"/>
        <w:rPr>
          <w:rFonts w:ascii="仿宋_GB2312"/>
          <w:color w:val="auto"/>
        </w:rPr>
      </w:pPr>
      <w:bookmarkStart w:id="13" w:name="_Toc68703840"/>
      <w:r>
        <w:rPr>
          <w:rFonts w:hint="eastAsia" w:ascii="仿宋_GB2312"/>
          <w:color w:val="auto"/>
        </w:rPr>
        <w:t>（三）项目产出情况。</w:t>
      </w:r>
      <w:bookmarkEnd w:id="13"/>
    </w:p>
    <w:p w14:paraId="2F57C6D6">
      <w:pPr>
        <w:spacing w:line="560" w:lineRule="exact"/>
        <w:ind w:firstLine="600" w:firstLineChars="200"/>
      </w:pPr>
      <w:r>
        <w:rPr>
          <w:rFonts w:hint="eastAsia"/>
          <w:color w:val="auto"/>
        </w:rPr>
        <w:t>1.数量指标完成情况：指标1：中职免学费享受人数，指标值：=631人，实际完成值631人，指标完成率100%，指标完</w:t>
      </w:r>
      <w:r>
        <w:rPr>
          <w:rFonts w:hint="eastAsia"/>
        </w:rPr>
        <w:t>成率100%指标2：中职国家免学费应受助学生享受资助比例，指标值：100%，实际完成值100%，指标完成率100%。</w:t>
      </w:r>
    </w:p>
    <w:p w14:paraId="31398CA9">
      <w:pPr>
        <w:spacing w:line="560" w:lineRule="exact"/>
        <w:ind w:firstLine="600" w:firstLineChars="200"/>
      </w:pPr>
      <w:r>
        <w:rPr>
          <w:rFonts w:hint="eastAsia"/>
        </w:rPr>
        <w:t>此项权重分10分，得分10分。</w:t>
      </w:r>
    </w:p>
    <w:p w14:paraId="1C0533C6">
      <w:pPr>
        <w:spacing w:line="560" w:lineRule="exact"/>
        <w:ind w:firstLine="600" w:firstLineChars="200"/>
      </w:pPr>
      <w:r>
        <w:rPr>
          <w:rFonts w:hint="eastAsia"/>
        </w:rPr>
        <w:t>2.质量指标完成情况：指标1：资金足额到位率，指标值：100%，实际完成值100%，指标完成率100%。指标2：学校覆盖率，指标值：100%，实际完成值100%，指标完成率100%。3：资助政策覆盖率，指标值：100%，实际完成值100%，指标完成率100%。</w:t>
      </w:r>
    </w:p>
    <w:p w14:paraId="6EA3C0DF">
      <w:pPr>
        <w:spacing w:line="560" w:lineRule="exact"/>
        <w:ind w:firstLine="600" w:firstLineChars="200"/>
      </w:pPr>
      <w:r>
        <w:rPr>
          <w:rFonts w:hint="eastAsia"/>
        </w:rPr>
        <w:t>此项权重分10分，得分10分。</w:t>
      </w:r>
    </w:p>
    <w:p w14:paraId="7B4C4C6A">
      <w:pPr>
        <w:spacing w:line="560" w:lineRule="exact"/>
        <w:ind w:firstLine="600" w:firstLineChars="200"/>
      </w:pPr>
      <w:r>
        <w:rPr>
          <w:rFonts w:hint="eastAsia"/>
        </w:rPr>
        <w:t>3.时效指标完成情况：指标1：资助资金按时发放率，指标值：100%，实际完成值100%，指标完成率100%。</w:t>
      </w:r>
    </w:p>
    <w:p w14:paraId="7568277A">
      <w:pPr>
        <w:spacing w:line="360" w:lineRule="auto"/>
        <w:ind w:firstLine="600" w:firstLineChars="200"/>
        <w:rPr>
          <w:highlight w:val="yellow"/>
        </w:rPr>
      </w:pPr>
      <w:r>
        <w:rPr>
          <w:rFonts w:hint="eastAsia"/>
        </w:rPr>
        <w:t>此项权重分10分，得分10分。</w:t>
      </w:r>
    </w:p>
    <w:p w14:paraId="2E378440">
      <w:pPr>
        <w:pStyle w:val="26"/>
        <w:spacing w:line="360" w:lineRule="auto"/>
        <w:ind w:firstLine="600"/>
      </w:pPr>
      <w:r>
        <w:rPr>
          <w:rFonts w:hint="eastAsia"/>
        </w:rPr>
        <w:t>4.经济成本指标完成情况：指标1：中等职业教育学生免学费平均标准，指标值：&lt;=1000元/人，实际完成值1000元/人，指标完成率100%，指标完成率100%。</w:t>
      </w:r>
    </w:p>
    <w:p w14:paraId="728B8402">
      <w:pPr>
        <w:spacing w:line="560" w:lineRule="exact"/>
        <w:ind w:firstLine="600" w:firstLineChars="200"/>
      </w:pPr>
      <w:r>
        <w:rPr>
          <w:rFonts w:hint="eastAsia"/>
        </w:rPr>
        <w:t>此项权重分10分，得分10分。</w:t>
      </w:r>
    </w:p>
    <w:p w14:paraId="1C42CDDB">
      <w:pPr>
        <w:pStyle w:val="13"/>
      </w:pPr>
      <w:r>
        <w:rPr>
          <w:rFonts w:hint="eastAsia"/>
          <w:highlight w:val="lightGray"/>
        </w:rPr>
        <w:t>（四）</w:t>
      </w:r>
      <w:r>
        <w:rPr>
          <w:rFonts w:hint="eastAsia"/>
        </w:rPr>
        <w:t>项目效益情况</w:t>
      </w:r>
    </w:p>
    <w:p w14:paraId="7810931C">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1.社会效益指标完成情况：指标1：家庭经济困难学生生活负担，指标值：有效减轻，实际完成值：达成目标，指标完成率100%。</w:t>
      </w:r>
    </w:p>
    <w:p w14:paraId="6092C233">
      <w:pPr>
        <w:spacing w:line="600" w:lineRule="exact"/>
        <w:ind w:firstLine="640" w:firstLineChars="200"/>
        <w:outlineLvl w:val="0"/>
        <w:rPr>
          <w:rFonts w:eastAsia="宋体"/>
          <w:sz w:val="21"/>
        </w:rPr>
      </w:pPr>
      <w:r>
        <w:rPr>
          <w:rFonts w:hint="eastAsia" w:ascii="仿宋_GB2312" w:hAnsi="仿宋_GB2312" w:cs="仿宋_GB2312"/>
          <w:sz w:val="32"/>
          <w:szCs w:val="32"/>
        </w:rPr>
        <w:t>此项权重分10分，得分10分。</w:t>
      </w:r>
    </w:p>
    <w:p w14:paraId="51006DD6">
      <w:pPr>
        <w:tabs>
          <w:tab w:val="left" w:pos="312"/>
        </w:tabs>
        <w:spacing w:line="600" w:lineRule="exact"/>
        <w:ind w:firstLine="640" w:firstLineChars="200"/>
        <w:outlineLvl w:val="0"/>
        <w:rPr>
          <w:rFonts w:eastAsia="宋体"/>
          <w:sz w:val="21"/>
        </w:rPr>
      </w:pPr>
      <w:r>
        <w:rPr>
          <w:rFonts w:hint="eastAsia" w:ascii="仿宋_GB2312" w:hAnsi="仿宋_GB2312" w:cs="仿宋_GB2312"/>
          <w:sz w:val="32"/>
          <w:szCs w:val="32"/>
        </w:rPr>
        <w:t>2.满意度指标完成情况：指标1：学生满意度，指标值：&gt;=95%，实际完成值：&gt;=95%，指标完成率100%。指标2：家长满意度，指标值：&gt;=90%，实际完成值：90%，指标完成率100%。</w:t>
      </w:r>
    </w:p>
    <w:p w14:paraId="2F70F6BF">
      <w:pPr>
        <w:spacing w:line="600" w:lineRule="exact"/>
        <w:ind w:firstLine="640" w:firstLineChars="200"/>
        <w:outlineLvl w:val="0"/>
        <w:rPr>
          <w:rFonts w:eastAsia="宋体"/>
          <w:sz w:val="21"/>
        </w:rPr>
      </w:pPr>
      <w:r>
        <w:rPr>
          <w:rFonts w:hint="eastAsia" w:ascii="仿宋_GB2312" w:hAnsi="仿宋_GB2312" w:cs="仿宋_GB2312"/>
          <w:sz w:val="32"/>
          <w:szCs w:val="32"/>
        </w:rPr>
        <w:t>此项权重分10分，得分10分。</w:t>
      </w:r>
    </w:p>
    <w:p w14:paraId="0C551F1C">
      <w:pPr>
        <w:spacing w:line="560" w:lineRule="exact"/>
        <w:ind w:firstLine="640" w:firstLineChars="200"/>
        <w:rPr>
          <w:rFonts w:eastAsia="黑体"/>
          <w:sz w:val="32"/>
          <w:szCs w:val="32"/>
          <w:lang w:eastAsia="zh-Hans"/>
        </w:rPr>
      </w:pPr>
      <w:bookmarkStart w:id="14" w:name="_Toc68703842"/>
      <w:r>
        <w:rPr>
          <w:rFonts w:hint="eastAsia" w:eastAsia="黑体"/>
          <w:sz w:val="32"/>
          <w:szCs w:val="32"/>
          <w:lang w:eastAsia="zh-Hans"/>
        </w:rPr>
        <w:t>五、预算执行进度与绩效指标总体完成率偏差</w:t>
      </w:r>
    </w:p>
    <w:p w14:paraId="0A61F814">
      <w:pPr>
        <w:pStyle w:val="24"/>
        <w:spacing w:line="560" w:lineRule="exact"/>
        <w:ind w:firstLine="600" w:firstLineChars="200"/>
        <w:rPr>
          <w:kern w:val="2"/>
          <w:szCs w:val="24"/>
        </w:rPr>
      </w:pPr>
      <w:r>
        <w:rPr>
          <w:rFonts w:hint="eastAsia"/>
          <w:kern w:val="2"/>
          <w:szCs w:val="24"/>
        </w:rPr>
        <w:t>巴财教〔2022〕37号关于提前下达2023年教育项目直达资金的--学生资助（中等职业-免学费）项目年初预算63.08万元，全年预算63.08万元，实际支出63.08万元，预算执行率为100%，项目绩效指标总体完成率为100%，</w:t>
      </w:r>
      <w:r>
        <w:rPr>
          <w:rFonts w:hint="eastAsia"/>
          <w:kern w:val="2"/>
          <w:szCs w:val="24"/>
          <w:lang w:eastAsia="zh-Hans"/>
        </w:rPr>
        <w:t>总体</w:t>
      </w:r>
      <w:r>
        <w:rPr>
          <w:rFonts w:hint="eastAsia"/>
          <w:kern w:val="2"/>
          <w:szCs w:val="24"/>
        </w:rPr>
        <w:t>偏差率为0%。</w:t>
      </w:r>
    </w:p>
    <w:p w14:paraId="6524E320">
      <w:pPr>
        <w:pStyle w:val="2"/>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4"/>
    </w:p>
    <w:p w14:paraId="1EA9940C">
      <w:pPr>
        <w:pStyle w:val="3"/>
        <w:spacing w:before="0" w:after="0" w:line="560" w:lineRule="exact"/>
        <w:ind w:firstLine="640" w:firstLineChars="200"/>
        <w:rPr>
          <w:rFonts w:ascii="仿宋_GB2312" w:eastAsia="仿宋_GB2312"/>
          <w:b w:val="0"/>
          <w:bCs w:val="0"/>
        </w:rPr>
      </w:pPr>
      <w:bookmarkStart w:id="15" w:name="_Toc68703843"/>
      <w:r>
        <w:rPr>
          <w:rFonts w:hint="eastAsia" w:ascii="仿宋_GB2312" w:eastAsia="仿宋_GB2312"/>
          <w:b w:val="0"/>
          <w:bCs w:val="0"/>
        </w:rPr>
        <w:t>（一）主要经验及做法</w:t>
      </w:r>
      <w:bookmarkEnd w:id="15"/>
    </w:p>
    <w:p w14:paraId="16102D4E">
      <w:pPr>
        <w:spacing w:line="560" w:lineRule="exact"/>
        <w:ind w:firstLine="600" w:firstLineChars="200"/>
        <w:rPr>
          <w:color w:val="FF0000"/>
        </w:rPr>
      </w:pPr>
      <w:r>
        <w:rPr>
          <w:rFonts w:hint="eastAsia"/>
        </w:rPr>
        <w:t>对待工作要谦虚学习，不断总结经验。协调好学校利益和贫困生利益之间的关系，不断向兄弟学校取经。多花时间学习有关资助制度的手册、文件，多向前辈取经，不明白的就多问，不断不断总结工作经验，慢慢提高工作效率。</w:t>
      </w:r>
    </w:p>
    <w:p w14:paraId="3CC6F40E">
      <w:pPr>
        <w:pStyle w:val="3"/>
        <w:numPr>
          <w:ilvl w:val="0"/>
          <w:numId w:val="1"/>
        </w:numPr>
        <w:spacing w:before="0" w:after="0" w:line="560" w:lineRule="exact"/>
        <w:ind w:firstLine="640" w:firstLineChars="200"/>
        <w:rPr>
          <w:rFonts w:ascii="仿宋_GB2312" w:eastAsia="仿宋_GB2312"/>
          <w:b w:val="0"/>
          <w:bCs w:val="0"/>
        </w:rPr>
      </w:pPr>
      <w:bookmarkStart w:id="16" w:name="_Toc68703844"/>
      <w:r>
        <w:rPr>
          <w:rFonts w:hint="eastAsia" w:ascii="仿宋_GB2312" w:eastAsia="仿宋_GB2312"/>
          <w:b w:val="0"/>
          <w:bCs w:val="0"/>
        </w:rPr>
        <w:t>存在的问题及原因分析</w:t>
      </w:r>
      <w:bookmarkEnd w:id="16"/>
    </w:p>
    <w:p w14:paraId="4A5DE08C">
      <w:pPr>
        <w:spacing w:line="560" w:lineRule="exact"/>
      </w:pPr>
      <w:r>
        <w:rPr>
          <w:rFonts w:hint="eastAsia"/>
        </w:rPr>
        <w:t xml:space="preserve">    学生资助是一项长期系统而艰巨的工作，是构建和谐社会，创建人民满意教育的有效保证，今后我们将进步推进资助育人工作的深入开展，强化资助育人理念，把“立德树人”根本任务融入学生资助工作全过程，进步完善精准资助机制，确保资助资金使用的安全性、规范性和有效性:进步加大资助政策宣传力度，通过多渠道、全方位的宣传，使人民群众有更多的获得感和幸福感。</w:t>
      </w:r>
    </w:p>
    <w:p w14:paraId="4C3DB8B7">
      <w:pPr>
        <w:spacing w:line="560" w:lineRule="exact"/>
        <w:ind w:firstLine="640" w:firstLineChars="200"/>
        <w:rPr>
          <w:rFonts w:eastAsia="黑体"/>
          <w:color w:val="0000FF"/>
          <w:sz w:val="32"/>
          <w:szCs w:val="32"/>
        </w:rPr>
      </w:pPr>
      <w:bookmarkStart w:id="17" w:name="_Toc68703845"/>
      <w:r>
        <w:rPr>
          <w:rFonts w:hint="eastAsia" w:ascii="宋体" w:hAnsi="宋体" w:eastAsia="宋体"/>
          <w:sz w:val="32"/>
          <w:szCs w:val="32"/>
        </w:rPr>
        <w:t>七、有关建议</w:t>
      </w:r>
      <w:bookmarkEnd w:id="17"/>
    </w:p>
    <w:p w14:paraId="05987A03">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1.多进行有关绩效管理工作方面的培训。积极组织第三方开展绩效管理工作培训，进一步夯实业务基础，提高我单位绩效人员水平。</w:t>
      </w:r>
    </w:p>
    <w:p w14:paraId="59F15ECC">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2.专门设定对绩效工作人员定职、定岗、定责等相关制度措施，进一步提升我单位绩效管理工作业务水平，扎实做好绩效管理工作。</w:t>
      </w:r>
    </w:p>
    <w:p w14:paraId="69A86B6C">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E826041">
      <w:pPr>
        <w:spacing w:line="560" w:lineRule="exact"/>
        <w:ind w:firstLine="640" w:firstLineChars="200"/>
        <w:outlineLvl w:val="0"/>
        <w:rPr>
          <w:color w:val="auto"/>
          <w:sz w:val="22"/>
          <w:szCs w:val="28"/>
        </w:rPr>
      </w:pPr>
      <w:r>
        <w:rPr>
          <w:rFonts w:hint="eastAsia" w:ascii="仿宋_GB2312" w:hAnsi="仿宋_GB2312" w:cs="仿宋_GB2312"/>
          <w:color w:val="auto"/>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color w:val="auto"/>
          <w:sz w:val="36"/>
          <w:szCs w:val="32"/>
        </w:rPr>
        <w:t>。</w:t>
      </w:r>
    </w:p>
    <w:p w14:paraId="3BBC3390">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E2A30AE">
      <w:pPr>
        <w:pStyle w:val="2"/>
        <w:spacing w:before="0" w:after="0" w:line="560" w:lineRule="exact"/>
        <w:ind w:firstLine="643" w:firstLineChars="200"/>
        <w:rPr>
          <w:rFonts w:ascii="宋体" w:hAnsi="宋体" w:eastAsia="宋体"/>
          <w:color w:val="auto"/>
          <w:sz w:val="32"/>
          <w:szCs w:val="32"/>
        </w:rPr>
      </w:pPr>
      <w:bookmarkStart w:id="18" w:name="_Toc68703846"/>
      <w:r>
        <w:rPr>
          <w:rFonts w:hint="eastAsia" w:ascii="宋体" w:hAnsi="宋体" w:eastAsia="宋体"/>
          <w:color w:val="auto"/>
          <w:sz w:val="32"/>
          <w:szCs w:val="32"/>
        </w:rPr>
        <w:t>八、其他需要说明的问题</w:t>
      </w:r>
      <w:bookmarkEnd w:id="18"/>
    </w:p>
    <w:p w14:paraId="7D507F0C">
      <w:pPr>
        <w:spacing w:line="560" w:lineRule="exact"/>
        <w:ind w:firstLine="600" w:firstLineChars="200"/>
      </w:pPr>
      <w:r>
        <w:rPr>
          <w:rFonts w:hint="eastAsia"/>
        </w:rPr>
        <w:t>无</w:t>
      </w:r>
    </w:p>
    <w:p w14:paraId="65C74394">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auto"/>
    <w:pitch w:val="default"/>
    <w:sig w:usb0="00000000" w:usb1="00000000" w:usb2="00000000" w:usb3="00000000" w:csb0="00040000" w:csb1="00000000"/>
  </w:font>
  <w:font w:name="红豆小标宋简体">
    <w:altName w:val="宋体"/>
    <w:panose1 w:val="00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A3CC2"/>
    <w:multiLevelType w:val="singleLevel"/>
    <w:tmpl w:val="BFFA3CC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46535"/>
    <w:rsid w:val="000610A2"/>
    <w:rsid w:val="000D63FA"/>
    <w:rsid w:val="004A70D1"/>
    <w:rsid w:val="005B64E8"/>
    <w:rsid w:val="00614288"/>
    <w:rsid w:val="00792CFE"/>
    <w:rsid w:val="007C05E6"/>
    <w:rsid w:val="007D49C5"/>
    <w:rsid w:val="008175E0"/>
    <w:rsid w:val="00836EE6"/>
    <w:rsid w:val="008C631D"/>
    <w:rsid w:val="00A114ED"/>
    <w:rsid w:val="00B24331"/>
    <w:rsid w:val="00C01A3D"/>
    <w:rsid w:val="00DB7F56"/>
    <w:rsid w:val="00DE1435"/>
    <w:rsid w:val="00EB3433"/>
    <w:rsid w:val="00ED6B21"/>
    <w:rsid w:val="00FF407F"/>
    <w:rsid w:val="031A7868"/>
    <w:rsid w:val="05227DA5"/>
    <w:rsid w:val="05C2270A"/>
    <w:rsid w:val="08D20D13"/>
    <w:rsid w:val="09434F76"/>
    <w:rsid w:val="0C4D0F1B"/>
    <w:rsid w:val="0DC5391D"/>
    <w:rsid w:val="0E282252"/>
    <w:rsid w:val="0F2A6BF7"/>
    <w:rsid w:val="13BD5416"/>
    <w:rsid w:val="1BB028B1"/>
    <w:rsid w:val="1D723F37"/>
    <w:rsid w:val="1D785367"/>
    <w:rsid w:val="29DA3787"/>
    <w:rsid w:val="32AE0DEC"/>
    <w:rsid w:val="36B72533"/>
    <w:rsid w:val="4057649F"/>
    <w:rsid w:val="43182414"/>
    <w:rsid w:val="46267240"/>
    <w:rsid w:val="46507BB3"/>
    <w:rsid w:val="49401C91"/>
    <w:rsid w:val="4A7C25BE"/>
    <w:rsid w:val="4C22332E"/>
    <w:rsid w:val="56796849"/>
    <w:rsid w:val="58AA0DAC"/>
    <w:rsid w:val="599E30AC"/>
    <w:rsid w:val="5C4B4834"/>
    <w:rsid w:val="5DA95371"/>
    <w:rsid w:val="60512444"/>
    <w:rsid w:val="68F11999"/>
    <w:rsid w:val="6D366536"/>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index 6"/>
    <w:basedOn w:val="1"/>
    <w:next w:val="1"/>
    <w:autoRedefine/>
    <w:unhideWhenUsed/>
    <w:qFormat/>
    <w:uiPriority w:val="99"/>
    <w:pPr>
      <w:ind w:firstLine="840"/>
    </w:pPr>
    <w:rPr>
      <w:rFonts w:ascii="Calibri" w:hAnsi="Calibri" w:eastAsia="宋体" w:cs="Arial"/>
    </w:rPr>
  </w:style>
  <w:style w:type="paragraph" w:styleId="6">
    <w:name w:val="Body Text"/>
    <w:basedOn w:val="1"/>
    <w:autoRedefine/>
    <w:qFormat/>
    <w:uiPriority w:val="1"/>
    <w:pPr>
      <w:ind w:left="160"/>
    </w:pPr>
    <w:rPr>
      <w:rFonts w:ascii="仿宋" w:hAnsi="仿宋" w:eastAsia="仿宋" w:cs="仿宋"/>
      <w:sz w:val="32"/>
      <w:szCs w:val="32"/>
      <w:lang w:val="zh-CN" w:bidi="zh-CN"/>
    </w:rPr>
  </w:style>
  <w:style w:type="paragraph" w:styleId="7">
    <w:name w:val="Balloon Text"/>
    <w:basedOn w:val="1"/>
    <w:link w:val="25"/>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6"/>
    <w:next w:val="5"/>
    <w:autoRedefine/>
    <w:unhideWhenUsed/>
    <w:qFormat/>
    <w:uiPriority w:val="99"/>
    <w:pPr>
      <w:spacing w:line="560" w:lineRule="exact"/>
      <w:ind w:left="643"/>
    </w:pPr>
    <w:rPr>
      <w:rFonts w:eastAsia="楷体_GB2312"/>
      <w:bCs/>
    </w:rPr>
  </w:style>
  <w:style w:type="character" w:styleId="16">
    <w:name w:val="Strong"/>
    <w:basedOn w:val="15"/>
    <w:autoRedefine/>
    <w:qFormat/>
    <w:uiPriority w:val="0"/>
    <w:rPr>
      <w:b/>
      <w:bCs/>
    </w:rPr>
  </w:style>
  <w:style w:type="character" w:styleId="17">
    <w:name w:val="Hyperlink"/>
    <w:basedOn w:val="15"/>
    <w:autoRedefine/>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5"/>
    <w:link w:val="3"/>
    <w:autoRedefine/>
    <w:qFormat/>
    <w:uiPriority w:val="9"/>
    <w:rPr>
      <w:rFonts w:asciiTheme="majorHAnsi" w:hAnsiTheme="majorHAnsi" w:eastAsiaTheme="majorEastAsia" w:cstheme="majorBidi"/>
      <w:b/>
      <w:bCs/>
      <w:sz w:val="32"/>
      <w:szCs w:val="32"/>
    </w:rPr>
  </w:style>
  <w:style w:type="paragraph" w:customStyle="1" w:styleId="21">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5"/>
    <w:link w:val="9"/>
    <w:autoRedefine/>
    <w:qFormat/>
    <w:uiPriority w:val="99"/>
    <w:rPr>
      <w:rFonts w:ascii="Times New Roman" w:hAnsi="Times New Roman" w:eastAsia="仿宋_GB2312" w:cs="Times New Roman"/>
      <w:sz w:val="18"/>
      <w:szCs w:val="18"/>
    </w:rPr>
  </w:style>
  <w:style w:type="character" w:customStyle="1" w:styleId="23">
    <w:name w:val="页脚 Char"/>
    <w:basedOn w:val="15"/>
    <w:link w:val="8"/>
    <w:autoRedefine/>
    <w:qFormat/>
    <w:uiPriority w:val="99"/>
    <w:rPr>
      <w:rFonts w:ascii="Times New Roman" w:hAnsi="Times New Roman" w:eastAsia="仿宋_GB2312" w:cs="Times New Roman"/>
      <w:sz w:val="18"/>
      <w:szCs w:val="18"/>
    </w:rPr>
  </w:style>
  <w:style w:type="paragraph" w:customStyle="1" w:styleId="24">
    <w:name w:val="闻政-正文段落文字"/>
    <w:basedOn w:val="1"/>
    <w:autoRedefine/>
    <w:qFormat/>
    <w:uiPriority w:val="3"/>
    <w:pPr>
      <w:spacing w:line="500" w:lineRule="exact"/>
      <w:ind w:firstLine="200"/>
    </w:pPr>
    <w:rPr>
      <w:kern w:val="0"/>
      <w:szCs w:val="28"/>
    </w:rPr>
  </w:style>
  <w:style w:type="character" w:customStyle="1" w:styleId="25">
    <w:name w:val="批注框文本 Char"/>
    <w:basedOn w:val="15"/>
    <w:link w:val="7"/>
    <w:semiHidden/>
    <w:qFormat/>
    <w:uiPriority w:val="99"/>
    <w:rPr>
      <w:rFonts w:eastAsia="仿宋_GB2312"/>
      <w:kern w:val="2"/>
      <w:sz w:val="18"/>
      <w:szCs w:val="18"/>
    </w:rPr>
  </w:style>
  <w:style w:type="paragraph" w:styleId="2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16</Pages>
  <Words>7317</Words>
  <Characters>7853</Characters>
  <Lines>57</Lines>
  <Paragraphs>16</Paragraphs>
  <TotalTime>12</TotalTime>
  <ScaleCrop>false</ScaleCrop>
  <LinksUpToDate>false</LinksUpToDate>
  <CharactersWithSpaces>7903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2024-11-18T14:13:14Z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DFF0787588C34603A74FA104BC3FC087</vt:lpwstr>
  </property>
</Properties>
</file>