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D62372">
      <w:pPr>
        <w:spacing w:line="560" w:lineRule="exact"/>
        <w:ind w:firstLine="964" w:firstLineChars="200"/>
        <w:jc w:val="center"/>
        <w:rPr>
          <w:rFonts w:hint="eastAsia" w:ascii="宋体" w:hAnsi="宋体" w:eastAsia="宋体" w:cs="Arial"/>
          <w:b/>
          <w:bCs/>
          <w:sz w:val="48"/>
          <w:szCs w:val="48"/>
          <w:lang w:val="en-US" w:eastAsia="zh-CN"/>
        </w:rPr>
      </w:pPr>
      <w:r>
        <w:rPr>
          <w:rFonts w:hint="eastAsia" w:ascii="宋体" w:hAnsi="宋体" w:eastAsia="宋体" w:cs="Arial"/>
          <w:b/>
          <w:bCs/>
          <w:sz w:val="48"/>
          <w:szCs w:val="48"/>
          <w:lang w:val="en-US" w:eastAsia="zh-CN"/>
        </w:rPr>
        <w:t xml:space="preserve"> </w:t>
      </w:r>
    </w:p>
    <w:p w14:paraId="3C781DCA">
      <w:pPr>
        <w:spacing w:line="560" w:lineRule="exact"/>
        <w:ind w:firstLine="964" w:firstLineChars="200"/>
        <w:jc w:val="center"/>
        <w:rPr>
          <w:rFonts w:ascii="宋体" w:hAnsi="宋体" w:eastAsia="宋体" w:cs="Arial"/>
          <w:b/>
          <w:bCs/>
          <w:sz w:val="48"/>
          <w:szCs w:val="48"/>
        </w:rPr>
      </w:pPr>
    </w:p>
    <w:p w14:paraId="4B6E13A6">
      <w:pPr>
        <w:spacing w:line="560" w:lineRule="exact"/>
        <w:ind w:firstLine="964" w:firstLineChars="200"/>
        <w:jc w:val="center"/>
        <w:rPr>
          <w:rFonts w:ascii="宋体" w:hAnsi="宋体" w:eastAsia="宋体" w:cs="Arial"/>
          <w:b/>
          <w:bCs/>
          <w:sz w:val="48"/>
          <w:szCs w:val="48"/>
        </w:rPr>
      </w:pPr>
    </w:p>
    <w:p w14:paraId="1B830F1B">
      <w:pPr>
        <w:spacing w:line="560" w:lineRule="exact"/>
        <w:ind w:firstLine="1044" w:firstLineChars="200"/>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14:paraId="6E17DC07">
      <w:pPr>
        <w:spacing w:line="560" w:lineRule="exact"/>
        <w:ind w:firstLine="964" w:firstLineChars="200"/>
        <w:jc w:val="center"/>
        <w:rPr>
          <w:rFonts w:ascii="宋体" w:hAnsi="宋体" w:eastAsia="宋体" w:cs="Arial"/>
          <w:b/>
          <w:bCs/>
          <w:sz w:val="48"/>
          <w:szCs w:val="48"/>
        </w:rPr>
      </w:pPr>
    </w:p>
    <w:p w14:paraId="6B558981">
      <w:pPr>
        <w:widowControl/>
        <w:spacing w:line="560" w:lineRule="exact"/>
        <w:ind w:firstLine="720" w:firstLineChars="200"/>
        <w:jc w:val="center"/>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rPr>
        <w:t>3年度）</w:t>
      </w:r>
    </w:p>
    <w:p w14:paraId="4FE8C2F0">
      <w:pPr>
        <w:spacing w:line="560" w:lineRule="exact"/>
        <w:ind w:firstLine="1004" w:firstLineChars="200"/>
        <w:jc w:val="center"/>
        <w:rPr>
          <w:rFonts w:ascii="仿宋_GB2312" w:hAnsi="仿宋_GB2312" w:cs="仿宋_GB2312"/>
          <w:b/>
          <w:kern w:val="0"/>
          <w:sz w:val="50"/>
          <w:szCs w:val="50"/>
          <w:lang w:bidi="en-US"/>
        </w:rPr>
      </w:pPr>
    </w:p>
    <w:p w14:paraId="63166557">
      <w:pPr>
        <w:spacing w:line="560" w:lineRule="exact"/>
        <w:ind w:firstLine="1004" w:firstLineChars="200"/>
        <w:jc w:val="center"/>
        <w:rPr>
          <w:rFonts w:ascii="仿宋_GB2312" w:hAnsi="仿宋_GB2312" w:cs="仿宋_GB2312"/>
          <w:b/>
          <w:kern w:val="0"/>
          <w:sz w:val="50"/>
          <w:szCs w:val="50"/>
          <w:lang w:bidi="en-US"/>
        </w:rPr>
      </w:pPr>
    </w:p>
    <w:p w14:paraId="56C5D217">
      <w:pPr>
        <w:spacing w:line="560" w:lineRule="exact"/>
        <w:ind w:firstLine="1004" w:firstLineChars="200"/>
        <w:jc w:val="center"/>
        <w:rPr>
          <w:rFonts w:ascii="仿宋_GB2312" w:hAnsi="仿宋_GB2312" w:cs="仿宋_GB2312"/>
          <w:b/>
          <w:kern w:val="0"/>
          <w:sz w:val="50"/>
          <w:szCs w:val="50"/>
          <w:lang w:bidi="en-US"/>
        </w:rPr>
      </w:pPr>
    </w:p>
    <w:p w14:paraId="6E72EB49">
      <w:pPr>
        <w:spacing w:line="560" w:lineRule="exact"/>
        <w:ind w:firstLine="1004" w:firstLineChars="200"/>
        <w:jc w:val="center"/>
        <w:rPr>
          <w:rFonts w:ascii="仿宋_GB2312" w:hAnsi="仿宋_GB2312" w:cs="仿宋_GB2312"/>
          <w:b/>
          <w:kern w:val="0"/>
          <w:sz w:val="50"/>
          <w:szCs w:val="50"/>
          <w:lang w:bidi="en-US"/>
        </w:rPr>
      </w:pPr>
    </w:p>
    <w:p w14:paraId="610A4AF5">
      <w:pPr>
        <w:spacing w:line="560" w:lineRule="exact"/>
        <w:ind w:firstLine="1004" w:firstLineChars="200"/>
        <w:jc w:val="center"/>
        <w:rPr>
          <w:rFonts w:ascii="仿宋_GB2312" w:hAnsi="仿宋_GB2312" w:cs="仿宋_GB2312"/>
          <w:b/>
          <w:kern w:val="0"/>
          <w:sz w:val="50"/>
          <w:szCs w:val="50"/>
          <w:lang w:bidi="en-US"/>
        </w:rPr>
      </w:pPr>
    </w:p>
    <w:p w14:paraId="38AD8A7E">
      <w:pPr>
        <w:spacing w:line="560" w:lineRule="exact"/>
        <w:ind w:firstLine="643" w:firstLineChars="200"/>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w:t>
      </w:r>
      <w:r>
        <w:rPr>
          <w:rFonts w:ascii="宋体" w:hAnsi="宋体" w:eastAsia="宋体" w:cs="仿宋_GB2312"/>
          <w:b/>
          <w:bCs/>
          <w:color w:val="000000"/>
          <w:kern w:val="0"/>
          <w:sz w:val="32"/>
          <w:szCs w:val="32"/>
        </w:rPr>
        <w:t>2023年</w:t>
      </w:r>
      <w:r>
        <w:rPr>
          <w:rFonts w:hint="eastAsia" w:ascii="宋体" w:hAnsi="宋体" w:eastAsia="宋体" w:cs="仿宋_GB2312"/>
          <w:b/>
          <w:bCs/>
          <w:color w:val="000000"/>
          <w:kern w:val="0"/>
          <w:sz w:val="32"/>
          <w:szCs w:val="32"/>
        </w:rPr>
        <w:t>巴音郭楞蒙古自治州</w:t>
      </w:r>
      <w:r>
        <w:rPr>
          <w:rFonts w:ascii="宋体" w:hAnsi="宋体" w:eastAsia="宋体" w:cs="仿宋_GB2312"/>
          <w:b/>
          <w:bCs/>
          <w:color w:val="000000"/>
          <w:kern w:val="0"/>
          <w:sz w:val="32"/>
          <w:szCs w:val="32"/>
        </w:rPr>
        <w:t>生态环境分区管控成果动态更新</w:t>
      </w:r>
    </w:p>
    <w:p w14:paraId="5D1C0868">
      <w:pPr>
        <w:spacing w:line="560" w:lineRule="exact"/>
        <w:ind w:firstLine="643" w:firstLineChars="200"/>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实施单位（公章）：巴州生态环境局</w:t>
      </w:r>
    </w:p>
    <w:p w14:paraId="77892145">
      <w:pPr>
        <w:spacing w:line="560" w:lineRule="exact"/>
        <w:ind w:firstLine="643" w:firstLineChars="200"/>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主管部门（公章）：巴州生态环境局</w:t>
      </w:r>
    </w:p>
    <w:p w14:paraId="5E38A866">
      <w:pPr>
        <w:spacing w:line="560" w:lineRule="exact"/>
        <w:ind w:firstLine="643" w:firstLineChars="200"/>
        <w:rPr>
          <w:rFonts w:ascii="宋体" w:hAnsi="宋体" w:eastAsia="宋体" w:cs="宋体"/>
          <w:kern w:val="0"/>
          <w:sz w:val="32"/>
          <w:szCs w:val="32"/>
        </w:rPr>
      </w:pPr>
      <w:r>
        <w:rPr>
          <w:rFonts w:hint="eastAsia" w:ascii="宋体" w:hAnsi="宋体" w:eastAsia="宋体" w:cs="仿宋_GB2312"/>
          <w:b/>
          <w:bCs/>
          <w:color w:val="000000"/>
          <w:kern w:val="0"/>
          <w:sz w:val="32"/>
          <w:szCs w:val="32"/>
        </w:rPr>
        <w:t>项目负责人（签章）：黄春萍</w:t>
      </w:r>
      <w:bookmarkStart w:id="27" w:name="_GoBack"/>
      <w:bookmarkEnd w:id="27"/>
    </w:p>
    <w:p w14:paraId="1C33D0C8">
      <w:pPr>
        <w:spacing w:line="560" w:lineRule="exact"/>
        <w:ind w:firstLine="643" w:firstLineChars="200"/>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 xml:space="preserve"> 年</w:t>
      </w:r>
      <w:r>
        <w:rPr>
          <w:rFonts w:hint="eastAsia" w:ascii="宋体" w:hAnsi="宋体" w:eastAsia="宋体" w:cs="仿宋_GB2312"/>
          <w:color w:val="000000"/>
          <w:kern w:val="0"/>
          <w:sz w:val="32"/>
          <w:szCs w:val="32"/>
          <w:lang w:val="en-US" w:eastAsia="zh-CN"/>
        </w:rPr>
        <w:t>5</w:t>
      </w:r>
      <w:r>
        <w:rPr>
          <w:rFonts w:hint="eastAsia" w:ascii="宋体" w:hAnsi="宋体" w:eastAsia="宋体" w:cs="仿宋_GB2312"/>
          <w:color w:val="000000"/>
          <w:kern w:val="0"/>
          <w:sz w:val="32"/>
          <w:szCs w:val="32"/>
        </w:rPr>
        <w:t>月</w:t>
      </w:r>
      <w:r>
        <w:rPr>
          <w:rFonts w:hint="eastAsia" w:ascii="宋体" w:hAnsi="宋体" w:eastAsia="宋体" w:cs="仿宋_GB2312"/>
          <w:color w:val="000000"/>
          <w:kern w:val="0"/>
          <w:sz w:val="32"/>
          <w:szCs w:val="32"/>
          <w:lang w:val="en-US" w:eastAsia="zh-CN"/>
        </w:rPr>
        <w:t>20</w:t>
      </w:r>
      <w:r>
        <w:rPr>
          <w:rFonts w:hint="eastAsia" w:ascii="宋体" w:hAnsi="宋体" w:eastAsia="宋体" w:cs="仿宋_GB2312"/>
          <w:color w:val="000000"/>
          <w:kern w:val="0"/>
          <w:sz w:val="32"/>
          <w:szCs w:val="32"/>
        </w:rPr>
        <w:t>日</w:t>
      </w:r>
    </w:p>
    <w:p w14:paraId="3F6C6714">
      <w:pPr>
        <w:widowControl/>
        <w:spacing w:line="560" w:lineRule="exact"/>
        <w:ind w:firstLine="723" w:firstLineChars="200"/>
        <w:jc w:val="left"/>
        <w:rPr>
          <w:rFonts w:ascii="宋体" w:hAnsi="宋体" w:eastAsia="宋体" w:cs="Arial"/>
          <w:b/>
          <w:bCs/>
          <w:sz w:val="36"/>
          <w:szCs w:val="36"/>
        </w:rPr>
      </w:pPr>
      <w:r>
        <w:rPr>
          <w:rFonts w:ascii="宋体" w:hAnsi="宋体" w:eastAsia="宋体" w:cs="Arial"/>
          <w:b/>
          <w:bCs/>
          <w:sz w:val="36"/>
          <w:szCs w:val="36"/>
        </w:rPr>
        <w:br w:type="page"/>
      </w:r>
    </w:p>
    <w:p w14:paraId="08A14ABA">
      <w:pPr>
        <w:spacing w:line="560" w:lineRule="exact"/>
        <w:ind w:firstLine="723" w:firstLineChars="200"/>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6A9DB91A">
      <w:pPr>
        <w:spacing w:line="560" w:lineRule="exact"/>
        <w:ind w:firstLine="600" w:firstLineChars="200"/>
        <w:jc w:val="center"/>
        <w:rPr>
          <w:rFonts w:ascii="仿宋_GB2312"/>
        </w:rPr>
      </w:pPr>
    </w:p>
    <w:p w14:paraId="29689977">
      <w:pPr>
        <w:spacing w:line="560" w:lineRule="exact"/>
        <w:ind w:firstLine="600" w:firstLineChars="200"/>
        <w:jc w:val="center"/>
        <w:rPr>
          <w:rFonts w:ascii="仿宋_GB2312"/>
          <w:szCs w:val="30"/>
        </w:rPr>
      </w:pPr>
    </w:p>
    <w:p w14:paraId="49CD1AAB">
      <w:pPr>
        <w:pStyle w:val="3"/>
        <w:spacing w:before="0" w:after="0" w:line="560" w:lineRule="exact"/>
        <w:ind w:firstLine="643" w:firstLineChars="200"/>
        <w:rPr>
          <w:rFonts w:ascii="宋体" w:hAnsi="宋体" w:eastAsia="宋体"/>
          <w:sz w:val="32"/>
          <w:szCs w:val="32"/>
        </w:rPr>
      </w:pPr>
      <w:bookmarkStart w:id="0" w:name="_Toc68703827"/>
      <w:r>
        <w:rPr>
          <w:rFonts w:hint="eastAsia" w:ascii="宋体" w:hAnsi="宋体" w:eastAsia="宋体"/>
          <w:sz w:val="32"/>
          <w:szCs w:val="32"/>
        </w:rPr>
        <w:t>一、基本情况</w:t>
      </w:r>
      <w:bookmarkEnd w:id="0"/>
    </w:p>
    <w:p w14:paraId="033E4A18">
      <w:pPr>
        <w:pStyle w:val="4"/>
        <w:spacing w:before="0" w:after="0" w:line="560" w:lineRule="exact"/>
        <w:ind w:firstLine="640" w:firstLineChars="200"/>
        <w:rPr>
          <w:rFonts w:ascii="仿宋_GB2312" w:eastAsia="仿宋_GB2312"/>
          <w:b w:val="0"/>
          <w:bCs w:val="0"/>
        </w:rPr>
      </w:pPr>
      <w:bookmarkStart w:id="1" w:name="_Toc68703828"/>
      <w:r>
        <w:rPr>
          <w:rFonts w:hint="eastAsia" w:ascii="仿宋_GB2312" w:eastAsia="仿宋_GB2312"/>
          <w:b w:val="0"/>
          <w:bCs w:val="0"/>
        </w:rPr>
        <w:t>（一）项目概况。</w:t>
      </w:r>
      <w:bookmarkEnd w:id="1"/>
    </w:p>
    <w:p w14:paraId="74A5B89E">
      <w:pPr>
        <w:spacing w:line="560" w:lineRule="exact"/>
        <w:ind w:firstLine="600" w:firstLineChars="200"/>
        <w:rPr>
          <w:rFonts w:ascii="仿宋_GB2312"/>
        </w:rPr>
      </w:pPr>
      <w:r>
        <w:rPr>
          <w:rFonts w:hint="eastAsia" w:ascii="仿宋_GB2312"/>
        </w:rPr>
        <w:t>1.项目背景，主要内容及实施情况</w:t>
      </w:r>
    </w:p>
    <w:p w14:paraId="4A1AE957">
      <w:pPr>
        <w:spacing w:line="560" w:lineRule="exact"/>
        <w:ind w:firstLine="600" w:firstLineChars="200"/>
        <w:rPr>
          <w:rFonts w:ascii="仿宋_GB2312"/>
        </w:rPr>
      </w:pPr>
      <w:r>
        <w:rPr>
          <w:rFonts w:hint="eastAsia" w:ascii="仿宋_GB2312"/>
        </w:rPr>
        <w:t>（1）项目背景</w:t>
      </w:r>
    </w:p>
    <w:p w14:paraId="7A686BB6">
      <w:pPr>
        <w:spacing w:line="560" w:lineRule="exact"/>
        <w:ind w:firstLine="600" w:firstLineChars="200"/>
        <w:rPr>
          <w:rFonts w:hint="eastAsia" w:ascii="仿宋_GB2312"/>
        </w:rPr>
      </w:pPr>
      <w:r>
        <w:rPr>
          <w:rFonts w:hint="eastAsia" w:ascii="仿宋_GB2312"/>
        </w:rPr>
        <w:t>2021年</w:t>
      </w:r>
      <w:r>
        <w:rPr>
          <w:rFonts w:ascii="仿宋_GB2312"/>
        </w:rPr>
        <w:t>6</w:t>
      </w:r>
      <w:r>
        <w:rPr>
          <w:rFonts w:hint="eastAsia" w:ascii="仿宋_GB2312"/>
        </w:rPr>
        <w:t>月3</w:t>
      </w:r>
      <w:r>
        <w:rPr>
          <w:rFonts w:ascii="仿宋_GB2312"/>
        </w:rPr>
        <w:t>0</w:t>
      </w:r>
      <w:r>
        <w:rPr>
          <w:rFonts w:hint="eastAsia" w:ascii="仿宋_GB2312"/>
        </w:rPr>
        <w:t>日，巴音郭楞蒙古自治州人民政府印发《巴音郭楞蒙古自治州“三线一单”生态环境分区管控方案》（巴政办发〔2021〕</w:t>
      </w:r>
      <w:r>
        <w:rPr>
          <w:rFonts w:ascii="仿宋_GB2312"/>
        </w:rPr>
        <w:t>32</w:t>
      </w:r>
      <w:r>
        <w:rPr>
          <w:rFonts w:hint="eastAsia" w:ascii="仿宋_GB2312"/>
        </w:rPr>
        <w:t>号）。</w:t>
      </w:r>
      <w:r>
        <w:rPr>
          <w:rFonts w:ascii="仿宋_GB2312"/>
        </w:rPr>
        <w:t>成果发布后，巴州积极推进成果实施与应用，切实把“三线一单”作为实现生态环境监管精细化、规范化、智能化的有力工具和抓手。“三线一单”</w:t>
      </w:r>
      <w:r>
        <w:rPr>
          <w:rFonts w:hint="eastAsia" w:ascii="仿宋_GB2312"/>
        </w:rPr>
        <w:t>在优化巴州国土空间布局、相关专项规划实施、建设项目落地等方面起到了显著作用。</w:t>
      </w:r>
    </w:p>
    <w:p w14:paraId="57C180FE">
      <w:pPr>
        <w:spacing w:line="560" w:lineRule="exact"/>
        <w:ind w:firstLine="600" w:firstLineChars="200"/>
        <w:rPr>
          <w:rFonts w:hint="eastAsia" w:ascii="仿宋_GB2312"/>
        </w:rPr>
      </w:pPr>
      <w:r>
        <w:rPr>
          <w:rFonts w:ascii="仿宋_GB2312"/>
        </w:rPr>
        <w:t>随着</w:t>
      </w:r>
      <w:r>
        <w:rPr>
          <w:rFonts w:hint="eastAsia" w:ascii="仿宋_GB2312"/>
        </w:rPr>
        <w:t>巴州</w:t>
      </w:r>
      <w:r>
        <w:rPr>
          <w:rFonts w:ascii="仿宋_GB2312"/>
        </w:rPr>
        <w:t>经济社会发展和生态环境质量改善的新形势、新任务、新要求，</w:t>
      </w:r>
      <w:r>
        <w:rPr>
          <w:rFonts w:hint="eastAsia" w:ascii="仿宋_GB2312"/>
        </w:rPr>
        <w:t>结合自然资源部门开展的国土空间规划工作，生态保护红线、城镇开发边界、永久基本农田边界等矢量数据发生了调整，同时，州域各工业园区有了新的发展需求。</w:t>
      </w:r>
      <w:r>
        <w:rPr>
          <w:rFonts w:ascii="仿宋_GB2312"/>
        </w:rPr>
        <w:t>为促</w:t>
      </w:r>
      <w:r>
        <w:rPr>
          <w:rFonts w:hint="eastAsia" w:ascii="仿宋_GB2312"/>
          <w:lang w:val="en-US" w:eastAsia="zh-CN"/>
        </w:rPr>
        <w:t>进</w:t>
      </w:r>
      <w:r>
        <w:rPr>
          <w:rFonts w:hint="eastAsia" w:ascii="仿宋_GB2312"/>
        </w:rPr>
        <w:t>自治州“</w:t>
      </w:r>
      <w:r>
        <w:rPr>
          <w:rFonts w:ascii="仿宋_GB2312"/>
        </w:rPr>
        <w:t>三线一单</w:t>
      </w:r>
      <w:r>
        <w:rPr>
          <w:rFonts w:hint="eastAsia" w:ascii="仿宋_GB2312"/>
        </w:rPr>
        <w:t>”</w:t>
      </w:r>
      <w:r>
        <w:rPr>
          <w:rFonts w:ascii="仿宋_GB2312"/>
        </w:rPr>
        <w:t>分区管控精准落地、实现精细化管理，开展我</w:t>
      </w:r>
      <w:r>
        <w:rPr>
          <w:rFonts w:hint="eastAsia" w:ascii="仿宋_GB2312"/>
        </w:rPr>
        <w:t>州“</w:t>
      </w:r>
      <w:r>
        <w:rPr>
          <w:rFonts w:ascii="仿宋_GB2312"/>
        </w:rPr>
        <w:t>三线一单</w:t>
      </w:r>
      <w:r>
        <w:rPr>
          <w:rFonts w:hint="eastAsia" w:ascii="仿宋_GB2312"/>
        </w:rPr>
        <w:t>”</w:t>
      </w:r>
      <w:r>
        <w:rPr>
          <w:rFonts w:ascii="仿宋_GB2312"/>
        </w:rPr>
        <w:t>成果动态更新工作。</w:t>
      </w:r>
    </w:p>
    <w:p w14:paraId="0E5A3034">
      <w:pPr>
        <w:spacing w:line="560" w:lineRule="exact"/>
        <w:ind w:firstLine="600" w:firstLineChars="200"/>
        <w:rPr>
          <w:rFonts w:ascii="仿宋_GB2312"/>
        </w:rPr>
      </w:pPr>
      <w:r>
        <w:rPr>
          <w:rFonts w:hint="eastAsia" w:ascii="仿宋_GB2312"/>
        </w:rPr>
        <w:t>另外，</w:t>
      </w:r>
      <w:r>
        <w:rPr>
          <w:rFonts w:ascii="仿宋_GB2312"/>
        </w:rPr>
        <w:t>生态环境部和自治区生态环境厅</w:t>
      </w:r>
      <w:r>
        <w:rPr>
          <w:rFonts w:hint="eastAsia" w:ascii="仿宋_GB2312"/>
        </w:rPr>
        <w:t>分别印发</w:t>
      </w:r>
      <w:r>
        <w:rPr>
          <w:rFonts w:ascii="仿宋_GB2312"/>
        </w:rPr>
        <w:t>《关于实施“三线一单”生态环境分区管控的指导意见（试行）》《关于印发2023年自治区“三线一单”生态环境分区管控成果动态更新工作方案的通知》（新环办环评〔2023〕20号）</w:t>
      </w:r>
      <w:r>
        <w:rPr>
          <w:rFonts w:hint="eastAsia" w:ascii="仿宋_GB2312"/>
        </w:rPr>
        <w:t>，要求开展“三线一单”动态更新工作</w:t>
      </w:r>
      <w:r>
        <w:rPr>
          <w:rFonts w:ascii="仿宋_GB2312"/>
        </w:rPr>
        <w:t>。</w:t>
      </w:r>
    </w:p>
    <w:p w14:paraId="1A906C61">
      <w:pPr>
        <w:spacing w:line="560" w:lineRule="exact"/>
        <w:ind w:firstLine="600" w:firstLineChars="200"/>
        <w:rPr>
          <w:rFonts w:ascii="仿宋_GB2312"/>
        </w:rPr>
      </w:pPr>
      <w:r>
        <w:rPr>
          <w:rFonts w:hint="eastAsia" w:ascii="仿宋_GB2312"/>
        </w:rPr>
        <w:t>（2）主要内容</w:t>
      </w:r>
      <w:r>
        <w:rPr>
          <w:rFonts w:hint="eastAsia"/>
        </w:rPr>
        <w:t>及</w:t>
      </w:r>
      <w:r>
        <w:rPr>
          <w:rFonts w:hint="eastAsia" w:ascii="仿宋_GB2312"/>
        </w:rPr>
        <w:t>实施情况</w:t>
      </w:r>
    </w:p>
    <w:p w14:paraId="526F8183">
      <w:pPr>
        <w:spacing w:line="560" w:lineRule="exact"/>
        <w:ind w:firstLine="600" w:firstLineChars="200"/>
        <w:rPr>
          <w:rFonts w:hint="eastAsia"/>
        </w:rPr>
      </w:pPr>
      <w:r>
        <w:rPr>
          <w:rFonts w:hint="eastAsia"/>
          <w:lang w:eastAsia="zh-CN"/>
        </w:rPr>
        <w:t>主要内容：</w:t>
      </w:r>
      <w:r>
        <w:rPr>
          <w:rFonts w:hint="eastAsia"/>
        </w:rPr>
        <w:t>生态保护红线动态更新、环境质量底线动态更新、资源利用上线动态更新、生态环境管控单元和生态环境准入清单动态更新。</w:t>
      </w:r>
    </w:p>
    <w:p w14:paraId="746EF4BA">
      <w:pPr>
        <w:spacing w:line="560" w:lineRule="exact"/>
        <w:ind w:firstLine="600" w:firstLineChars="200"/>
        <w:rPr>
          <w:rFonts w:hint="eastAsia"/>
        </w:rPr>
      </w:pPr>
      <w:r>
        <w:rPr>
          <w:rFonts w:hint="eastAsia"/>
          <w:lang w:eastAsia="zh-CN"/>
        </w:rPr>
        <w:t>实施情况：</w:t>
      </w:r>
      <w:r>
        <w:rPr>
          <w:rFonts w:hint="eastAsia" w:ascii="Calibri" w:hAnsi="Calibri" w:cs="Calibri"/>
          <w:lang w:eastAsia="zh-CN"/>
        </w:rPr>
        <w:t>①</w:t>
      </w:r>
      <w:r>
        <w:rPr>
          <w:rFonts w:hint="eastAsia" w:ascii="仿宋_GB2312"/>
          <w:lang w:eastAsia="zh-CN"/>
        </w:rPr>
        <w:t>依据《巴音郭楞蒙古自治州国土空间总体规划（2021-2035）》、矿产资源规划和巴州“8县1市”最新水源地划分技术报告等资料更新了生态保护红线和一般生态空间。</w:t>
      </w:r>
    </w:p>
    <w:p w14:paraId="03EBFC1B">
      <w:pPr>
        <w:spacing w:line="560" w:lineRule="exact"/>
        <w:ind w:firstLine="600" w:firstLineChars="200"/>
        <w:rPr>
          <w:rFonts w:ascii="仿宋_GB2312"/>
        </w:rPr>
      </w:pPr>
      <w:bookmarkStart w:id="2" w:name="_Toc138071842"/>
      <w:r>
        <w:rPr>
          <w:rFonts w:hint="eastAsia" w:ascii="Calibri" w:hAnsi="Calibri" w:cs="Calibri"/>
          <w:lang w:eastAsia="zh-CN"/>
        </w:rPr>
        <w:t>②</w:t>
      </w:r>
      <w:r>
        <w:rPr>
          <w:rFonts w:ascii="仿宋_GB2312"/>
        </w:rPr>
        <w:t>依据《巴音郭楞蒙古自治州“十四五”生态环境保护规划》，</w:t>
      </w:r>
      <w:r>
        <w:rPr>
          <w:rFonts w:hint="eastAsia" w:ascii="仿宋_GB2312"/>
        </w:rPr>
        <w:t>更新了</w:t>
      </w:r>
      <w:bookmarkStart w:id="3" w:name="_Toc153818317"/>
      <w:r>
        <w:rPr>
          <w:rFonts w:ascii="仿宋_GB2312"/>
        </w:rPr>
        <w:t>大气环境质量底线</w:t>
      </w:r>
      <w:bookmarkEnd w:id="3"/>
      <w:r>
        <w:rPr>
          <w:rFonts w:hint="eastAsia" w:ascii="仿宋_GB2312"/>
        </w:rPr>
        <w:t>、水环境质量底线</w:t>
      </w:r>
      <w:bookmarkEnd w:id="2"/>
      <w:bookmarkStart w:id="4" w:name="_Toc153818319"/>
      <w:r>
        <w:rPr>
          <w:rFonts w:hint="eastAsia" w:ascii="仿宋_GB2312"/>
        </w:rPr>
        <w:t>、</w:t>
      </w:r>
      <w:r>
        <w:rPr>
          <w:rFonts w:ascii="仿宋_GB2312"/>
        </w:rPr>
        <w:t>土壤环境质量底线</w:t>
      </w:r>
      <w:bookmarkEnd w:id="4"/>
      <w:r>
        <w:rPr>
          <w:rFonts w:hint="eastAsia" w:ascii="仿宋_GB2312"/>
        </w:rPr>
        <w:t>。</w:t>
      </w:r>
    </w:p>
    <w:p w14:paraId="3E9EAF5E">
      <w:pPr>
        <w:spacing w:line="560" w:lineRule="exact"/>
        <w:ind w:firstLine="600" w:firstLineChars="200"/>
        <w:rPr>
          <w:rFonts w:ascii="仿宋_GB2312"/>
        </w:rPr>
      </w:pPr>
      <w:r>
        <w:rPr>
          <w:rFonts w:hint="eastAsia" w:ascii="仿宋_GB2312"/>
          <w:lang w:eastAsia="zh-CN"/>
        </w:rPr>
        <w:t>③</w:t>
      </w:r>
      <w:r>
        <w:rPr>
          <w:rFonts w:ascii="仿宋_GB2312"/>
        </w:rPr>
        <w:t>衔接《巴州“十四五”水安全保障规划》</w:t>
      </w:r>
      <w:r>
        <w:rPr>
          <w:rFonts w:hint="eastAsia" w:ascii="仿宋_GB2312"/>
        </w:rPr>
        <w:t>，更新了</w:t>
      </w:r>
      <w:r>
        <w:rPr>
          <w:rFonts w:ascii="仿宋_GB2312"/>
        </w:rPr>
        <w:t>水资源利用上线</w:t>
      </w:r>
      <w:r>
        <w:rPr>
          <w:rFonts w:hint="eastAsia" w:ascii="仿宋_GB2312"/>
        </w:rPr>
        <w:t>；</w:t>
      </w:r>
      <w:r>
        <w:rPr>
          <w:rFonts w:ascii="仿宋_GB2312"/>
        </w:rPr>
        <w:t>衔接《巴音郭楞蒙古自治州国土空间总体规划（2021-2035）》</w:t>
      </w:r>
      <w:r>
        <w:rPr>
          <w:rFonts w:hint="eastAsia" w:ascii="仿宋_GB2312"/>
        </w:rPr>
        <w:t>，更新了</w:t>
      </w:r>
      <w:r>
        <w:rPr>
          <w:rFonts w:ascii="仿宋_GB2312"/>
        </w:rPr>
        <w:t>土地资源利用上线</w:t>
      </w:r>
      <w:r>
        <w:rPr>
          <w:rFonts w:hint="eastAsia" w:ascii="仿宋_GB2312"/>
        </w:rPr>
        <w:t>；</w:t>
      </w:r>
      <w:r>
        <w:rPr>
          <w:rFonts w:ascii="仿宋_GB2312"/>
        </w:rPr>
        <w:t>衔接《巴州</w:t>
      </w:r>
      <w:r>
        <w:rPr>
          <w:rFonts w:hint="eastAsia" w:ascii="仿宋_GB2312"/>
        </w:rPr>
        <w:t>“十四五”能耗双控工作方案</w:t>
      </w:r>
      <w:r>
        <w:rPr>
          <w:rFonts w:ascii="仿宋_GB2312"/>
        </w:rPr>
        <w:t>》</w:t>
      </w:r>
      <w:bookmarkStart w:id="5" w:name="_Toc153818323"/>
      <w:bookmarkStart w:id="6" w:name="_Toc138071846"/>
      <w:r>
        <w:rPr>
          <w:rFonts w:hint="eastAsia" w:ascii="仿宋_GB2312"/>
        </w:rPr>
        <w:t>更新了</w:t>
      </w:r>
      <w:r>
        <w:rPr>
          <w:rFonts w:ascii="仿宋_GB2312"/>
        </w:rPr>
        <w:t>能源利用上线</w:t>
      </w:r>
      <w:bookmarkEnd w:id="5"/>
      <w:r>
        <w:rPr>
          <w:rFonts w:hint="eastAsia" w:ascii="仿宋_GB2312"/>
        </w:rPr>
        <w:t>。</w:t>
      </w:r>
    </w:p>
    <w:bookmarkEnd w:id="6"/>
    <w:p w14:paraId="1892F21B">
      <w:pPr>
        <w:spacing w:line="560" w:lineRule="exact"/>
        <w:ind w:firstLine="600" w:firstLineChars="200"/>
        <w:rPr>
          <w:rFonts w:ascii="仿宋_GB2312"/>
        </w:rPr>
      </w:pPr>
      <w:r>
        <w:rPr>
          <w:rFonts w:hint="eastAsia" w:ascii="仿宋_GB2312"/>
          <w:lang w:eastAsia="zh-CN"/>
        </w:rPr>
        <w:t>④</w:t>
      </w:r>
      <w:r>
        <w:rPr>
          <w:rFonts w:ascii="仿宋_GB2312"/>
        </w:rPr>
        <w:t>基于生态保护红线与一般生态空间、水环境管控分区、大气环境管控分区土壤环境风险管控分区、资源管控分区等更新结果，依据技术指南和技术要求对生态环境管控单元进行相应更新。</w:t>
      </w:r>
    </w:p>
    <w:p w14:paraId="077C9939">
      <w:pPr>
        <w:spacing w:line="560" w:lineRule="exact"/>
        <w:ind w:firstLine="600" w:firstLineChars="200"/>
        <w:rPr>
          <w:rFonts w:hint="eastAsia" w:ascii="仿宋_GB2312"/>
        </w:rPr>
      </w:pPr>
      <w:bookmarkStart w:id="7" w:name="_Toc153818342"/>
      <w:r>
        <w:rPr>
          <w:rFonts w:hint="eastAsia" w:ascii="仿宋_GB2312"/>
          <w:lang w:eastAsia="zh-CN"/>
        </w:rPr>
        <w:t>⑤</w:t>
      </w:r>
      <w:r>
        <w:rPr>
          <w:rFonts w:hint="eastAsia" w:ascii="仿宋_GB2312"/>
        </w:rPr>
        <w:t>根据相关法律法规，综合州直各部门和各县市意见更新了</w:t>
      </w:r>
      <w:r>
        <w:rPr>
          <w:rFonts w:ascii="仿宋_GB2312"/>
        </w:rPr>
        <w:t>生态环境准入清单</w:t>
      </w:r>
      <w:bookmarkEnd w:id="7"/>
      <w:r>
        <w:rPr>
          <w:rFonts w:hint="eastAsia" w:ascii="仿宋_GB2312"/>
        </w:rPr>
        <w:t>。</w:t>
      </w:r>
    </w:p>
    <w:p w14:paraId="7AF7A55F">
      <w:pPr>
        <w:spacing w:line="560" w:lineRule="exact"/>
        <w:ind w:firstLine="600" w:firstLineChars="200"/>
        <w:rPr>
          <w:rFonts w:ascii="仿宋_GB2312"/>
        </w:rPr>
      </w:pPr>
      <w:r>
        <w:rPr>
          <w:rFonts w:hint="eastAsia" w:ascii="仿宋_GB2312"/>
        </w:rPr>
        <w:t>2.资金投入和使用情况</w:t>
      </w:r>
    </w:p>
    <w:p w14:paraId="03932B11">
      <w:pPr>
        <w:spacing w:line="560" w:lineRule="exact"/>
        <w:ind w:firstLine="600" w:firstLineChars="200"/>
        <w:rPr>
          <w:rFonts w:ascii="仿宋_GB2312" w:hAnsi="Times New Roman" w:cs="Times New Roman"/>
        </w:rPr>
      </w:pPr>
      <w:r>
        <w:rPr>
          <w:rFonts w:hint="eastAsia" w:ascii="仿宋_GB2312" w:hAnsi="Times New Roman" w:cs="Times New Roman"/>
        </w:rPr>
        <w:t>（1）资金投入情况：该项目年初预算数</w:t>
      </w:r>
      <w:r>
        <w:rPr>
          <w:rFonts w:ascii="仿宋_GB2312" w:hAnsi="Times New Roman" w:cs="Times New Roman"/>
        </w:rPr>
        <w:t>100</w:t>
      </w:r>
      <w:r>
        <w:rPr>
          <w:rFonts w:hint="eastAsia" w:ascii="仿宋_GB2312" w:hAnsi="Times New Roman" w:cs="Times New Roman"/>
        </w:rPr>
        <w:t>万元，全年预算数</w:t>
      </w:r>
      <w:r>
        <w:rPr>
          <w:rFonts w:ascii="仿宋_GB2312" w:hAnsi="Times New Roman" w:cs="Times New Roman"/>
        </w:rPr>
        <w:t>100</w:t>
      </w:r>
      <w:r>
        <w:rPr>
          <w:rFonts w:hint="eastAsia" w:ascii="仿宋_GB2312" w:hAnsi="Times New Roman" w:cs="Times New Roman"/>
        </w:rPr>
        <w:t>万元，实际总投入9</w:t>
      </w:r>
      <w:r>
        <w:rPr>
          <w:rFonts w:ascii="仿宋_GB2312" w:hAnsi="Times New Roman" w:cs="Times New Roman"/>
        </w:rPr>
        <w:t>7</w:t>
      </w:r>
      <w:r>
        <w:rPr>
          <w:rFonts w:hint="eastAsia" w:ascii="仿宋_GB2312" w:hAnsi="Times New Roman" w:cs="Times New Roman"/>
        </w:rPr>
        <w:t>万元，该项目资金已全部落实到位，资金来源为本级</w:t>
      </w:r>
      <w:r>
        <w:rPr>
          <w:rFonts w:ascii="仿宋_GB2312" w:hAnsi="Times New Roman" w:cs="Times New Roman"/>
        </w:rPr>
        <w:t>财政资金</w:t>
      </w:r>
      <w:r>
        <w:rPr>
          <w:rFonts w:hint="eastAsia" w:ascii="仿宋_GB2312" w:hAnsi="Times New Roman" w:cs="Times New Roman"/>
        </w:rPr>
        <w:t>拨款。</w:t>
      </w:r>
    </w:p>
    <w:p w14:paraId="6E4735CE">
      <w:pPr>
        <w:spacing w:line="560" w:lineRule="exact"/>
        <w:ind w:firstLine="600" w:firstLineChars="200"/>
        <w:rPr>
          <w:rFonts w:hint="eastAsia" w:ascii="仿宋_GB2312" w:hAnsi="仿宋_GB2312" w:eastAsia="仿宋_GB2312" w:cs="仿宋_GB2312"/>
        </w:rPr>
      </w:pPr>
      <w:r>
        <w:rPr>
          <w:rFonts w:hint="eastAsia" w:ascii="仿宋_GB2312" w:hAnsi="仿宋_GB2312" w:eastAsia="仿宋_GB2312" w:cs="仿宋_GB2312"/>
        </w:rPr>
        <w:t>（2）资金使用情况：该项目年初预算数100万元，全年预算数100万元，全年执行数97万元，预算执行率为97%，用于：开展巴州“三线一单”生态环境分区管控成果动态更新报告编制委托第三方编制单位的业务费97万元。</w:t>
      </w:r>
    </w:p>
    <w:p w14:paraId="0F9D898E">
      <w:pPr>
        <w:spacing w:line="560" w:lineRule="exact"/>
        <w:ind w:firstLine="600" w:firstLineChars="200"/>
        <w:rPr>
          <w:rFonts w:hint="eastAsia" w:ascii="仿宋_GB2312" w:hAnsi="仿宋_GB2312" w:eastAsia="仿宋_GB2312" w:cs="仿宋_GB2312"/>
          <w:color w:val="000000" w:themeColor="text1"/>
          <w14:textFill>
            <w14:solidFill>
              <w14:schemeClr w14:val="tx1"/>
            </w14:solidFill>
          </w14:textFill>
        </w:rPr>
      </w:pPr>
      <w:bookmarkStart w:id="8" w:name="_Toc68703829"/>
      <w:r>
        <w:rPr>
          <w:rFonts w:hint="eastAsia" w:ascii="仿宋_GB2312" w:hAnsi="仿宋_GB2312" w:eastAsia="仿宋_GB2312" w:cs="仿宋_GB2312"/>
          <w:color w:val="000000" w:themeColor="text1"/>
          <w14:textFill>
            <w14:solidFill>
              <w14:schemeClr w14:val="tx1"/>
            </w14:solidFill>
          </w14:textFill>
        </w:rPr>
        <w:t>（二）项目绩效目标</w:t>
      </w:r>
      <w:bookmarkEnd w:id="8"/>
      <w:r>
        <w:rPr>
          <w:rFonts w:hint="eastAsia" w:ascii="仿宋_GB2312" w:hAnsi="仿宋_GB2312" w:eastAsia="仿宋_GB2312" w:cs="仿宋_GB2312"/>
          <w:color w:val="000000" w:themeColor="text1"/>
          <w14:textFill>
            <w14:solidFill>
              <w14:schemeClr w14:val="tx1"/>
            </w14:solidFill>
          </w14:textFill>
        </w:rPr>
        <w:t>，包括总体目标和阶段性目标。</w:t>
      </w:r>
    </w:p>
    <w:p w14:paraId="47C37CE1">
      <w:pPr>
        <w:spacing w:line="560" w:lineRule="exact"/>
        <w:ind w:firstLine="600" w:firstLineChars="200"/>
        <w:rPr>
          <w:rFonts w:hint="eastAsia" w:ascii="仿宋_GB2312" w:hAnsi="仿宋_GB2312" w:eastAsia="仿宋_GB2312" w:cs="仿宋_GB2312"/>
          <w:color w:val="000000" w:themeColor="text1"/>
          <w14:textFill>
            <w14:solidFill>
              <w14:schemeClr w14:val="tx1"/>
            </w14:solidFill>
          </w14:textFill>
        </w:rPr>
      </w:pPr>
      <w:r>
        <w:rPr>
          <w:rFonts w:hint="eastAsia" w:ascii="仿宋_GB2312" w:hAnsi="仿宋_GB2312" w:eastAsia="仿宋_GB2312" w:cs="仿宋_GB2312"/>
        </w:rPr>
        <w:t>1.总体目标：</w:t>
      </w:r>
      <w:r>
        <w:rPr>
          <w:rFonts w:hint="eastAsia" w:ascii="仿宋_GB2312" w:hAnsi="仿宋_GB2312" w:eastAsia="仿宋_GB2312" w:cs="仿宋_GB2312"/>
          <w:color w:val="000000" w:themeColor="text1"/>
          <w14:textFill>
            <w14:solidFill>
              <w14:schemeClr w14:val="tx1"/>
            </w14:solidFill>
          </w14:textFill>
        </w:rPr>
        <w:t>围绕落实《全国国土空间规划纲要（2021-2035年）》《自治区国土空间规划纲要（2021-2035年）》、巴州国土空间总体规划要求、相关园区规划环评执行情况、园区范围、产业定位、管控要求等更新变化情况，动态更新巴州“三线一单”生态环境分区管控相关内容，实现生态功能不降低、环境质量不下降、资源环境承载能力不突破为底线。完成“三线一单”生态环境分区管控更新项目报告一册。</w:t>
      </w:r>
    </w:p>
    <w:p w14:paraId="4654C4F8">
      <w:pPr>
        <w:pStyle w:val="22"/>
        <w:adjustRightInd/>
        <w:snapToGrid/>
        <w:spacing w:after="0" w:line="560" w:lineRule="exact"/>
        <w:ind w:firstLine="600" w:firstLineChars="200"/>
        <w:jc w:val="left"/>
        <w:rPr>
          <w:rFonts w:hint="eastAsia" w:ascii="仿宋_GB2312" w:hAnsi="仿宋_GB2312" w:eastAsia="仿宋_GB2312" w:cs="仿宋_GB2312"/>
          <w:snapToGrid/>
          <w:kern w:val="2"/>
          <w:sz w:val="30"/>
          <w:szCs w:val="24"/>
          <w:lang w:val="en-US" w:eastAsia="zh-CN"/>
        </w:rPr>
      </w:pPr>
      <w:r>
        <w:rPr>
          <w:rFonts w:hint="eastAsia" w:ascii="仿宋_GB2312" w:hAnsi="仿宋_GB2312" w:eastAsia="仿宋_GB2312" w:cs="仿宋_GB2312"/>
          <w:snapToGrid/>
          <w:kern w:val="2"/>
          <w:sz w:val="30"/>
          <w:szCs w:val="24"/>
        </w:rPr>
        <w:t>2.阶段性目标：</w:t>
      </w:r>
      <w:r>
        <w:rPr>
          <w:rFonts w:hint="eastAsia" w:ascii="仿宋_GB2312" w:hAnsi="仿宋_GB2312" w:eastAsia="仿宋_GB2312" w:cs="仿宋_GB2312"/>
          <w:snapToGrid/>
          <w:kern w:val="2"/>
          <w:sz w:val="30"/>
          <w:szCs w:val="24"/>
          <w:lang w:val="en-US" w:eastAsia="zh-CN"/>
        </w:rPr>
        <w:t>2023年5月初成立工作协调小组、确定技术团队、形成技术方案；2023年5月底启动“三线一单”更新工作；2023年8月初形成</w:t>
      </w:r>
      <w:r>
        <w:rPr>
          <w:rFonts w:hint="eastAsia" w:ascii="仿宋_GB2312" w:hAnsi="仿宋_GB2312" w:eastAsia="仿宋_GB2312" w:cs="仿宋_GB2312"/>
          <w:snapToGrid/>
          <w:color w:val="000000" w:themeColor="text1"/>
          <w:kern w:val="2"/>
          <w:sz w:val="30"/>
          <w:szCs w:val="24"/>
          <w14:textFill>
            <w14:solidFill>
              <w14:schemeClr w14:val="tx1"/>
            </w14:solidFill>
          </w14:textFill>
        </w:rPr>
        <w:t>“三线一单”动态更新初步成果</w:t>
      </w:r>
      <w:r>
        <w:rPr>
          <w:rFonts w:hint="eastAsia" w:ascii="仿宋_GB2312" w:hAnsi="仿宋_GB2312" w:eastAsia="仿宋_GB2312" w:cs="仿宋_GB2312"/>
          <w:snapToGrid/>
          <w:color w:val="000000" w:themeColor="text1"/>
          <w:kern w:val="2"/>
          <w:sz w:val="30"/>
          <w:szCs w:val="24"/>
          <w:lang w:eastAsia="zh-CN"/>
          <w14:textFill>
            <w14:solidFill>
              <w14:schemeClr w14:val="tx1"/>
            </w14:solidFill>
          </w14:textFill>
        </w:rPr>
        <w:t>；</w:t>
      </w:r>
      <w:r>
        <w:rPr>
          <w:rFonts w:hint="eastAsia" w:ascii="仿宋_GB2312" w:hAnsi="仿宋_GB2312" w:eastAsia="仿宋_GB2312" w:cs="仿宋_GB2312"/>
          <w:snapToGrid/>
          <w:color w:val="000000" w:themeColor="text1"/>
          <w:kern w:val="2"/>
          <w:sz w:val="30"/>
          <w:szCs w:val="24"/>
          <w:lang w:val="en-US" w:eastAsia="zh-CN"/>
          <w14:textFill>
            <w14:solidFill>
              <w14:schemeClr w14:val="tx1"/>
            </w14:solidFill>
          </w14:textFill>
        </w:rPr>
        <w:t>2023年8月中旬完成第一轮各政府机构、各部门的意见征集工作；2023年9月修改完成后报送自治区生态环境厅，</w:t>
      </w:r>
      <w:r>
        <w:rPr>
          <w:rFonts w:hint="eastAsia" w:ascii="仿宋_GB2312" w:hAnsi="仿宋_GB2312" w:eastAsia="仿宋_GB2312" w:cs="仿宋_GB2312"/>
          <w:sz w:val="30"/>
          <w:szCs w:val="30"/>
        </w:rPr>
        <w:t>参加自治区“三线一单”技术研讨会</w:t>
      </w:r>
      <w:r>
        <w:rPr>
          <w:rFonts w:hint="eastAsia" w:ascii="仿宋_GB2312" w:hAnsi="仿宋_GB2312" w:eastAsia="仿宋_GB2312" w:cs="仿宋_GB2312"/>
          <w:snapToGrid/>
          <w:color w:val="000000" w:themeColor="text1"/>
          <w:kern w:val="2"/>
          <w:sz w:val="30"/>
          <w:szCs w:val="24"/>
          <w:lang w:val="en-US" w:eastAsia="zh-CN"/>
          <w14:textFill>
            <w14:solidFill>
              <w14:schemeClr w14:val="tx1"/>
            </w14:solidFill>
          </w14:textFill>
        </w:rPr>
        <w:t>；2023年11月完成第二轮各政府机构、各部门的意见征集工作；2023年12月底通过自治区生态环境厅成果审核。</w:t>
      </w:r>
    </w:p>
    <w:p w14:paraId="00CE0C78">
      <w:pPr>
        <w:pStyle w:val="3"/>
        <w:spacing w:before="0" w:after="0" w:line="560" w:lineRule="exact"/>
        <w:ind w:firstLine="643" w:firstLineChars="200"/>
        <w:rPr>
          <w:rFonts w:ascii="宋体" w:hAnsi="宋体" w:eastAsia="宋体"/>
          <w:sz w:val="32"/>
          <w:szCs w:val="32"/>
        </w:rPr>
      </w:pPr>
      <w:bookmarkStart w:id="9" w:name="_Toc68703830"/>
      <w:r>
        <w:rPr>
          <w:rFonts w:hint="eastAsia" w:ascii="宋体" w:hAnsi="宋体" w:eastAsia="宋体"/>
          <w:sz w:val="32"/>
          <w:szCs w:val="32"/>
        </w:rPr>
        <w:t>二、绩效评价工作开展情况</w:t>
      </w:r>
      <w:bookmarkEnd w:id="9"/>
    </w:p>
    <w:p w14:paraId="50B9811E">
      <w:pPr>
        <w:pStyle w:val="4"/>
        <w:spacing w:before="0" w:after="0" w:line="560" w:lineRule="exact"/>
        <w:ind w:firstLine="640" w:firstLineChars="200"/>
        <w:rPr>
          <w:rFonts w:eastAsia="仿宋_GB2312"/>
        </w:rPr>
      </w:pPr>
      <w:bookmarkStart w:id="10" w:name="_Toc68703831"/>
      <w:r>
        <w:rPr>
          <w:rFonts w:hint="eastAsia" w:ascii="仿宋_GB2312" w:eastAsia="仿宋_GB2312"/>
          <w:b w:val="0"/>
          <w:bCs w:val="0"/>
        </w:rPr>
        <w:t>（一）绩效评价目的、对象和范围。</w:t>
      </w:r>
      <w:bookmarkEnd w:id="10"/>
    </w:p>
    <w:p w14:paraId="66F99F7B">
      <w:pPr>
        <w:spacing w:line="560" w:lineRule="exact"/>
        <w:ind w:firstLine="600" w:firstLineChars="200"/>
        <w:rPr>
          <w:rFonts w:hint="default" w:ascii="Times New Roman" w:hAnsi="Times New Roman" w:cs="Times New Roman"/>
          <w:b w:val="0"/>
          <w:bCs w:val="0"/>
          <w:sz w:val="30"/>
          <w:szCs w:val="30"/>
        </w:rPr>
      </w:pPr>
      <w:r>
        <w:rPr>
          <w:rFonts w:hint="default" w:ascii="Times New Roman" w:hAnsi="Times New Roman" w:cs="Times New Roman"/>
          <w:b w:val="0"/>
          <w:bCs w:val="0"/>
          <w:sz w:val="30"/>
          <w:szCs w:val="30"/>
        </w:rPr>
        <w:t>1.绩效评价目的：</w:t>
      </w:r>
    </w:p>
    <w:p w14:paraId="3D8288AB">
      <w:pPr>
        <w:spacing w:line="560" w:lineRule="exact"/>
        <w:ind w:firstLine="600" w:firstLineChars="200"/>
        <w:jc w:val="left"/>
        <w:rPr>
          <w:rFonts w:hint="default" w:ascii="Times New Roman" w:hAnsi="Times New Roman" w:cs="Times New Roman"/>
          <w:b w:val="0"/>
          <w:bCs w:val="0"/>
          <w:sz w:val="30"/>
          <w:szCs w:val="30"/>
        </w:rPr>
      </w:pPr>
      <w:r>
        <w:rPr>
          <w:rFonts w:hint="default" w:ascii="Times New Roman" w:hAnsi="Times New Roman" w:cs="Times New Roman"/>
          <w:b w:val="0"/>
          <w:bCs w:val="0"/>
          <w:sz w:val="30"/>
          <w:szCs w:val="30"/>
        </w:rPr>
        <w:t>通过绩效评价，客观地评判项目的管理绩效，了解和掌握巴音郭楞蒙古自治州2023年“三线一单”动态更新成果编制工作经费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并加强项目绩效管理，同时为项目后续资金投入、分配和管理提供决策依据。</w:t>
      </w:r>
    </w:p>
    <w:p w14:paraId="27CD594B">
      <w:pPr>
        <w:spacing w:line="560" w:lineRule="exact"/>
        <w:ind w:firstLine="600" w:firstLineChars="200"/>
        <w:jc w:val="left"/>
        <w:rPr>
          <w:rFonts w:hint="default" w:ascii="Times New Roman" w:hAnsi="Times New Roman" w:cs="Times New Roman"/>
          <w:b w:val="0"/>
          <w:bCs w:val="0"/>
          <w:sz w:val="30"/>
          <w:szCs w:val="30"/>
        </w:rPr>
      </w:pPr>
      <w:r>
        <w:rPr>
          <w:rFonts w:hint="default" w:ascii="Times New Roman" w:hAnsi="Times New Roman" w:cs="Times New Roman"/>
          <w:b w:val="0"/>
          <w:bCs w:val="0"/>
          <w:sz w:val="30"/>
          <w:szCs w:val="30"/>
        </w:rPr>
        <w:t>2.绩效评价对象：</w:t>
      </w:r>
    </w:p>
    <w:p w14:paraId="14BE90F6">
      <w:pPr>
        <w:spacing w:line="560" w:lineRule="exact"/>
        <w:ind w:firstLine="600" w:firstLineChars="200"/>
        <w:rPr>
          <w:rFonts w:hint="default" w:ascii="Times New Roman" w:hAnsi="Times New Roman" w:cs="Times New Roman"/>
          <w:b w:val="0"/>
          <w:bCs w:val="0"/>
          <w:sz w:val="30"/>
          <w:szCs w:val="30"/>
        </w:rPr>
      </w:pPr>
      <w:r>
        <w:rPr>
          <w:rFonts w:hint="default" w:ascii="Times New Roman" w:hAnsi="Times New Roman" w:cs="Times New Roman"/>
          <w:b w:val="0"/>
          <w:bCs w:val="0"/>
          <w:sz w:val="30"/>
          <w:szCs w:val="30"/>
        </w:rPr>
        <w:t>巴音郭楞蒙古自治州2023年“三线一单”动态更新。</w:t>
      </w:r>
    </w:p>
    <w:p w14:paraId="38094295">
      <w:pPr>
        <w:spacing w:line="560" w:lineRule="exact"/>
        <w:ind w:firstLine="600" w:firstLineChars="200"/>
        <w:rPr>
          <w:rFonts w:hint="default" w:ascii="Times New Roman" w:hAnsi="Times New Roman" w:cs="Times New Roman"/>
          <w:b w:val="0"/>
          <w:bCs w:val="0"/>
          <w:sz w:val="30"/>
          <w:szCs w:val="30"/>
        </w:rPr>
      </w:pPr>
      <w:r>
        <w:rPr>
          <w:rFonts w:hint="default" w:ascii="Times New Roman" w:hAnsi="Times New Roman" w:cs="Times New Roman"/>
          <w:b w:val="0"/>
          <w:bCs w:val="0"/>
          <w:sz w:val="30"/>
          <w:szCs w:val="30"/>
        </w:rPr>
        <w:t>3.绩效评价范围：</w:t>
      </w:r>
    </w:p>
    <w:p w14:paraId="19D8A0DB">
      <w:pPr>
        <w:spacing w:line="560" w:lineRule="exact"/>
        <w:ind w:firstLine="600" w:firstLineChars="200"/>
        <w:jc w:val="left"/>
        <w:rPr>
          <w:rFonts w:hint="default" w:ascii="Times New Roman" w:hAnsi="Times New Roman" w:cs="Times New Roman"/>
          <w:spacing w:val="0"/>
          <w:sz w:val="30"/>
          <w:szCs w:val="30"/>
        </w:rPr>
      </w:pPr>
      <w:r>
        <w:rPr>
          <w:rFonts w:hint="default" w:ascii="Times New Roman" w:hAnsi="Times New Roman" w:cs="Times New Roman"/>
          <w:b w:val="0"/>
          <w:bCs w:val="0"/>
          <w:spacing w:val="0"/>
          <w:sz w:val="30"/>
          <w:szCs w:val="30"/>
        </w:rPr>
        <w:t>本次评价从项目决策（包括绩效目标、决策过程）、项目管理（包括项目资金、项目实施）、项目产出（包括项目产出数量、产出质量、产出时效和产出成本）项目效益四个维度进行巴音郭楞蒙古自治州2023年“三线一单”动态更新评价，评价核心为资金的支出完成情况和效果。</w:t>
      </w:r>
    </w:p>
    <w:p w14:paraId="11968C3B">
      <w:pPr>
        <w:pStyle w:val="4"/>
        <w:spacing w:before="0" w:after="0" w:line="560" w:lineRule="exact"/>
        <w:ind w:firstLine="600" w:firstLineChars="200"/>
        <w:rPr>
          <w:rFonts w:ascii="仿宋_GB2312" w:eastAsia="仿宋_GB2312"/>
          <w:b w:val="0"/>
          <w:bCs w:val="0"/>
          <w:spacing w:val="0"/>
          <w:sz w:val="30"/>
          <w:szCs w:val="30"/>
        </w:rPr>
      </w:pPr>
      <w:bookmarkStart w:id="11" w:name="_Toc68703832"/>
      <w:r>
        <w:rPr>
          <w:rFonts w:hint="eastAsia" w:ascii="仿宋_GB2312" w:eastAsia="仿宋_GB2312"/>
          <w:b w:val="0"/>
          <w:bCs w:val="0"/>
          <w:spacing w:val="0"/>
          <w:sz w:val="30"/>
          <w:szCs w:val="30"/>
        </w:rPr>
        <w:t>（二）绩效评价原则、评价指标体系（附表说明）、评价方法、评价标准等。</w:t>
      </w:r>
      <w:bookmarkEnd w:id="11"/>
    </w:p>
    <w:p w14:paraId="5E672D6C">
      <w:pPr>
        <w:keepNext w:val="0"/>
        <w:keepLines w:val="0"/>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spacing w:val="0"/>
          <w:sz w:val="30"/>
          <w:szCs w:val="30"/>
        </w:rPr>
      </w:pPr>
      <w:r>
        <w:rPr>
          <w:rFonts w:hint="default" w:ascii="Times New Roman" w:hAnsi="Times New Roman" w:cs="Times New Roman"/>
          <w:spacing w:val="0"/>
          <w:sz w:val="30"/>
          <w:szCs w:val="30"/>
        </w:rPr>
        <w:t>1.绩效评价原则</w:t>
      </w:r>
    </w:p>
    <w:p w14:paraId="4047DF4C">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bCs/>
          <w:color w:val="FF0000"/>
          <w:spacing w:val="0"/>
          <w:sz w:val="30"/>
          <w:szCs w:val="30"/>
        </w:rPr>
      </w:pPr>
      <w:r>
        <w:rPr>
          <w:rFonts w:hint="default" w:ascii="Times New Roman" w:hAnsi="Times New Roman" w:cs="Times New Roman"/>
          <w:color w:val="000000"/>
          <w:spacing w:val="0"/>
          <w:sz w:val="30"/>
          <w:szCs w:val="30"/>
        </w:rPr>
        <w:t>本次项目绩效评价遵循以下基本原则：</w:t>
      </w:r>
    </w:p>
    <w:p w14:paraId="2B566F4F">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bCs/>
          <w:spacing w:val="0"/>
          <w:sz w:val="30"/>
          <w:szCs w:val="30"/>
        </w:rPr>
      </w:pPr>
      <w:r>
        <w:rPr>
          <w:rFonts w:hint="default" w:ascii="Times New Roman" w:hAnsi="Times New Roman" w:cs="Times New Roman"/>
          <w:bCs/>
          <w:spacing w:val="0"/>
          <w:sz w:val="30"/>
          <w:szCs w:val="30"/>
        </w:rPr>
        <w:t>（一）科学公正。本次项目支出绩效评价运用科学合理的方法，按照规范的程序，对项目绩效进行客观、公正的反映。</w:t>
      </w:r>
    </w:p>
    <w:p w14:paraId="6F137FB7">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bCs/>
          <w:spacing w:val="0"/>
          <w:sz w:val="30"/>
          <w:szCs w:val="30"/>
        </w:rPr>
      </w:pPr>
      <w:r>
        <w:rPr>
          <w:rFonts w:hint="default" w:ascii="Times New Roman" w:hAnsi="Times New Roman" w:cs="Times New Roman"/>
          <w:bCs/>
          <w:spacing w:val="0"/>
          <w:sz w:val="30"/>
          <w:szCs w:val="30"/>
        </w:rPr>
        <w:t>（二）统筹兼顾。本次项目支出绩效评价由本单位自主实施，即“谁支出、谁自评”。</w:t>
      </w:r>
    </w:p>
    <w:p w14:paraId="1272DB81">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bCs/>
          <w:spacing w:val="0"/>
          <w:sz w:val="30"/>
          <w:szCs w:val="30"/>
        </w:rPr>
      </w:pPr>
      <w:r>
        <w:rPr>
          <w:rFonts w:hint="default" w:ascii="Times New Roman" w:hAnsi="Times New Roman" w:cs="Times New Roman"/>
          <w:bCs/>
          <w:spacing w:val="0"/>
          <w:sz w:val="30"/>
          <w:szCs w:val="30"/>
        </w:rPr>
        <w:t>（三）激励约束。本次项目支出绩效评价结果与预算安排、政策调整、改进管理实质性挂钩，体现奖优罚劣和激励相容导向，有效要安排、低效要压减、无效要问责。</w:t>
      </w:r>
    </w:p>
    <w:p w14:paraId="012F6335">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spacing w:val="0"/>
          <w:sz w:val="30"/>
          <w:szCs w:val="30"/>
        </w:rPr>
      </w:pPr>
      <w:r>
        <w:rPr>
          <w:rFonts w:hint="default" w:ascii="Times New Roman" w:hAnsi="Times New Roman" w:cs="Times New Roman"/>
          <w:bCs/>
          <w:spacing w:val="0"/>
          <w:sz w:val="30"/>
          <w:szCs w:val="30"/>
        </w:rPr>
        <w:t>（四）公开透明。本次项目支出绩效评价结果已依法依规公开在政府公开网站上，并自觉接受社会监督。</w:t>
      </w:r>
    </w:p>
    <w:p w14:paraId="4DDB8378">
      <w:pPr>
        <w:keepNext w:val="0"/>
        <w:keepLines w:val="0"/>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spacing w:val="0"/>
          <w:sz w:val="30"/>
          <w:szCs w:val="30"/>
        </w:rPr>
      </w:pPr>
      <w:r>
        <w:rPr>
          <w:rFonts w:hint="default" w:ascii="Times New Roman" w:hAnsi="Times New Roman" w:cs="Times New Roman"/>
          <w:spacing w:val="0"/>
          <w:sz w:val="30"/>
          <w:szCs w:val="30"/>
        </w:rPr>
        <w:t>2</w:t>
      </w:r>
      <w:r>
        <w:rPr>
          <w:rFonts w:hint="default" w:ascii="Times New Roman" w:hAnsi="Times New Roman" w:cs="Times New Roman"/>
          <w:spacing w:val="0"/>
          <w:sz w:val="30"/>
          <w:szCs w:val="30"/>
          <w:lang w:val="en-US" w:eastAsia="zh-CN"/>
        </w:rPr>
        <w:t>.</w:t>
      </w:r>
      <w:r>
        <w:rPr>
          <w:rFonts w:hint="default" w:ascii="Times New Roman" w:hAnsi="Times New Roman" w:cs="Times New Roman"/>
          <w:spacing w:val="0"/>
          <w:sz w:val="30"/>
          <w:szCs w:val="30"/>
        </w:rPr>
        <w:t>评价指标体系（附表说明）</w:t>
      </w:r>
    </w:p>
    <w:p w14:paraId="46DEE109">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spacing w:val="0"/>
          <w:sz w:val="30"/>
          <w:szCs w:val="30"/>
        </w:rPr>
      </w:pPr>
      <w:r>
        <w:rPr>
          <w:rFonts w:hint="default" w:ascii="Times New Roman" w:hAnsi="Times New Roman" w:cs="Times New Roman"/>
          <w:color w:val="000000"/>
          <w:spacing w:val="0"/>
          <w:sz w:val="30"/>
          <w:szCs w:val="30"/>
        </w:rPr>
        <w:t>绩效评价框架是开展绩效评价的核心。绩效评价框架包括评价准则、关键评价问题、评价指标、数据来源、数据收集方法等。指标体系建立过程如下：</w:t>
      </w:r>
    </w:p>
    <w:p w14:paraId="0CA01CE2">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spacing w:val="0"/>
          <w:sz w:val="30"/>
          <w:szCs w:val="30"/>
        </w:rPr>
      </w:pPr>
      <w:r>
        <w:rPr>
          <w:rFonts w:hint="default" w:ascii="Times New Roman" w:hAnsi="Times New Roman" w:cs="Times New Roman"/>
          <w:color w:val="000000"/>
          <w:spacing w:val="0"/>
          <w:sz w:val="30"/>
          <w:szCs w:val="30"/>
        </w:rPr>
        <w:t>（1）确定评价指标</w:t>
      </w:r>
    </w:p>
    <w:p w14:paraId="659462AC">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spacing w:val="0"/>
          <w:sz w:val="30"/>
          <w:szCs w:val="30"/>
        </w:rPr>
      </w:pPr>
      <w:r>
        <w:rPr>
          <w:rFonts w:hint="default" w:ascii="Times New Roman" w:hAnsi="Times New Roman" w:cs="Times New Roman"/>
          <w:color w:val="000000"/>
          <w:spacing w:val="0"/>
          <w:sz w:val="30"/>
          <w:szCs w:val="30"/>
        </w:rPr>
        <w:t>采用层次分析法，建立评价指标体系。绩效评价将指标分为项目决策指标、项目过程指标、项目产出指标、项目效益指标四个维度，最终形成一个由多个相互联系的指标组成的多层次指标体系。</w:t>
      </w:r>
    </w:p>
    <w:p w14:paraId="37F88C4A">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spacing w:val="0"/>
          <w:sz w:val="30"/>
          <w:szCs w:val="30"/>
        </w:rPr>
      </w:pPr>
      <w:r>
        <w:rPr>
          <w:rFonts w:hint="default" w:ascii="Times New Roman" w:hAnsi="Times New Roman" w:cs="Times New Roman"/>
          <w:color w:val="000000"/>
          <w:spacing w:val="0"/>
          <w:sz w:val="30"/>
          <w:szCs w:val="30"/>
        </w:rPr>
        <w:t>（2）确定权重</w:t>
      </w:r>
    </w:p>
    <w:p w14:paraId="3F5D2F0E">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spacing w:val="0"/>
          <w:sz w:val="30"/>
          <w:szCs w:val="30"/>
        </w:rPr>
      </w:pPr>
      <w:r>
        <w:rPr>
          <w:rFonts w:hint="default" w:ascii="Times New Roman" w:hAnsi="Times New Roman" w:cs="Times New Roman"/>
          <w:color w:val="000000"/>
          <w:spacing w:val="0"/>
          <w:sz w:val="30"/>
          <w:szCs w:val="30"/>
        </w:rPr>
        <w:t>确定各个指标相对于项目总体绩效的权重分值。在绩效评价指标体系中，项目</w:t>
      </w:r>
      <w:r>
        <w:rPr>
          <w:rFonts w:hint="eastAsia" w:cs="Times New Roman"/>
          <w:color w:val="000000"/>
          <w:spacing w:val="0"/>
          <w:sz w:val="30"/>
          <w:szCs w:val="30"/>
          <w:lang w:val="en-US" w:eastAsia="zh-CN"/>
        </w:rPr>
        <w:t>决策</w:t>
      </w:r>
      <w:r>
        <w:rPr>
          <w:rFonts w:hint="default" w:ascii="Times New Roman" w:hAnsi="Times New Roman" w:cs="Times New Roman"/>
          <w:color w:val="000000"/>
          <w:spacing w:val="0"/>
          <w:sz w:val="30"/>
          <w:szCs w:val="30"/>
          <w:lang w:val="en-US" w:eastAsia="zh-CN"/>
        </w:rPr>
        <w:t>权重为</w:t>
      </w:r>
      <w:r>
        <w:rPr>
          <w:rFonts w:hint="eastAsia" w:cs="Times New Roman"/>
          <w:color w:val="000000"/>
          <w:spacing w:val="0"/>
          <w:sz w:val="30"/>
          <w:szCs w:val="30"/>
          <w:lang w:val="en-US" w:eastAsia="zh-CN"/>
        </w:rPr>
        <w:t>2</w:t>
      </w:r>
      <w:r>
        <w:rPr>
          <w:rFonts w:hint="default" w:ascii="Times New Roman" w:hAnsi="Times New Roman" w:cs="Times New Roman"/>
          <w:color w:val="000000"/>
          <w:spacing w:val="0"/>
          <w:sz w:val="30"/>
          <w:szCs w:val="30"/>
          <w:lang w:val="en-US" w:eastAsia="zh-CN"/>
        </w:rPr>
        <w:t>0分，</w:t>
      </w:r>
      <w:r>
        <w:rPr>
          <w:rFonts w:hint="eastAsia" w:cs="Times New Roman"/>
          <w:color w:val="000000"/>
          <w:spacing w:val="0"/>
          <w:sz w:val="30"/>
          <w:szCs w:val="30"/>
          <w:lang w:eastAsia="zh-CN"/>
        </w:rPr>
        <w:t>项目过程</w:t>
      </w:r>
      <w:r>
        <w:rPr>
          <w:rFonts w:hint="default" w:ascii="Times New Roman" w:hAnsi="Times New Roman" w:cs="Times New Roman"/>
          <w:color w:val="000000"/>
          <w:spacing w:val="0"/>
          <w:sz w:val="30"/>
          <w:szCs w:val="30"/>
        </w:rPr>
        <w:t>权重为</w:t>
      </w:r>
      <w:r>
        <w:rPr>
          <w:rFonts w:hint="eastAsia" w:cs="Times New Roman"/>
          <w:color w:val="000000"/>
          <w:spacing w:val="0"/>
          <w:sz w:val="30"/>
          <w:szCs w:val="30"/>
          <w:lang w:val="en-US" w:eastAsia="zh-CN"/>
        </w:rPr>
        <w:t>2</w:t>
      </w:r>
      <w:r>
        <w:rPr>
          <w:rFonts w:hint="default" w:ascii="Times New Roman" w:hAnsi="Times New Roman" w:cs="Times New Roman"/>
          <w:color w:val="000000"/>
          <w:spacing w:val="0"/>
          <w:sz w:val="30"/>
          <w:szCs w:val="30"/>
        </w:rPr>
        <w:t>0分，</w:t>
      </w:r>
      <w:r>
        <w:rPr>
          <w:rFonts w:hint="eastAsia" w:cs="Times New Roman"/>
          <w:color w:val="000000"/>
          <w:spacing w:val="0"/>
          <w:sz w:val="30"/>
          <w:szCs w:val="30"/>
          <w:lang w:eastAsia="zh-CN"/>
        </w:rPr>
        <w:t>项目产出</w:t>
      </w:r>
      <w:r>
        <w:rPr>
          <w:rFonts w:hint="default" w:ascii="Times New Roman" w:hAnsi="Times New Roman" w:cs="Times New Roman"/>
          <w:color w:val="000000"/>
          <w:spacing w:val="0"/>
          <w:sz w:val="30"/>
          <w:szCs w:val="30"/>
        </w:rPr>
        <w:t>权重为</w:t>
      </w:r>
      <w:r>
        <w:rPr>
          <w:rFonts w:hint="eastAsia" w:cs="Times New Roman"/>
          <w:color w:val="000000"/>
          <w:spacing w:val="0"/>
          <w:sz w:val="30"/>
          <w:szCs w:val="30"/>
          <w:lang w:val="en-US" w:eastAsia="zh-CN"/>
        </w:rPr>
        <w:t>4</w:t>
      </w:r>
      <w:r>
        <w:rPr>
          <w:rFonts w:hint="default" w:ascii="Times New Roman" w:hAnsi="Times New Roman" w:cs="Times New Roman"/>
          <w:color w:val="000000"/>
          <w:spacing w:val="0"/>
          <w:sz w:val="30"/>
          <w:szCs w:val="30"/>
        </w:rPr>
        <w:t>0分，</w:t>
      </w:r>
      <w:r>
        <w:rPr>
          <w:rFonts w:hint="eastAsia" w:cs="Times New Roman"/>
          <w:color w:val="000000"/>
          <w:spacing w:val="0"/>
          <w:sz w:val="30"/>
          <w:szCs w:val="30"/>
          <w:lang w:eastAsia="zh-CN"/>
        </w:rPr>
        <w:t>项目</w:t>
      </w:r>
      <w:r>
        <w:rPr>
          <w:rFonts w:hint="default" w:ascii="Times New Roman" w:hAnsi="Times New Roman" w:cs="Times New Roman"/>
          <w:color w:val="000000"/>
          <w:spacing w:val="0"/>
          <w:sz w:val="30"/>
          <w:szCs w:val="30"/>
        </w:rPr>
        <w:t>效益指标权重为20分。</w:t>
      </w:r>
    </w:p>
    <w:p w14:paraId="1E9BB5C6">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spacing w:val="0"/>
          <w:sz w:val="30"/>
          <w:szCs w:val="30"/>
        </w:rPr>
      </w:pPr>
      <w:r>
        <w:rPr>
          <w:rFonts w:hint="default" w:ascii="Times New Roman" w:hAnsi="Times New Roman" w:cs="Times New Roman"/>
          <w:color w:val="000000"/>
          <w:spacing w:val="0"/>
          <w:sz w:val="30"/>
          <w:szCs w:val="30"/>
        </w:rPr>
        <w:t>（3）确定指标标准值</w:t>
      </w:r>
    </w:p>
    <w:p w14:paraId="0C2AD8DA">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spacing w:val="0"/>
          <w:sz w:val="30"/>
          <w:szCs w:val="30"/>
        </w:rPr>
      </w:pPr>
      <w:r>
        <w:rPr>
          <w:rFonts w:hint="default" w:ascii="Times New Roman" w:hAnsi="Times New Roman" w:cs="Times New Roman"/>
          <w:color w:val="000000"/>
          <w:spacing w:val="0"/>
          <w:sz w:val="30"/>
          <w:szCs w:val="30"/>
        </w:rPr>
        <w:t>指标标准值是绩效评价指标的尺度，既要反映同类项目的先进水平，又要符合项目的实际绩效水平。具体采用计划标准等确定此次绩效评价指标标准值。</w:t>
      </w:r>
    </w:p>
    <w:p w14:paraId="7191307F">
      <w:pPr>
        <w:pStyle w:val="2"/>
        <w:keepNext w:val="0"/>
        <w:keepLines w:val="0"/>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default" w:ascii="Times New Roman" w:hAnsi="Times New Roman" w:eastAsia="仿宋_GB2312" w:cs="Times New Roman"/>
          <w:b w:val="0"/>
          <w:bCs w:val="0"/>
          <w:color w:val="000000"/>
          <w:spacing w:val="0"/>
          <w:kern w:val="2"/>
          <w:sz w:val="30"/>
          <w:szCs w:val="30"/>
        </w:rPr>
      </w:pPr>
      <w:r>
        <w:rPr>
          <w:rFonts w:hint="default" w:ascii="Times New Roman" w:hAnsi="Times New Roman" w:eastAsia="仿宋_GB2312" w:cs="Times New Roman"/>
          <w:b w:val="0"/>
          <w:bCs w:val="0"/>
          <w:color w:val="000000"/>
          <w:spacing w:val="0"/>
          <w:kern w:val="2"/>
          <w:sz w:val="30"/>
          <w:szCs w:val="30"/>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124630E9">
      <w:pPr>
        <w:keepNext w:val="0"/>
        <w:keepLines w:val="0"/>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spacing w:val="0"/>
          <w:sz w:val="30"/>
          <w:szCs w:val="30"/>
        </w:rPr>
      </w:pPr>
      <w:r>
        <w:rPr>
          <w:rFonts w:hint="default" w:ascii="Times New Roman" w:hAnsi="Times New Roman" w:cs="Times New Roman"/>
          <w:spacing w:val="0"/>
          <w:sz w:val="30"/>
          <w:szCs w:val="30"/>
        </w:rPr>
        <w:t>3、评价方法</w:t>
      </w:r>
    </w:p>
    <w:p w14:paraId="09EE763B">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spacing w:val="0"/>
          <w:sz w:val="30"/>
          <w:szCs w:val="30"/>
        </w:rPr>
      </w:pPr>
      <w:r>
        <w:rPr>
          <w:rFonts w:hint="default" w:ascii="Times New Roman" w:hAnsi="Times New Roman" w:cs="Times New Roman"/>
          <w:color w:val="000000"/>
          <w:spacing w:val="0"/>
          <w:sz w:val="30"/>
          <w:szCs w:val="30"/>
        </w:rPr>
        <w:t>绩效评价从项目决策、项目过程、项目产出、项目效益四个维度进行评价。评价对象为项目目标实施情况，评价核心为资金的支出完成情况和项目的产出效益。</w:t>
      </w:r>
    </w:p>
    <w:p w14:paraId="5E3F950C">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spacing w:val="0"/>
          <w:sz w:val="30"/>
          <w:szCs w:val="30"/>
          <w:lang w:eastAsia="zh-CN"/>
        </w:rPr>
      </w:pPr>
      <w:r>
        <w:rPr>
          <w:rFonts w:hint="default" w:ascii="Times New Roman" w:hAnsi="Times New Roman" w:cs="Times New Roman"/>
          <w:color w:val="000000"/>
          <w:spacing w:val="0"/>
          <w:sz w:val="30"/>
          <w:szCs w:val="30"/>
        </w:rPr>
        <w:t>本次评价指标中，既有定性指标又有定量指标，各类指标因考核内容不同和客观标准不同存在较大差异，因此核定具体指标时采用了不同方法，具体评价方法如下：</w:t>
      </w:r>
      <w:r>
        <w:rPr>
          <w:rFonts w:hint="default" w:ascii="Times New Roman" w:hAnsi="Times New Roman" w:cs="Times New Roman"/>
          <w:spacing w:val="0"/>
          <w:sz w:val="30"/>
          <w:szCs w:val="30"/>
        </w:rPr>
        <w:t>“三线一单”动态更新</w:t>
      </w:r>
      <w:r>
        <w:rPr>
          <w:rFonts w:hint="default" w:ascii="Times New Roman" w:hAnsi="Times New Roman" w:cs="Times New Roman"/>
          <w:spacing w:val="0"/>
          <w:sz w:val="30"/>
          <w:szCs w:val="30"/>
          <w:lang w:eastAsia="zh-CN"/>
        </w:rPr>
        <w:t>属于专业技术报告，专业性较强，需要相关行业专家进行评审把关，需</w:t>
      </w:r>
      <w:r>
        <w:rPr>
          <w:rFonts w:hint="default" w:ascii="Times New Roman" w:hAnsi="Times New Roman" w:cs="Times New Roman"/>
          <w:spacing w:val="0"/>
          <w:sz w:val="30"/>
          <w:szCs w:val="30"/>
        </w:rPr>
        <w:t>通过</w:t>
      </w:r>
      <w:r>
        <w:rPr>
          <w:rFonts w:hint="default" w:ascii="Times New Roman" w:hAnsi="Times New Roman" w:cs="Times New Roman"/>
          <w:spacing w:val="0"/>
          <w:sz w:val="30"/>
          <w:szCs w:val="30"/>
          <w:lang w:val="en-US" w:eastAsia="zh-CN"/>
        </w:rPr>
        <w:t>组织专家评审会</w:t>
      </w:r>
      <w:r>
        <w:rPr>
          <w:rFonts w:hint="default" w:ascii="Times New Roman" w:hAnsi="Times New Roman" w:cs="Times New Roman"/>
          <w:spacing w:val="0"/>
          <w:sz w:val="30"/>
          <w:szCs w:val="30"/>
        </w:rPr>
        <w:t>等方式进行评价，</w:t>
      </w:r>
      <w:r>
        <w:rPr>
          <w:rFonts w:hint="default" w:ascii="Times New Roman" w:hAnsi="Times New Roman" w:cs="Times New Roman"/>
          <w:spacing w:val="0"/>
          <w:sz w:val="30"/>
          <w:szCs w:val="30"/>
          <w:lang w:eastAsia="zh-CN"/>
        </w:rPr>
        <w:t>故</w:t>
      </w:r>
      <w:r>
        <w:rPr>
          <w:rFonts w:hint="default" w:ascii="Times New Roman" w:hAnsi="Times New Roman" w:cs="Times New Roman"/>
          <w:spacing w:val="0"/>
          <w:sz w:val="30"/>
          <w:szCs w:val="30"/>
        </w:rPr>
        <w:t>巴音郭楞蒙古自治州2023年“三线一单”动态更新项目采用公众评判法。</w:t>
      </w:r>
    </w:p>
    <w:p w14:paraId="4997F19A">
      <w:pPr>
        <w:keepNext w:val="0"/>
        <w:keepLines w:val="0"/>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spacing w:val="0"/>
          <w:sz w:val="30"/>
          <w:szCs w:val="30"/>
        </w:rPr>
      </w:pPr>
      <w:r>
        <w:rPr>
          <w:rFonts w:hint="default" w:ascii="Times New Roman" w:hAnsi="Times New Roman" w:cs="Times New Roman"/>
          <w:spacing w:val="0"/>
          <w:sz w:val="30"/>
          <w:szCs w:val="30"/>
        </w:rPr>
        <w:t>4.评价标准</w:t>
      </w:r>
    </w:p>
    <w:p w14:paraId="525E1807">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Cs/>
          <w:spacing w:val="0"/>
          <w:sz w:val="30"/>
          <w:szCs w:val="30"/>
          <w:lang w:eastAsia="zh-CN"/>
        </w:rPr>
      </w:pPr>
      <w:r>
        <w:rPr>
          <w:rFonts w:hint="default" w:ascii="Times New Roman" w:hAnsi="Times New Roman" w:cs="Times New Roman"/>
          <w:spacing w:val="0"/>
          <w:sz w:val="30"/>
          <w:szCs w:val="30"/>
        </w:rPr>
        <w:t>绩效评价标准通常包括计划标准、行业标准、历史标准等，用于对绩效指标完成情况进行比较、分析、评价。本次评价</w:t>
      </w:r>
      <w:r>
        <w:rPr>
          <w:rFonts w:hint="default" w:ascii="Times New Roman" w:hAnsi="Times New Roman" w:cs="Times New Roman"/>
          <w:bCs/>
          <w:spacing w:val="0"/>
          <w:sz w:val="30"/>
          <w:szCs w:val="30"/>
        </w:rPr>
        <w:t>主要采用了计划标准、行业标准。</w:t>
      </w:r>
      <w:r>
        <w:rPr>
          <w:rFonts w:hint="default" w:ascii="Times New Roman" w:hAnsi="Times New Roman" w:cs="Times New Roman"/>
          <w:spacing w:val="0"/>
          <w:sz w:val="30"/>
          <w:szCs w:val="30"/>
        </w:rPr>
        <w:t>“三线一单”动态更新</w:t>
      </w:r>
      <w:r>
        <w:rPr>
          <w:rFonts w:hint="default" w:ascii="Times New Roman" w:hAnsi="Times New Roman" w:cs="Times New Roman"/>
          <w:spacing w:val="0"/>
          <w:sz w:val="30"/>
          <w:szCs w:val="30"/>
          <w:lang w:eastAsia="zh-CN"/>
        </w:rPr>
        <w:t>是依据上级部门统一安排部署，委托第三方编制单位进行编制，故将其编制完成情况作为计划标准。同时</w:t>
      </w:r>
      <w:r>
        <w:rPr>
          <w:rFonts w:hint="default" w:ascii="Times New Roman" w:hAnsi="Times New Roman" w:cs="Times New Roman"/>
          <w:spacing w:val="0"/>
          <w:sz w:val="30"/>
          <w:szCs w:val="30"/>
        </w:rPr>
        <w:t>“三线一单”动态更新</w:t>
      </w:r>
      <w:r>
        <w:rPr>
          <w:rFonts w:hint="default" w:ascii="Times New Roman" w:hAnsi="Times New Roman" w:cs="Times New Roman"/>
          <w:spacing w:val="0"/>
          <w:sz w:val="30"/>
          <w:szCs w:val="30"/>
          <w:lang w:eastAsia="zh-CN"/>
        </w:rPr>
        <w:t>又有</w:t>
      </w:r>
      <w:r>
        <w:rPr>
          <w:rFonts w:hint="default" w:ascii="Times New Roman" w:hAnsi="Times New Roman" w:cs="Times New Roman"/>
          <w:bCs/>
          <w:spacing w:val="0"/>
          <w:sz w:val="30"/>
          <w:szCs w:val="30"/>
        </w:rPr>
        <w:t>生态环境部</w:t>
      </w:r>
      <w:r>
        <w:rPr>
          <w:rFonts w:hint="default" w:ascii="Times New Roman" w:hAnsi="Times New Roman" w:cs="Times New Roman"/>
          <w:bCs/>
          <w:spacing w:val="0"/>
          <w:sz w:val="30"/>
          <w:szCs w:val="30"/>
          <w:lang w:eastAsia="zh-CN"/>
        </w:rPr>
        <w:t>颁布的</w:t>
      </w:r>
      <w:r>
        <w:rPr>
          <w:rFonts w:hint="default" w:ascii="Times New Roman" w:hAnsi="Times New Roman" w:cs="Times New Roman"/>
          <w:bCs/>
          <w:spacing w:val="0"/>
          <w:sz w:val="30"/>
          <w:szCs w:val="30"/>
        </w:rPr>
        <w:t>《关于实施“三线一单”生态环境分区管控的指导意见（试行）》等</w:t>
      </w:r>
      <w:r>
        <w:rPr>
          <w:rFonts w:hint="default" w:ascii="Times New Roman" w:hAnsi="Times New Roman" w:cs="Times New Roman"/>
          <w:bCs/>
          <w:spacing w:val="0"/>
          <w:sz w:val="30"/>
          <w:szCs w:val="30"/>
          <w:lang w:eastAsia="zh-CN"/>
        </w:rPr>
        <w:t>行业性专业的编制依据，故将是否按照指导意见编制作为行业标准。</w:t>
      </w:r>
    </w:p>
    <w:p w14:paraId="05A309A7">
      <w:pPr>
        <w:pStyle w:val="4"/>
        <w:spacing w:before="0" w:after="0" w:line="560" w:lineRule="exact"/>
        <w:ind w:firstLine="600" w:firstLineChars="200"/>
        <w:rPr>
          <w:rFonts w:ascii="仿宋_GB2312" w:eastAsia="仿宋_GB2312"/>
          <w:b w:val="0"/>
          <w:bCs w:val="0"/>
          <w:spacing w:val="0"/>
          <w:sz w:val="30"/>
          <w:szCs w:val="30"/>
        </w:rPr>
      </w:pPr>
      <w:bookmarkStart w:id="12" w:name="_Toc68703833"/>
      <w:r>
        <w:rPr>
          <w:rFonts w:hint="eastAsia" w:ascii="仿宋_GB2312" w:eastAsia="仿宋_GB2312"/>
          <w:b w:val="0"/>
          <w:bCs w:val="0"/>
          <w:spacing w:val="0"/>
          <w:sz w:val="30"/>
          <w:szCs w:val="30"/>
        </w:rPr>
        <w:t>（三）绩效评价工作过程。</w:t>
      </w:r>
      <w:bookmarkEnd w:id="12"/>
    </w:p>
    <w:p w14:paraId="5F6D207A">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spacing w:val="0"/>
          <w:sz w:val="30"/>
          <w:szCs w:val="30"/>
        </w:rPr>
      </w:pPr>
      <w:bookmarkStart w:id="13" w:name="_Toc68703834"/>
      <w:r>
        <w:rPr>
          <w:rFonts w:hint="default" w:ascii="Times New Roman" w:hAnsi="Times New Roman" w:cs="Times New Roman"/>
          <w:bCs/>
          <w:spacing w:val="0"/>
          <w:sz w:val="30"/>
          <w:szCs w:val="30"/>
        </w:rPr>
        <w:t>1.前期准备。首先成立评价工作组，巴州生态环境局副局长李建明为组长，黄春萍科长为副组长，马子娟为组员，开展前期调研；其次明确项目绩效目标：2023年12月31日前</w:t>
      </w:r>
      <w:r>
        <w:rPr>
          <w:rFonts w:hint="default" w:ascii="Times New Roman" w:hAnsi="Times New Roman" w:cs="Times New Roman"/>
          <w:spacing w:val="0"/>
          <w:sz w:val="30"/>
          <w:szCs w:val="30"/>
        </w:rPr>
        <w:t>通过自治区“三线一单”工作组审查</w:t>
      </w:r>
      <w:r>
        <w:rPr>
          <w:rFonts w:hint="default" w:ascii="Times New Roman" w:hAnsi="Times New Roman" w:cs="Times New Roman"/>
          <w:bCs/>
          <w:spacing w:val="0"/>
          <w:sz w:val="30"/>
          <w:szCs w:val="30"/>
        </w:rPr>
        <w:t>，提交</w:t>
      </w:r>
      <w:r>
        <w:rPr>
          <w:rFonts w:hint="default" w:ascii="Times New Roman" w:hAnsi="Times New Roman" w:cs="Times New Roman"/>
          <w:spacing w:val="0"/>
          <w:sz w:val="30"/>
          <w:szCs w:val="30"/>
        </w:rPr>
        <w:t>巴音郭楞蒙古自治州2023年“三线一单”动态更新</w:t>
      </w:r>
      <w:r>
        <w:rPr>
          <w:rFonts w:hint="default" w:ascii="Times New Roman" w:hAnsi="Times New Roman" w:cs="Times New Roman"/>
          <w:bCs/>
          <w:spacing w:val="0"/>
          <w:sz w:val="30"/>
          <w:szCs w:val="30"/>
        </w:rPr>
        <w:t>成果。</w:t>
      </w:r>
      <w:r>
        <w:rPr>
          <w:rFonts w:hint="default" w:ascii="Times New Roman" w:hAnsi="Times New Roman" w:cs="Times New Roman"/>
          <w:spacing w:val="0"/>
          <w:sz w:val="30"/>
          <w:szCs w:val="30"/>
          <w:lang w:val="zh-CN"/>
        </w:rPr>
        <w:t>根据项目的内容和特征制定了评价指标体系及评价标准以及评价实施方案，修正并确定所需资料清单，最终确定</w:t>
      </w:r>
      <w:r>
        <w:rPr>
          <w:rFonts w:hint="default" w:ascii="Times New Roman" w:hAnsi="Times New Roman" w:cs="Times New Roman"/>
          <w:spacing w:val="0"/>
          <w:sz w:val="30"/>
          <w:szCs w:val="30"/>
        </w:rPr>
        <w:t>绩效评价工作方案并进行论证。</w:t>
      </w:r>
    </w:p>
    <w:p w14:paraId="49337EB8">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bCs/>
          <w:spacing w:val="0"/>
          <w:sz w:val="30"/>
          <w:szCs w:val="30"/>
        </w:rPr>
      </w:pPr>
      <w:r>
        <w:rPr>
          <w:rFonts w:hint="default" w:ascii="Times New Roman" w:hAnsi="Times New Roman" w:cs="Times New Roman"/>
          <w:bCs/>
          <w:spacing w:val="0"/>
          <w:sz w:val="30"/>
          <w:szCs w:val="30"/>
        </w:rPr>
        <w:t>2.组织实施。制定绩效评价工作方案，具体包括项目概况、评价思路、方法手段、组织实施、进度安排等。收集项目立项依据、相关会议纪要、实施方案、财政资金分配方案、支付管理情况等相关评价资料并进行梳理。</w:t>
      </w:r>
    </w:p>
    <w:p w14:paraId="38950FB4">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sz w:val="32"/>
          <w:szCs w:val="32"/>
        </w:rPr>
      </w:pPr>
      <w:r>
        <w:rPr>
          <w:rFonts w:hint="default" w:ascii="Times New Roman" w:hAnsi="Times New Roman" w:cs="Times New Roman"/>
          <w:bCs/>
          <w:spacing w:val="0"/>
          <w:sz w:val="30"/>
          <w:szCs w:val="30"/>
        </w:rPr>
        <w:t>3.分析评价。根据收集梳理的资料围绕项目立项、资金落实、业务管理、财务管理、项目产出、项目效益等内容，对照已确定的绩效评价指标进行详细全面的分析评价，逐项打分并形成绩效评价最终结果。</w:t>
      </w:r>
    </w:p>
    <w:p w14:paraId="5E537A7A">
      <w:pPr>
        <w:pStyle w:val="3"/>
        <w:spacing w:before="0" w:after="0" w:line="560" w:lineRule="exact"/>
        <w:ind w:firstLine="643" w:firstLineChars="200"/>
        <w:rPr>
          <w:rFonts w:ascii="宋体" w:hAnsi="宋体" w:eastAsia="宋体"/>
          <w:sz w:val="32"/>
          <w:szCs w:val="32"/>
        </w:rPr>
      </w:pPr>
      <w:r>
        <w:rPr>
          <w:rFonts w:hint="eastAsia" w:ascii="宋体" w:hAnsi="宋体" w:eastAsia="宋体"/>
          <w:sz w:val="32"/>
          <w:szCs w:val="32"/>
        </w:rPr>
        <w:t>三、综合评价情况及评价结论</w:t>
      </w:r>
      <w:bookmarkEnd w:id="13"/>
    </w:p>
    <w:p w14:paraId="79D337ED">
      <w:pPr>
        <w:pStyle w:val="4"/>
        <w:spacing w:before="0" w:after="0" w:line="560" w:lineRule="exact"/>
        <w:ind w:firstLine="640" w:firstLineChars="200"/>
        <w:rPr>
          <w:rFonts w:ascii="仿宋_GB2312" w:eastAsia="仿宋_GB2312"/>
          <w:b w:val="0"/>
          <w:bCs w:val="0"/>
        </w:rPr>
      </w:pPr>
      <w:bookmarkStart w:id="14" w:name="_Toc68703835"/>
      <w:r>
        <w:rPr>
          <w:rFonts w:hint="eastAsia" w:ascii="仿宋_GB2312" w:eastAsia="仿宋_GB2312"/>
          <w:b w:val="0"/>
          <w:bCs w:val="0"/>
        </w:rPr>
        <w:t>（一）综合评价情况</w:t>
      </w:r>
      <w:bookmarkEnd w:id="14"/>
      <w:r>
        <w:rPr>
          <w:rFonts w:hint="eastAsia" w:ascii="仿宋_GB2312" w:eastAsia="仿宋_GB2312"/>
          <w:b w:val="0"/>
          <w:bCs w:val="0"/>
        </w:rPr>
        <w:t>及评价结论</w:t>
      </w:r>
    </w:p>
    <w:p w14:paraId="27BE4126">
      <w:pPr>
        <w:spacing w:line="560" w:lineRule="exact"/>
        <w:ind w:firstLine="600" w:firstLineChars="200"/>
        <w:rPr>
          <w:rFonts w:hint="default" w:ascii="Times New Roman" w:hAnsi="Times New Roman" w:cs="Times New Roman"/>
          <w:kern w:val="28"/>
          <w:sz w:val="30"/>
          <w:szCs w:val="30"/>
        </w:rPr>
      </w:pPr>
      <w:r>
        <w:rPr>
          <w:rFonts w:hint="default" w:ascii="Times New Roman" w:hAnsi="Times New Roman" w:cs="Times New Roman"/>
          <w:sz w:val="30"/>
          <w:szCs w:val="30"/>
        </w:rPr>
        <w:t>1.综合评价情况：</w:t>
      </w:r>
      <w:r>
        <w:rPr>
          <w:rFonts w:hint="default" w:ascii="Times New Roman" w:hAnsi="Times New Roman" w:cs="Times New Roman"/>
          <w:kern w:val="28"/>
          <w:sz w:val="30"/>
          <w:szCs w:val="30"/>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674ABD30">
      <w:pPr>
        <w:spacing w:line="560" w:lineRule="exact"/>
        <w:ind w:firstLine="600" w:firstLineChars="200"/>
        <w:rPr>
          <w:rFonts w:hint="default" w:ascii="Times New Roman" w:hAnsi="Times New Roman" w:cs="Times New Roman"/>
          <w:kern w:val="28"/>
          <w:sz w:val="30"/>
          <w:szCs w:val="30"/>
        </w:rPr>
      </w:pPr>
      <w:r>
        <w:rPr>
          <w:rFonts w:hint="default" w:ascii="Times New Roman" w:hAnsi="Times New Roman" w:cs="Times New Roman"/>
          <w:kern w:val="28"/>
          <w:sz w:val="30"/>
          <w:szCs w:val="30"/>
        </w:rPr>
        <w:t>本项目严格按照科学公正、统筹兼顾、激励约束、公开透明的绩效评价原则，采用公众评判法，坚持计划标准和行业标准对本项目的立项、绩效目标、资金投入、资金管理、组织实施、产出数量、产出质量、产出时效、产出成本、项目效益进行了综合评价。</w:t>
      </w:r>
    </w:p>
    <w:p w14:paraId="513A4BBE">
      <w:pPr>
        <w:spacing w:line="560" w:lineRule="exact"/>
        <w:ind w:firstLine="600" w:firstLineChars="200"/>
        <w:rPr>
          <w:rFonts w:hint="default" w:ascii="Times New Roman" w:hAnsi="Times New Roman" w:cs="Times New Roman"/>
          <w:sz w:val="30"/>
          <w:szCs w:val="30"/>
        </w:rPr>
      </w:pPr>
      <w:bookmarkStart w:id="15" w:name="_Toc68703836"/>
      <w:r>
        <w:rPr>
          <w:rFonts w:hint="default" w:ascii="Times New Roman" w:hAnsi="Times New Roman" w:cs="Times New Roman"/>
          <w:sz w:val="30"/>
          <w:szCs w:val="30"/>
        </w:rPr>
        <w:t>2.评价结论</w:t>
      </w:r>
      <w:bookmarkEnd w:id="15"/>
    </w:p>
    <w:p w14:paraId="0F1A7AEA">
      <w:pPr>
        <w:spacing w:line="560" w:lineRule="exact"/>
        <w:ind w:firstLine="600" w:firstLineChars="200"/>
        <w:rPr>
          <w:rFonts w:hint="default" w:ascii="Times New Roman" w:hAnsi="Times New Roman" w:cs="Times New Roman"/>
          <w:sz w:val="30"/>
          <w:szCs w:val="30"/>
          <w:highlight w:val="none"/>
        </w:rPr>
      </w:pPr>
      <w:r>
        <w:rPr>
          <w:rFonts w:hint="default" w:ascii="Times New Roman" w:hAnsi="Times New Roman" w:cs="Times New Roman"/>
          <w:sz w:val="30"/>
          <w:szCs w:val="30"/>
          <w:highlight w:val="none"/>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ascii="Times New Roman" w:hAnsi="Times New Roman" w:cs="Times New Roman"/>
          <w:sz w:val="30"/>
          <w:szCs w:val="30"/>
          <w:highlight w:val="none"/>
          <w:lang w:val="en-US" w:eastAsia="zh-CN"/>
        </w:rPr>
        <w:t>99.58</w:t>
      </w:r>
      <w:r>
        <w:rPr>
          <w:rFonts w:hint="default" w:ascii="Times New Roman" w:hAnsi="Times New Roman" w:cs="Times New Roman"/>
          <w:sz w:val="30"/>
          <w:szCs w:val="30"/>
          <w:highlight w:val="none"/>
        </w:rPr>
        <w:t>分，属于“优”。其中，项目</w:t>
      </w:r>
      <w:r>
        <w:rPr>
          <w:rFonts w:hint="default" w:ascii="Times New Roman" w:hAnsi="Times New Roman" w:cs="Times New Roman"/>
          <w:sz w:val="30"/>
          <w:szCs w:val="30"/>
          <w:highlight w:val="none"/>
          <w:lang w:val="en-US" w:eastAsia="zh-CN"/>
        </w:rPr>
        <w:t>决策指标权重为20分，</w:t>
      </w:r>
      <w:r>
        <w:rPr>
          <w:rFonts w:hint="default" w:ascii="Times New Roman" w:hAnsi="Times New Roman" w:cs="Times New Roman"/>
          <w:sz w:val="30"/>
          <w:szCs w:val="30"/>
          <w:highlight w:val="none"/>
        </w:rPr>
        <w:t>得分为</w:t>
      </w:r>
      <w:r>
        <w:rPr>
          <w:rFonts w:hint="default" w:ascii="Times New Roman" w:hAnsi="Times New Roman" w:cs="Times New Roman"/>
          <w:sz w:val="30"/>
          <w:szCs w:val="30"/>
          <w:highlight w:val="none"/>
          <w:lang w:val="en-US" w:eastAsia="zh-CN"/>
        </w:rPr>
        <w:t>20</w:t>
      </w:r>
      <w:r>
        <w:rPr>
          <w:rFonts w:hint="default" w:ascii="Times New Roman" w:hAnsi="Times New Roman" w:cs="Times New Roman"/>
          <w:sz w:val="30"/>
          <w:szCs w:val="30"/>
          <w:highlight w:val="none"/>
        </w:rPr>
        <w:t>分</w:t>
      </w:r>
      <w:r>
        <w:rPr>
          <w:rFonts w:hint="default" w:ascii="Times New Roman" w:hAnsi="Times New Roman" w:cs="Times New Roman"/>
          <w:sz w:val="30"/>
          <w:szCs w:val="30"/>
          <w:highlight w:val="none"/>
          <w:lang w:eastAsia="zh-CN"/>
        </w:rPr>
        <w:t>，</w:t>
      </w:r>
      <w:r>
        <w:rPr>
          <w:rFonts w:hint="default" w:ascii="Times New Roman" w:hAnsi="Times New Roman" w:cs="Times New Roman"/>
          <w:sz w:val="30"/>
          <w:szCs w:val="30"/>
          <w:highlight w:val="none"/>
        </w:rPr>
        <w:t>得分率为</w:t>
      </w:r>
      <w:r>
        <w:rPr>
          <w:rFonts w:hint="default" w:ascii="Times New Roman" w:hAnsi="Times New Roman" w:cs="Times New Roman"/>
          <w:sz w:val="30"/>
          <w:szCs w:val="30"/>
          <w:highlight w:val="none"/>
          <w:lang w:val="en-US" w:eastAsia="zh-CN"/>
        </w:rPr>
        <w:t>100</w:t>
      </w:r>
      <w:r>
        <w:rPr>
          <w:rFonts w:hint="default" w:ascii="Times New Roman" w:hAnsi="Times New Roman" w:cs="Times New Roman"/>
          <w:sz w:val="30"/>
          <w:szCs w:val="30"/>
          <w:highlight w:val="none"/>
        </w:rPr>
        <w:t>%</w:t>
      </w:r>
      <w:r>
        <w:rPr>
          <w:rFonts w:hint="default" w:ascii="Times New Roman" w:hAnsi="Times New Roman" w:cs="Times New Roman"/>
          <w:sz w:val="30"/>
          <w:szCs w:val="30"/>
          <w:highlight w:val="none"/>
          <w:lang w:eastAsia="zh-CN"/>
        </w:rPr>
        <w:t>。</w:t>
      </w:r>
      <w:r>
        <w:rPr>
          <w:rFonts w:hint="default" w:ascii="Times New Roman" w:hAnsi="Times New Roman" w:cs="Times New Roman"/>
          <w:sz w:val="30"/>
          <w:szCs w:val="30"/>
          <w:highlight w:val="none"/>
        </w:rPr>
        <w:t>项目</w:t>
      </w:r>
      <w:r>
        <w:rPr>
          <w:rFonts w:hint="default" w:ascii="Times New Roman" w:hAnsi="Times New Roman" w:cs="Times New Roman"/>
          <w:sz w:val="30"/>
          <w:szCs w:val="30"/>
          <w:highlight w:val="none"/>
          <w:lang w:eastAsia="zh-CN"/>
        </w:rPr>
        <w:t>过程</w:t>
      </w:r>
      <w:r>
        <w:rPr>
          <w:rFonts w:hint="default" w:ascii="Times New Roman" w:hAnsi="Times New Roman" w:cs="Times New Roman"/>
          <w:sz w:val="30"/>
          <w:szCs w:val="30"/>
          <w:highlight w:val="none"/>
        </w:rPr>
        <w:t>指标权重为</w:t>
      </w:r>
      <w:r>
        <w:rPr>
          <w:rFonts w:hint="default" w:ascii="Times New Roman" w:hAnsi="Times New Roman" w:cs="Times New Roman"/>
          <w:sz w:val="30"/>
          <w:szCs w:val="30"/>
          <w:highlight w:val="none"/>
          <w:lang w:val="en-US" w:eastAsia="zh-CN"/>
        </w:rPr>
        <w:t>2</w:t>
      </w:r>
      <w:r>
        <w:rPr>
          <w:rFonts w:hint="default" w:ascii="Times New Roman" w:hAnsi="Times New Roman" w:cs="Times New Roman"/>
          <w:sz w:val="30"/>
          <w:szCs w:val="30"/>
          <w:highlight w:val="none"/>
        </w:rPr>
        <w:t>0分，得分为</w:t>
      </w:r>
      <w:r>
        <w:rPr>
          <w:rFonts w:hint="default" w:ascii="Times New Roman" w:hAnsi="Times New Roman" w:cs="Times New Roman"/>
          <w:sz w:val="30"/>
          <w:szCs w:val="30"/>
          <w:highlight w:val="none"/>
          <w:lang w:val="en-US" w:eastAsia="zh-CN"/>
        </w:rPr>
        <w:t>19.</w:t>
      </w:r>
      <w:r>
        <w:rPr>
          <w:rFonts w:hint="eastAsia" w:ascii="Times New Roman" w:hAnsi="Times New Roman" w:cs="Times New Roman"/>
          <w:sz w:val="30"/>
          <w:szCs w:val="30"/>
          <w:highlight w:val="none"/>
          <w:lang w:val="en-US" w:eastAsia="zh-CN"/>
        </w:rPr>
        <w:t>88</w:t>
      </w:r>
      <w:r>
        <w:rPr>
          <w:rFonts w:hint="default" w:ascii="Times New Roman" w:hAnsi="Times New Roman" w:cs="Times New Roman"/>
          <w:sz w:val="30"/>
          <w:szCs w:val="30"/>
          <w:highlight w:val="none"/>
        </w:rPr>
        <w:t>分，得分率为</w:t>
      </w:r>
      <w:r>
        <w:rPr>
          <w:rFonts w:hint="default" w:ascii="Times New Roman" w:hAnsi="Times New Roman" w:cs="Times New Roman"/>
          <w:sz w:val="30"/>
          <w:szCs w:val="30"/>
          <w:highlight w:val="none"/>
          <w:lang w:val="en-US" w:eastAsia="zh-CN"/>
        </w:rPr>
        <w:t>9</w:t>
      </w:r>
      <w:r>
        <w:rPr>
          <w:rFonts w:hint="eastAsia" w:ascii="Times New Roman" w:hAnsi="Times New Roman" w:cs="Times New Roman"/>
          <w:sz w:val="30"/>
          <w:szCs w:val="30"/>
          <w:highlight w:val="none"/>
          <w:lang w:val="en-US" w:eastAsia="zh-CN"/>
        </w:rPr>
        <w:t>9.4</w:t>
      </w:r>
      <w:r>
        <w:rPr>
          <w:rFonts w:hint="default" w:ascii="Times New Roman" w:hAnsi="Times New Roman" w:cs="Times New Roman"/>
          <w:sz w:val="30"/>
          <w:szCs w:val="30"/>
          <w:highlight w:val="none"/>
        </w:rPr>
        <w:t>%。项目</w:t>
      </w:r>
      <w:r>
        <w:rPr>
          <w:rFonts w:hint="default" w:ascii="Times New Roman" w:hAnsi="Times New Roman" w:cs="Times New Roman"/>
          <w:sz w:val="30"/>
          <w:szCs w:val="30"/>
          <w:highlight w:val="none"/>
          <w:lang w:val="en-US" w:eastAsia="zh-CN"/>
        </w:rPr>
        <w:t>产出</w:t>
      </w:r>
      <w:r>
        <w:rPr>
          <w:rFonts w:hint="default" w:ascii="Times New Roman" w:hAnsi="Times New Roman" w:cs="Times New Roman"/>
          <w:sz w:val="30"/>
          <w:szCs w:val="30"/>
          <w:highlight w:val="none"/>
        </w:rPr>
        <w:t>指标权重为</w:t>
      </w:r>
      <w:r>
        <w:rPr>
          <w:rFonts w:hint="default" w:ascii="Times New Roman" w:hAnsi="Times New Roman" w:cs="Times New Roman"/>
          <w:sz w:val="30"/>
          <w:szCs w:val="30"/>
          <w:highlight w:val="none"/>
          <w:lang w:val="en-US" w:eastAsia="zh-CN"/>
        </w:rPr>
        <w:t>40</w:t>
      </w:r>
      <w:r>
        <w:rPr>
          <w:rFonts w:hint="default" w:ascii="Times New Roman" w:hAnsi="Times New Roman" w:cs="Times New Roman"/>
          <w:sz w:val="30"/>
          <w:szCs w:val="30"/>
          <w:highlight w:val="none"/>
        </w:rPr>
        <w:t>分，得分为</w:t>
      </w:r>
      <w:r>
        <w:rPr>
          <w:rFonts w:hint="default" w:ascii="Times New Roman" w:hAnsi="Times New Roman" w:cs="Times New Roman"/>
          <w:sz w:val="30"/>
          <w:szCs w:val="30"/>
          <w:highlight w:val="none"/>
          <w:lang w:val="en-US" w:eastAsia="zh-CN"/>
        </w:rPr>
        <w:t>39.7</w:t>
      </w:r>
      <w:r>
        <w:rPr>
          <w:rFonts w:hint="default" w:ascii="Times New Roman" w:hAnsi="Times New Roman" w:cs="Times New Roman"/>
          <w:sz w:val="30"/>
          <w:szCs w:val="30"/>
          <w:highlight w:val="none"/>
        </w:rPr>
        <w:t>分，得分率为</w:t>
      </w:r>
      <w:r>
        <w:rPr>
          <w:rFonts w:hint="default" w:ascii="Times New Roman" w:hAnsi="Times New Roman" w:cs="Times New Roman"/>
          <w:sz w:val="30"/>
          <w:szCs w:val="30"/>
          <w:highlight w:val="none"/>
          <w:lang w:val="en-US" w:eastAsia="zh-CN"/>
        </w:rPr>
        <w:t>99.25</w:t>
      </w:r>
      <w:r>
        <w:rPr>
          <w:rFonts w:hint="default" w:ascii="Times New Roman" w:hAnsi="Times New Roman" w:cs="Times New Roman"/>
          <w:sz w:val="30"/>
          <w:szCs w:val="30"/>
          <w:highlight w:val="none"/>
        </w:rPr>
        <w:t>%。项目效益指标权重为20分，得分为</w:t>
      </w:r>
      <w:r>
        <w:rPr>
          <w:rFonts w:hint="default" w:ascii="Times New Roman" w:hAnsi="Times New Roman" w:cs="Times New Roman"/>
          <w:sz w:val="30"/>
          <w:szCs w:val="30"/>
          <w:highlight w:val="none"/>
          <w:lang w:val="en-US" w:eastAsia="zh-CN"/>
        </w:rPr>
        <w:t>20</w:t>
      </w:r>
      <w:r>
        <w:rPr>
          <w:rFonts w:hint="default" w:ascii="Times New Roman" w:hAnsi="Times New Roman" w:cs="Times New Roman"/>
          <w:sz w:val="30"/>
          <w:szCs w:val="30"/>
          <w:highlight w:val="none"/>
        </w:rPr>
        <w:t>分，得分率为</w:t>
      </w:r>
      <w:r>
        <w:rPr>
          <w:rFonts w:hint="default" w:ascii="Times New Roman" w:hAnsi="Times New Roman" w:cs="Times New Roman"/>
          <w:sz w:val="30"/>
          <w:szCs w:val="30"/>
          <w:highlight w:val="none"/>
          <w:lang w:val="en-US" w:eastAsia="zh-CN"/>
        </w:rPr>
        <w:t>100</w:t>
      </w:r>
      <w:r>
        <w:rPr>
          <w:rFonts w:hint="default" w:ascii="Times New Roman" w:hAnsi="Times New Roman" w:cs="Times New Roman"/>
          <w:sz w:val="30"/>
          <w:szCs w:val="30"/>
          <w:highlight w:val="none"/>
        </w:rPr>
        <w:t>%。</w:t>
      </w:r>
    </w:p>
    <w:p w14:paraId="73571EEE">
      <w:pPr>
        <w:pStyle w:val="4"/>
        <w:spacing w:before="0" w:after="0" w:line="560" w:lineRule="exact"/>
        <w:ind w:firstLine="640" w:firstLineChars="200"/>
        <w:rPr>
          <w:rFonts w:ascii="仿宋_GB2312" w:eastAsia="仿宋_GB2312"/>
          <w:b w:val="0"/>
          <w:bCs w:val="0"/>
        </w:rPr>
      </w:pPr>
      <w:r>
        <w:rPr>
          <w:rFonts w:hint="eastAsia" w:ascii="仿宋_GB2312" w:eastAsia="仿宋_GB2312"/>
          <w:b w:val="0"/>
          <w:bCs w:val="0"/>
        </w:rPr>
        <w:t>（二）相关评分表</w:t>
      </w:r>
    </w:p>
    <w:p w14:paraId="20F9C621">
      <w:pPr>
        <w:spacing w:line="560" w:lineRule="exact"/>
        <w:ind w:firstLine="600" w:firstLineChars="200"/>
        <w:rPr>
          <w:rFonts w:hint="default" w:ascii="Times New Roman" w:hAnsi="Times New Roman" w:cs="Times New Roman"/>
          <w:sz w:val="30"/>
          <w:szCs w:val="30"/>
        </w:rPr>
      </w:pPr>
      <w:r>
        <w:rPr>
          <w:rFonts w:hint="default" w:ascii="Times New Roman" w:hAnsi="Times New Roman" w:cs="Times New Roman"/>
          <w:sz w:val="30"/>
          <w:szCs w:val="30"/>
        </w:rPr>
        <w:t>具体打分情况详见：附件1综合评分表。</w:t>
      </w:r>
    </w:p>
    <w:p w14:paraId="24C5B711">
      <w:pPr>
        <w:spacing w:line="560" w:lineRule="exact"/>
        <w:ind w:firstLine="600" w:firstLineChars="200"/>
        <w:jc w:val="center"/>
        <w:rPr>
          <w:rFonts w:hint="default" w:ascii="Times New Roman" w:hAnsi="Times New Roman" w:cs="Times New Roman"/>
          <w:sz w:val="30"/>
          <w:szCs w:val="30"/>
        </w:rPr>
      </w:pPr>
      <w:r>
        <w:rPr>
          <w:rFonts w:hint="default" w:ascii="Times New Roman" w:hAnsi="Times New Roman" w:cs="Times New Roman"/>
          <w:sz w:val="30"/>
          <w:szCs w:val="30"/>
        </w:rPr>
        <w:t>巴音郭楞蒙古自治州2023年“三线一单”</w:t>
      </w:r>
    </w:p>
    <w:p w14:paraId="290E6162">
      <w:pPr>
        <w:spacing w:line="560" w:lineRule="exact"/>
        <w:ind w:firstLine="600" w:firstLineChars="200"/>
        <w:jc w:val="center"/>
        <w:rPr>
          <w:rFonts w:hint="default" w:ascii="Times New Roman" w:hAnsi="Times New Roman" w:cs="Times New Roman"/>
          <w:sz w:val="30"/>
          <w:szCs w:val="30"/>
        </w:rPr>
      </w:pPr>
      <w:r>
        <w:rPr>
          <w:rFonts w:hint="default" w:ascii="Times New Roman" w:hAnsi="Times New Roman" w:cs="Times New Roman"/>
          <w:sz w:val="30"/>
          <w:szCs w:val="30"/>
        </w:rPr>
        <w:t>动态更新项目评价得分情况</w:t>
      </w:r>
    </w:p>
    <w:tbl>
      <w:tblPr>
        <w:tblStyle w:val="11"/>
        <w:tblW w:w="7583" w:type="dxa"/>
        <w:jc w:val="center"/>
        <w:tblLayout w:type="fixed"/>
        <w:tblCellMar>
          <w:top w:w="0" w:type="dxa"/>
          <w:left w:w="108" w:type="dxa"/>
          <w:bottom w:w="0" w:type="dxa"/>
          <w:right w:w="108" w:type="dxa"/>
        </w:tblCellMar>
      </w:tblPr>
      <w:tblGrid>
        <w:gridCol w:w="2297"/>
        <w:gridCol w:w="3008"/>
        <w:gridCol w:w="2278"/>
      </w:tblGrid>
      <w:tr w14:paraId="501F600B">
        <w:tblPrEx>
          <w:tblCellMar>
            <w:top w:w="0" w:type="dxa"/>
            <w:left w:w="108" w:type="dxa"/>
            <w:bottom w:w="0" w:type="dxa"/>
            <w:right w:w="108" w:type="dxa"/>
          </w:tblCellMar>
        </w:tblPrEx>
        <w:trPr>
          <w:trHeight w:val="90" w:hRule="atLeast"/>
          <w:tblHeader/>
          <w:jc w:val="center"/>
        </w:trPr>
        <w:tc>
          <w:tcPr>
            <w:tcW w:w="229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691BE131">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b/>
                <w:bCs/>
                <w:color w:val="000000"/>
                <w:sz w:val="22"/>
              </w:rPr>
            </w:pPr>
            <w:r>
              <w:rPr>
                <w:rFonts w:hint="eastAsia"/>
                <w:b/>
                <w:bCs/>
                <w:color w:val="000000"/>
                <w:sz w:val="22"/>
              </w:rPr>
              <w:t>一级指标</w:t>
            </w:r>
          </w:p>
        </w:tc>
        <w:tc>
          <w:tcPr>
            <w:tcW w:w="300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4F4CD1AF">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AB3AFFB">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b/>
                <w:bCs/>
                <w:color w:val="000000"/>
                <w:sz w:val="22"/>
              </w:rPr>
            </w:pPr>
            <w:r>
              <w:rPr>
                <w:rFonts w:hint="eastAsia"/>
                <w:b/>
                <w:bCs/>
                <w:color w:val="000000"/>
                <w:sz w:val="22"/>
              </w:rPr>
              <w:t>得分</w:t>
            </w:r>
          </w:p>
        </w:tc>
      </w:tr>
      <w:tr w14:paraId="7FAE0780">
        <w:tblPrEx>
          <w:tblCellMar>
            <w:top w:w="0" w:type="dxa"/>
            <w:left w:w="108" w:type="dxa"/>
            <w:bottom w:w="0" w:type="dxa"/>
            <w:right w:w="108" w:type="dxa"/>
          </w:tblCellMar>
        </w:tblPrEx>
        <w:trPr>
          <w:trHeight w:val="340" w:hRule="atLeast"/>
          <w:jc w:val="center"/>
        </w:trPr>
        <w:tc>
          <w:tcPr>
            <w:tcW w:w="2297" w:type="dxa"/>
            <w:tcBorders>
              <w:top w:val="nil"/>
              <w:left w:val="single" w:color="auto" w:sz="4" w:space="0"/>
              <w:bottom w:val="single" w:color="auto" w:sz="4" w:space="0"/>
              <w:right w:val="single" w:color="auto" w:sz="4" w:space="0"/>
            </w:tcBorders>
            <w:shd w:val="clear" w:color="auto" w:fill="auto"/>
            <w:vAlign w:val="center"/>
          </w:tcPr>
          <w:p w14:paraId="4310E114">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cs="Times New Roman"/>
                <w:color w:val="000000"/>
                <w:sz w:val="22"/>
              </w:rPr>
            </w:pPr>
            <w:r>
              <w:rPr>
                <w:rFonts w:hint="eastAsia" w:ascii="Times New Roman" w:hAnsi="Times New Roman" w:cs="Times New Roman"/>
                <w:color w:val="000000"/>
                <w:sz w:val="22"/>
              </w:rPr>
              <w:t>项目决策</w:t>
            </w:r>
          </w:p>
        </w:tc>
        <w:tc>
          <w:tcPr>
            <w:tcW w:w="3008" w:type="dxa"/>
            <w:tcBorders>
              <w:top w:val="nil"/>
              <w:left w:val="nil"/>
              <w:bottom w:val="single" w:color="auto" w:sz="4" w:space="0"/>
              <w:right w:val="single" w:color="auto" w:sz="4" w:space="0"/>
            </w:tcBorders>
            <w:shd w:val="clear" w:color="auto" w:fill="auto"/>
            <w:vAlign w:val="center"/>
          </w:tcPr>
          <w:p w14:paraId="70ED6369">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default" w:ascii="Times New Roman" w:hAnsi="Times New Roman" w:cs="Times New Roman"/>
                <w:color w:val="000000"/>
                <w:sz w:val="22"/>
                <w:lang w:val="en-US" w:eastAsia="zh-CN"/>
              </w:rPr>
            </w:pPr>
            <w:r>
              <w:rPr>
                <w:rFonts w:hint="eastAsia"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711533D">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default" w:ascii="Times New Roman" w:hAnsi="Times New Roman" w:cs="Times New Roman"/>
                <w:color w:val="000000"/>
                <w:sz w:val="22"/>
                <w:lang w:val="en-US" w:eastAsia="zh-CN"/>
              </w:rPr>
            </w:pPr>
            <w:r>
              <w:rPr>
                <w:rFonts w:hint="eastAsia" w:ascii="Times New Roman" w:hAnsi="Times New Roman" w:cs="Times New Roman"/>
                <w:color w:val="000000"/>
                <w:sz w:val="22"/>
                <w:lang w:val="en-US" w:eastAsia="zh-CN"/>
              </w:rPr>
              <w:t>20</w:t>
            </w:r>
          </w:p>
        </w:tc>
      </w:tr>
      <w:tr w14:paraId="5C5202FE">
        <w:tblPrEx>
          <w:tblCellMar>
            <w:top w:w="0" w:type="dxa"/>
            <w:left w:w="108" w:type="dxa"/>
            <w:bottom w:w="0" w:type="dxa"/>
            <w:right w:w="108" w:type="dxa"/>
          </w:tblCellMar>
        </w:tblPrEx>
        <w:trPr>
          <w:trHeight w:val="340" w:hRule="atLeast"/>
          <w:jc w:val="center"/>
        </w:trPr>
        <w:tc>
          <w:tcPr>
            <w:tcW w:w="2297" w:type="dxa"/>
            <w:tcBorders>
              <w:top w:val="nil"/>
              <w:left w:val="single" w:color="auto" w:sz="4" w:space="0"/>
              <w:bottom w:val="single" w:color="auto" w:sz="4" w:space="0"/>
              <w:right w:val="single" w:color="auto" w:sz="4" w:space="0"/>
            </w:tcBorders>
            <w:shd w:val="clear" w:color="auto" w:fill="auto"/>
            <w:vAlign w:val="center"/>
          </w:tcPr>
          <w:p w14:paraId="66199DED">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cs="Times New Roman"/>
                <w:color w:val="000000"/>
                <w:sz w:val="22"/>
              </w:rPr>
            </w:pPr>
            <w:r>
              <w:rPr>
                <w:rFonts w:hint="eastAsia" w:ascii="Times New Roman" w:hAnsi="Times New Roman" w:cs="Times New Roman"/>
                <w:color w:val="000000"/>
                <w:sz w:val="22"/>
              </w:rPr>
              <w:t>项目过程</w:t>
            </w:r>
          </w:p>
        </w:tc>
        <w:tc>
          <w:tcPr>
            <w:tcW w:w="3008" w:type="dxa"/>
            <w:tcBorders>
              <w:top w:val="nil"/>
              <w:left w:val="nil"/>
              <w:bottom w:val="single" w:color="auto" w:sz="4" w:space="0"/>
              <w:right w:val="single" w:color="auto" w:sz="4" w:space="0"/>
            </w:tcBorders>
            <w:shd w:val="clear" w:color="auto" w:fill="auto"/>
            <w:vAlign w:val="center"/>
          </w:tcPr>
          <w:p w14:paraId="1F12890A">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default" w:ascii="Times New Roman" w:hAnsi="Times New Roman" w:cs="Times New Roman"/>
                <w:color w:val="000000"/>
                <w:sz w:val="22"/>
                <w:lang w:val="en-US" w:eastAsia="zh-CN"/>
              </w:rPr>
            </w:pPr>
            <w:r>
              <w:rPr>
                <w:rFonts w:hint="eastAsia"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044FD5BB">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default" w:ascii="Times New Roman" w:hAnsi="Times New Roman" w:cs="Times New Roman"/>
                <w:color w:val="000000"/>
                <w:sz w:val="22"/>
                <w:lang w:val="en-US" w:eastAsia="zh-CN"/>
              </w:rPr>
            </w:pPr>
            <w:r>
              <w:rPr>
                <w:rFonts w:hint="eastAsia" w:cs="Times New Roman"/>
                <w:color w:val="000000"/>
                <w:sz w:val="22"/>
                <w:lang w:val="en-US" w:eastAsia="zh-CN"/>
              </w:rPr>
              <w:t>19.88</w:t>
            </w:r>
          </w:p>
        </w:tc>
      </w:tr>
      <w:tr w14:paraId="52B883ED">
        <w:tblPrEx>
          <w:tblCellMar>
            <w:top w:w="0" w:type="dxa"/>
            <w:left w:w="108" w:type="dxa"/>
            <w:bottom w:w="0" w:type="dxa"/>
            <w:right w:w="108" w:type="dxa"/>
          </w:tblCellMar>
        </w:tblPrEx>
        <w:trPr>
          <w:trHeight w:val="340" w:hRule="atLeast"/>
          <w:jc w:val="center"/>
        </w:trPr>
        <w:tc>
          <w:tcPr>
            <w:tcW w:w="2297" w:type="dxa"/>
            <w:tcBorders>
              <w:top w:val="nil"/>
              <w:left w:val="single" w:color="auto" w:sz="4" w:space="0"/>
              <w:bottom w:val="single" w:color="auto" w:sz="4" w:space="0"/>
              <w:right w:val="single" w:color="auto" w:sz="4" w:space="0"/>
            </w:tcBorders>
            <w:shd w:val="clear" w:color="auto" w:fill="auto"/>
            <w:vAlign w:val="center"/>
          </w:tcPr>
          <w:p w14:paraId="5B548A1C">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color w:val="000000"/>
                <w:sz w:val="22"/>
              </w:rPr>
            </w:pPr>
            <w:r>
              <w:rPr>
                <w:rFonts w:hint="eastAsia"/>
                <w:color w:val="000000"/>
                <w:sz w:val="22"/>
              </w:rPr>
              <w:t>项目产出</w:t>
            </w:r>
          </w:p>
        </w:tc>
        <w:tc>
          <w:tcPr>
            <w:tcW w:w="3008" w:type="dxa"/>
            <w:tcBorders>
              <w:top w:val="nil"/>
              <w:left w:val="nil"/>
              <w:bottom w:val="single" w:color="auto" w:sz="4" w:space="0"/>
              <w:right w:val="single" w:color="auto" w:sz="4" w:space="0"/>
            </w:tcBorders>
            <w:shd w:val="clear" w:color="auto" w:fill="auto"/>
            <w:vAlign w:val="center"/>
          </w:tcPr>
          <w:p w14:paraId="162901D3">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179457EA">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default" w:eastAsia="仿宋_GB2312"/>
                <w:color w:val="000000"/>
                <w:sz w:val="22"/>
                <w:lang w:val="en-US" w:eastAsia="zh-CN"/>
              </w:rPr>
            </w:pPr>
            <w:r>
              <w:rPr>
                <w:rFonts w:hint="eastAsia"/>
                <w:color w:val="000000"/>
                <w:sz w:val="22"/>
                <w:lang w:val="en-US" w:eastAsia="zh-CN"/>
              </w:rPr>
              <w:t>39.7</w:t>
            </w:r>
          </w:p>
        </w:tc>
      </w:tr>
      <w:tr w14:paraId="53EAEFD4">
        <w:tblPrEx>
          <w:tblCellMar>
            <w:top w:w="0" w:type="dxa"/>
            <w:left w:w="108" w:type="dxa"/>
            <w:bottom w:w="0" w:type="dxa"/>
            <w:right w:w="108" w:type="dxa"/>
          </w:tblCellMar>
        </w:tblPrEx>
        <w:trPr>
          <w:trHeight w:val="340" w:hRule="atLeast"/>
          <w:jc w:val="center"/>
        </w:trPr>
        <w:tc>
          <w:tcPr>
            <w:tcW w:w="2297" w:type="dxa"/>
            <w:tcBorders>
              <w:top w:val="nil"/>
              <w:left w:val="single" w:color="auto" w:sz="4" w:space="0"/>
              <w:bottom w:val="single" w:color="auto" w:sz="4" w:space="0"/>
              <w:right w:val="single" w:color="auto" w:sz="4" w:space="0"/>
            </w:tcBorders>
            <w:shd w:val="clear" w:color="auto" w:fill="auto"/>
            <w:vAlign w:val="center"/>
          </w:tcPr>
          <w:p w14:paraId="53A476E5">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color w:val="000000"/>
                <w:sz w:val="22"/>
              </w:rPr>
            </w:pPr>
            <w:r>
              <w:rPr>
                <w:rFonts w:hint="eastAsia"/>
                <w:color w:val="000000"/>
                <w:sz w:val="22"/>
              </w:rPr>
              <w:t>项目效益</w:t>
            </w:r>
          </w:p>
        </w:tc>
        <w:tc>
          <w:tcPr>
            <w:tcW w:w="3008" w:type="dxa"/>
            <w:tcBorders>
              <w:top w:val="nil"/>
              <w:left w:val="nil"/>
              <w:bottom w:val="single" w:color="auto" w:sz="4" w:space="0"/>
              <w:right w:val="single" w:color="auto" w:sz="4" w:space="0"/>
            </w:tcBorders>
            <w:shd w:val="clear" w:color="auto" w:fill="auto"/>
            <w:vAlign w:val="center"/>
          </w:tcPr>
          <w:p w14:paraId="4A13FE54">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879071F">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637D537B">
        <w:tblPrEx>
          <w:tblCellMar>
            <w:top w:w="0" w:type="dxa"/>
            <w:left w:w="108" w:type="dxa"/>
            <w:bottom w:w="0" w:type="dxa"/>
            <w:right w:w="108" w:type="dxa"/>
          </w:tblCellMar>
        </w:tblPrEx>
        <w:trPr>
          <w:trHeight w:val="340" w:hRule="atLeast"/>
          <w:jc w:val="center"/>
        </w:trPr>
        <w:tc>
          <w:tcPr>
            <w:tcW w:w="2297" w:type="dxa"/>
            <w:tcBorders>
              <w:top w:val="nil"/>
              <w:left w:val="single" w:color="auto" w:sz="4" w:space="0"/>
              <w:bottom w:val="single" w:color="auto" w:sz="4" w:space="0"/>
              <w:right w:val="single" w:color="auto" w:sz="4" w:space="0"/>
            </w:tcBorders>
            <w:shd w:val="clear" w:color="auto" w:fill="auto"/>
            <w:vAlign w:val="center"/>
          </w:tcPr>
          <w:p w14:paraId="31139BC8">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cs="宋体"/>
                <w:b/>
                <w:bCs/>
                <w:color w:val="000000"/>
                <w:sz w:val="22"/>
              </w:rPr>
            </w:pPr>
            <w:r>
              <w:rPr>
                <w:rFonts w:hint="eastAsia" w:cs="宋体"/>
                <w:b/>
                <w:bCs/>
                <w:color w:val="000000"/>
                <w:sz w:val="22"/>
              </w:rPr>
              <w:t>合计</w:t>
            </w:r>
          </w:p>
        </w:tc>
        <w:tc>
          <w:tcPr>
            <w:tcW w:w="3008" w:type="dxa"/>
            <w:tcBorders>
              <w:top w:val="nil"/>
              <w:left w:val="nil"/>
              <w:bottom w:val="single" w:color="auto" w:sz="4" w:space="0"/>
              <w:right w:val="single" w:color="auto" w:sz="4" w:space="0"/>
            </w:tcBorders>
            <w:shd w:val="clear" w:color="auto" w:fill="auto"/>
            <w:vAlign w:val="center"/>
          </w:tcPr>
          <w:p w14:paraId="48DA4D52">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49B12D71">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default" w:eastAsia="仿宋_GB2312"/>
                <w:b/>
                <w:bCs/>
                <w:color w:val="000000"/>
                <w:sz w:val="22"/>
                <w:lang w:val="en-US" w:eastAsia="zh-CN"/>
              </w:rPr>
            </w:pPr>
            <w:r>
              <w:rPr>
                <w:rFonts w:hint="eastAsia"/>
                <w:b/>
                <w:bCs/>
                <w:color w:val="000000"/>
                <w:sz w:val="22"/>
                <w:lang w:val="en-US" w:eastAsia="zh-CN"/>
              </w:rPr>
              <w:t>99.58</w:t>
            </w:r>
          </w:p>
        </w:tc>
      </w:tr>
    </w:tbl>
    <w:p w14:paraId="2A47E328">
      <w:pPr>
        <w:pStyle w:val="2"/>
        <w:spacing w:before="0" w:after="0" w:line="560" w:lineRule="exact"/>
        <w:ind w:firstLine="640" w:firstLineChars="200"/>
      </w:pPr>
    </w:p>
    <w:p w14:paraId="4F404F4B">
      <w:pPr>
        <w:pStyle w:val="3"/>
        <w:spacing w:before="0" w:after="0" w:line="560" w:lineRule="exact"/>
        <w:ind w:firstLine="643" w:firstLineChars="200"/>
        <w:rPr>
          <w:rFonts w:ascii="宋体" w:hAnsi="宋体" w:eastAsia="宋体"/>
          <w:sz w:val="32"/>
          <w:szCs w:val="32"/>
        </w:rPr>
      </w:pPr>
      <w:bookmarkStart w:id="16" w:name="_Toc68703837"/>
      <w:r>
        <w:rPr>
          <w:rFonts w:hint="eastAsia" w:ascii="宋体" w:hAnsi="宋体" w:eastAsia="宋体"/>
          <w:sz w:val="32"/>
          <w:szCs w:val="32"/>
        </w:rPr>
        <w:t>四、绩效评价指标分析</w:t>
      </w:r>
      <w:bookmarkEnd w:id="16"/>
    </w:p>
    <w:p w14:paraId="7656418A">
      <w:pPr>
        <w:pStyle w:val="4"/>
        <w:spacing w:before="0" w:after="0" w:line="560" w:lineRule="exact"/>
        <w:ind w:firstLine="640" w:firstLineChars="200"/>
        <w:rPr>
          <w:rFonts w:ascii="仿宋_GB2312" w:eastAsia="仿宋_GB2312"/>
          <w:b w:val="0"/>
          <w:bCs w:val="0"/>
        </w:rPr>
      </w:pPr>
      <w:bookmarkStart w:id="17" w:name="_Toc68703838"/>
      <w:r>
        <w:rPr>
          <w:rFonts w:hint="eastAsia" w:ascii="仿宋_GB2312" w:eastAsia="仿宋_GB2312"/>
          <w:b w:val="0"/>
          <w:bCs w:val="0"/>
        </w:rPr>
        <w:t>（一）项目决策情况。</w:t>
      </w:r>
      <w:bookmarkEnd w:id="17"/>
    </w:p>
    <w:p w14:paraId="0480E0DB">
      <w:pPr>
        <w:keepNext w:val="0"/>
        <w:keepLines w:val="0"/>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sz w:val="30"/>
          <w:szCs w:val="30"/>
        </w:rPr>
      </w:pPr>
      <w:r>
        <w:rPr>
          <w:rFonts w:hint="default" w:ascii="Times New Roman" w:hAnsi="Times New Roman" w:cs="Times New Roman"/>
          <w:sz w:val="30"/>
          <w:szCs w:val="30"/>
        </w:rPr>
        <w:t>1.立项依据充分性</w:t>
      </w:r>
    </w:p>
    <w:p w14:paraId="269F66BC">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sz w:val="30"/>
          <w:szCs w:val="30"/>
          <w:lang w:eastAsia="zh-CN"/>
        </w:rPr>
      </w:pPr>
      <w:r>
        <w:rPr>
          <w:rFonts w:hint="default" w:ascii="Times New Roman" w:hAnsi="Times New Roman" w:cs="Times New Roman"/>
          <w:sz w:val="30"/>
          <w:szCs w:val="30"/>
        </w:rPr>
        <w:t>项目立项依据生态环境部《关于实施“三线一单”生态环境分区管控的指导意见（试行）》和</w:t>
      </w:r>
      <w:r>
        <w:rPr>
          <w:rFonts w:hint="default" w:ascii="Times New Roman" w:hAnsi="Times New Roman" w:eastAsia="仿宋_GB2312" w:cs="Times New Roman"/>
          <w:sz w:val="30"/>
          <w:szCs w:val="30"/>
        </w:rPr>
        <w:t>自治区生态环境厅《关于印发2023年自治区“三线一单”生态环境分区管控成果动态更新工作方案的通知》（新环办环评〔2023〕20号）</w:t>
      </w:r>
      <w:r>
        <w:rPr>
          <w:rFonts w:hint="default" w:ascii="Times New Roman" w:hAnsi="Times New Roman" w:cs="Times New Roman"/>
          <w:sz w:val="30"/>
          <w:szCs w:val="30"/>
          <w:lang w:eastAsia="zh-CN"/>
        </w:rPr>
        <w:t>，</w:t>
      </w:r>
      <w:r>
        <w:rPr>
          <w:rFonts w:hint="default" w:ascii="Times New Roman" w:hAnsi="Times New Roman" w:cs="Times New Roman"/>
          <w:sz w:val="30"/>
          <w:szCs w:val="30"/>
        </w:rPr>
        <w:t>符合国家法律法规、国民经济发展规划和相关政策</w:t>
      </w:r>
      <w:r>
        <w:rPr>
          <w:rFonts w:hint="default" w:ascii="Times New Roman" w:hAnsi="Times New Roman" w:cs="Times New Roman"/>
          <w:sz w:val="30"/>
          <w:szCs w:val="30"/>
          <w:lang w:eastAsia="zh-CN"/>
        </w:rPr>
        <w:t>。</w:t>
      </w:r>
    </w:p>
    <w:p w14:paraId="416E9086">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sz w:val="30"/>
          <w:szCs w:val="30"/>
        </w:rPr>
      </w:pPr>
      <w:r>
        <w:rPr>
          <w:rFonts w:hint="default" w:ascii="Times New Roman" w:hAnsi="Times New Roman" w:cs="Times New Roman"/>
          <w:sz w:val="30"/>
          <w:szCs w:val="30"/>
        </w:rPr>
        <w:t>项目立项的主要目的源于《中共中央 国务院关于全面加强生态环境保护坚决打好污染防治攻坚战的意见》（中发〔2018〕17号）中对落实生态保护红线、环境质量底线、资源利用上线硬约束，深化供给侧结构性改革，推动形成绿色发展方式和生活方式，坚定不移走生产发展、生活富裕、生态良好的文明发展道路的</w:t>
      </w:r>
      <w:r>
        <w:rPr>
          <w:rFonts w:hint="default" w:ascii="Times New Roman" w:hAnsi="Times New Roman" w:cs="Times New Roman"/>
          <w:sz w:val="30"/>
          <w:szCs w:val="30"/>
          <w:lang w:val="en-US" w:eastAsia="zh-CN"/>
        </w:rPr>
        <w:t>要求</w:t>
      </w:r>
      <w:r>
        <w:rPr>
          <w:rFonts w:hint="default" w:ascii="Times New Roman" w:hAnsi="Times New Roman" w:cs="Times New Roman"/>
          <w:sz w:val="30"/>
          <w:szCs w:val="30"/>
        </w:rPr>
        <w:t>，符合行业发展规划和政策要求。</w:t>
      </w:r>
    </w:p>
    <w:p w14:paraId="728250E8">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sz w:val="30"/>
          <w:szCs w:val="30"/>
        </w:rPr>
      </w:pPr>
      <w:r>
        <w:rPr>
          <w:rFonts w:hint="default" w:ascii="Times New Roman" w:hAnsi="Times New Roman" w:cs="Times New Roman"/>
          <w:sz w:val="30"/>
          <w:szCs w:val="30"/>
        </w:rPr>
        <w:t>按照国家部门职责划分，</w:t>
      </w:r>
      <w:r>
        <w:rPr>
          <w:rFonts w:hint="default" w:ascii="Times New Roman" w:hAnsi="Times New Roman" w:cs="Times New Roman"/>
          <w:sz w:val="30"/>
          <w:szCs w:val="30"/>
          <w:lang w:val="en-US" w:eastAsia="zh-CN"/>
        </w:rPr>
        <w:t>生态环境</w:t>
      </w:r>
      <w:r>
        <w:rPr>
          <w:rFonts w:hint="default" w:ascii="Times New Roman" w:hAnsi="Times New Roman" w:cs="Times New Roman"/>
          <w:sz w:val="30"/>
          <w:szCs w:val="30"/>
        </w:rPr>
        <w:t>部门为此项工作的责任部门。与部门职责范围相符，属于部门履职所需。</w:t>
      </w:r>
    </w:p>
    <w:p w14:paraId="041E3F49">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auto"/>
          <w:sz w:val="30"/>
          <w:szCs w:val="30"/>
        </w:rPr>
      </w:pPr>
      <w:r>
        <w:rPr>
          <w:rFonts w:hint="default" w:ascii="Times New Roman" w:hAnsi="Times New Roman" w:cs="Times New Roman"/>
          <w:color w:val="auto"/>
          <w:sz w:val="30"/>
          <w:szCs w:val="30"/>
        </w:rPr>
        <w:t>项目立项为本级财政资金拨款，属于公共财政支持范围，符合中央、地方事权支出责任划分原则。</w:t>
      </w:r>
    </w:p>
    <w:p w14:paraId="1176A8B4">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auto"/>
          <w:sz w:val="30"/>
          <w:szCs w:val="30"/>
          <w:lang w:val="en-US" w:eastAsia="zh-CN"/>
        </w:rPr>
      </w:pPr>
      <w:r>
        <w:rPr>
          <w:rFonts w:hint="default" w:ascii="Times New Roman" w:hAnsi="Times New Roman" w:cs="Times New Roman"/>
          <w:color w:val="auto"/>
          <w:sz w:val="30"/>
          <w:szCs w:val="30"/>
        </w:rPr>
        <w:t>该项目为我部门全权负责，不存在与相关部门同类项目</w:t>
      </w:r>
      <w:r>
        <w:rPr>
          <w:rFonts w:hint="default" w:ascii="Times New Roman" w:hAnsi="Times New Roman" w:cs="Times New Roman"/>
          <w:color w:val="auto"/>
          <w:sz w:val="30"/>
          <w:szCs w:val="30"/>
          <w:lang w:eastAsia="zh-CN"/>
        </w:rPr>
        <w:t>和</w:t>
      </w:r>
      <w:r>
        <w:rPr>
          <w:rFonts w:hint="default" w:ascii="Times New Roman" w:hAnsi="Times New Roman" w:cs="Times New Roman"/>
          <w:color w:val="auto"/>
          <w:sz w:val="30"/>
          <w:szCs w:val="30"/>
        </w:rPr>
        <w:t>部门内部相关项目重复的情况。</w:t>
      </w:r>
    </w:p>
    <w:p w14:paraId="49093DE2">
      <w:pPr>
        <w:pStyle w:val="2"/>
        <w:keepNext w:val="0"/>
        <w:keepLines w:val="0"/>
        <w:pageBreakBefore w:val="0"/>
        <w:kinsoku/>
        <w:wordWrap/>
        <w:overflowPunct/>
        <w:topLinePunct w:val="0"/>
        <w:autoSpaceDE/>
        <w:autoSpaceDN/>
        <w:bidi w:val="0"/>
        <w:adjustRightInd/>
        <w:snapToGrid/>
        <w:spacing w:before="0" w:after="0" w:line="560" w:lineRule="exact"/>
        <w:ind w:firstLine="600" w:firstLineChars="200"/>
        <w:jc w:val="left"/>
        <w:textAlignment w:val="auto"/>
        <w:rPr>
          <w:rFonts w:hint="default" w:ascii="Times New Roman" w:hAnsi="Times New Roman" w:eastAsia="仿宋_GB2312" w:cs="Times New Roman"/>
          <w:b w:val="0"/>
          <w:bCs w:val="0"/>
          <w:color w:val="auto"/>
          <w:kern w:val="2"/>
          <w:sz w:val="30"/>
          <w:szCs w:val="30"/>
        </w:rPr>
      </w:pPr>
      <w:r>
        <w:rPr>
          <w:rFonts w:hint="default" w:ascii="Times New Roman" w:hAnsi="Times New Roman" w:eastAsia="仿宋_GB2312" w:cs="Times New Roman"/>
          <w:b w:val="0"/>
          <w:bCs w:val="0"/>
          <w:color w:val="auto"/>
          <w:kern w:val="2"/>
          <w:sz w:val="30"/>
          <w:szCs w:val="30"/>
        </w:rPr>
        <w:t>此项权重分</w:t>
      </w:r>
      <w:r>
        <w:rPr>
          <w:rFonts w:hint="default" w:ascii="Times New Roman" w:hAnsi="Times New Roman" w:eastAsia="仿宋_GB2312" w:cs="Times New Roman"/>
          <w:b w:val="0"/>
          <w:bCs w:val="0"/>
          <w:color w:val="auto"/>
          <w:kern w:val="2"/>
          <w:sz w:val="30"/>
          <w:szCs w:val="30"/>
          <w:lang w:val="en-US" w:eastAsia="zh-CN"/>
        </w:rPr>
        <w:t>4</w:t>
      </w:r>
      <w:r>
        <w:rPr>
          <w:rFonts w:hint="default" w:ascii="Times New Roman" w:hAnsi="Times New Roman" w:eastAsia="仿宋_GB2312" w:cs="Times New Roman"/>
          <w:b w:val="0"/>
          <w:bCs w:val="0"/>
          <w:color w:val="auto"/>
          <w:kern w:val="2"/>
          <w:sz w:val="30"/>
          <w:szCs w:val="30"/>
        </w:rPr>
        <w:t>分，得分</w:t>
      </w:r>
      <w:r>
        <w:rPr>
          <w:rFonts w:hint="default" w:ascii="Times New Roman" w:hAnsi="Times New Roman" w:eastAsia="仿宋_GB2312" w:cs="Times New Roman"/>
          <w:b w:val="0"/>
          <w:bCs w:val="0"/>
          <w:color w:val="auto"/>
          <w:kern w:val="2"/>
          <w:sz w:val="30"/>
          <w:szCs w:val="30"/>
          <w:lang w:val="en-US" w:eastAsia="zh-CN"/>
        </w:rPr>
        <w:t>4</w:t>
      </w:r>
      <w:r>
        <w:rPr>
          <w:rFonts w:hint="default" w:ascii="Times New Roman" w:hAnsi="Times New Roman" w:eastAsia="仿宋_GB2312" w:cs="Times New Roman"/>
          <w:b w:val="0"/>
          <w:bCs w:val="0"/>
          <w:color w:val="auto"/>
          <w:kern w:val="2"/>
          <w:sz w:val="30"/>
          <w:szCs w:val="30"/>
        </w:rPr>
        <w:t>分。</w:t>
      </w:r>
    </w:p>
    <w:p w14:paraId="0A1E0BFC">
      <w:pPr>
        <w:keepNext w:val="0"/>
        <w:keepLines w:val="0"/>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auto"/>
          <w:sz w:val="30"/>
          <w:szCs w:val="30"/>
        </w:rPr>
      </w:pPr>
      <w:r>
        <w:rPr>
          <w:rFonts w:hint="default" w:ascii="Times New Roman" w:hAnsi="Times New Roman" w:cs="Times New Roman"/>
          <w:color w:val="auto"/>
          <w:sz w:val="30"/>
          <w:szCs w:val="30"/>
        </w:rPr>
        <w:t>2.立项程序规范性</w:t>
      </w:r>
    </w:p>
    <w:p w14:paraId="3BD9F829">
      <w:pPr>
        <w:pStyle w:val="2"/>
        <w:keepNext w:val="0"/>
        <w:keepLines w:val="0"/>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default" w:ascii="Times New Roman" w:hAnsi="Times New Roman" w:eastAsia="仿宋_GB2312" w:cs="Times New Roman"/>
          <w:b w:val="0"/>
          <w:bCs w:val="0"/>
          <w:color w:val="auto"/>
          <w:sz w:val="30"/>
          <w:szCs w:val="30"/>
        </w:rPr>
      </w:pPr>
      <w:r>
        <w:rPr>
          <w:rFonts w:hint="default" w:ascii="Times New Roman" w:hAnsi="Times New Roman" w:eastAsia="仿宋_GB2312" w:cs="Times New Roman"/>
          <w:b w:val="0"/>
          <w:bCs w:val="0"/>
          <w:color w:val="auto"/>
          <w:sz w:val="30"/>
          <w:szCs w:val="30"/>
        </w:rPr>
        <w:t>项目申请、设立过程符合相关政策要求，</w:t>
      </w:r>
      <w:r>
        <w:rPr>
          <w:rFonts w:hint="default" w:ascii="Times New Roman" w:hAnsi="Times New Roman" w:eastAsia="仿宋_GB2312" w:cs="Times New Roman"/>
          <w:b w:val="0"/>
          <w:bCs w:val="0"/>
          <w:color w:val="auto"/>
          <w:sz w:val="30"/>
          <w:szCs w:val="30"/>
          <w:lang w:eastAsia="zh-Hans"/>
        </w:rPr>
        <w:t>严格按照审批流程准备符合要求的文件、材料；</w:t>
      </w:r>
      <w:r>
        <w:rPr>
          <w:rFonts w:hint="default" w:ascii="Times New Roman" w:hAnsi="Times New Roman" w:eastAsia="仿宋_GB2312" w:cs="Times New Roman"/>
          <w:b w:val="0"/>
          <w:bCs w:val="0"/>
          <w:color w:val="auto"/>
          <w:sz w:val="30"/>
          <w:szCs w:val="30"/>
        </w:rPr>
        <w:t>根据决算依据编制工作计划和经费预算，经过与部门项目分管领导沟通、筛选确定经费预算计划，确定最终预算方案。项目的审批文件、材料符合相关要求，项目事前经过必要的专家论证、集体决策，保障了程序的规范性。</w:t>
      </w:r>
    </w:p>
    <w:p w14:paraId="7B501125">
      <w:pPr>
        <w:pStyle w:val="2"/>
        <w:keepNext w:val="0"/>
        <w:keepLines w:val="0"/>
        <w:pageBreakBefore w:val="0"/>
        <w:kinsoku/>
        <w:wordWrap/>
        <w:overflowPunct/>
        <w:topLinePunct w:val="0"/>
        <w:autoSpaceDE/>
        <w:autoSpaceDN/>
        <w:bidi w:val="0"/>
        <w:adjustRightInd/>
        <w:snapToGrid/>
        <w:spacing w:before="0" w:after="0" w:line="560" w:lineRule="exact"/>
        <w:ind w:firstLine="600" w:firstLineChars="200"/>
        <w:jc w:val="left"/>
        <w:textAlignment w:val="auto"/>
        <w:rPr>
          <w:rFonts w:hint="default" w:ascii="Times New Roman" w:hAnsi="Times New Roman" w:eastAsia="仿宋_GB2312" w:cs="Times New Roman"/>
          <w:b w:val="0"/>
          <w:bCs w:val="0"/>
          <w:color w:val="auto"/>
          <w:kern w:val="2"/>
          <w:sz w:val="30"/>
          <w:szCs w:val="30"/>
        </w:rPr>
      </w:pPr>
      <w:r>
        <w:rPr>
          <w:rFonts w:hint="default" w:ascii="Times New Roman" w:hAnsi="Times New Roman" w:eastAsia="仿宋_GB2312" w:cs="Times New Roman"/>
          <w:b w:val="0"/>
          <w:bCs w:val="0"/>
          <w:color w:val="auto"/>
          <w:kern w:val="2"/>
          <w:sz w:val="30"/>
          <w:szCs w:val="30"/>
        </w:rPr>
        <w:t>此项权重分</w:t>
      </w:r>
      <w:r>
        <w:rPr>
          <w:rFonts w:hint="default" w:ascii="Times New Roman" w:hAnsi="Times New Roman" w:eastAsia="仿宋_GB2312" w:cs="Times New Roman"/>
          <w:b w:val="0"/>
          <w:bCs w:val="0"/>
          <w:color w:val="auto"/>
          <w:kern w:val="2"/>
          <w:sz w:val="30"/>
          <w:szCs w:val="30"/>
          <w:lang w:val="en-US" w:eastAsia="zh-CN"/>
        </w:rPr>
        <w:t>4</w:t>
      </w:r>
      <w:r>
        <w:rPr>
          <w:rFonts w:hint="default" w:ascii="Times New Roman" w:hAnsi="Times New Roman" w:eastAsia="仿宋_GB2312" w:cs="Times New Roman"/>
          <w:b w:val="0"/>
          <w:bCs w:val="0"/>
          <w:color w:val="auto"/>
          <w:kern w:val="2"/>
          <w:sz w:val="30"/>
          <w:szCs w:val="30"/>
        </w:rPr>
        <w:t>分，得分</w:t>
      </w:r>
      <w:r>
        <w:rPr>
          <w:rFonts w:hint="default" w:ascii="Times New Roman" w:hAnsi="Times New Roman" w:eastAsia="仿宋_GB2312" w:cs="Times New Roman"/>
          <w:b w:val="0"/>
          <w:bCs w:val="0"/>
          <w:color w:val="auto"/>
          <w:kern w:val="2"/>
          <w:sz w:val="30"/>
          <w:szCs w:val="30"/>
          <w:lang w:val="en-US" w:eastAsia="zh-CN"/>
        </w:rPr>
        <w:t>4</w:t>
      </w:r>
      <w:r>
        <w:rPr>
          <w:rFonts w:hint="default" w:ascii="Times New Roman" w:hAnsi="Times New Roman" w:eastAsia="仿宋_GB2312" w:cs="Times New Roman"/>
          <w:b w:val="0"/>
          <w:bCs w:val="0"/>
          <w:color w:val="auto"/>
          <w:kern w:val="2"/>
          <w:sz w:val="30"/>
          <w:szCs w:val="30"/>
        </w:rPr>
        <w:t>分。</w:t>
      </w:r>
    </w:p>
    <w:p w14:paraId="0E75AA8A">
      <w:pPr>
        <w:keepNext w:val="0"/>
        <w:keepLines w:val="0"/>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auto"/>
          <w:sz w:val="30"/>
          <w:szCs w:val="30"/>
        </w:rPr>
      </w:pPr>
      <w:r>
        <w:rPr>
          <w:rFonts w:hint="default" w:ascii="Times New Roman" w:hAnsi="Times New Roman" w:cs="Times New Roman"/>
          <w:color w:val="auto"/>
          <w:sz w:val="30"/>
          <w:szCs w:val="30"/>
        </w:rPr>
        <w:t>3.绩效目标合理性</w:t>
      </w:r>
    </w:p>
    <w:p w14:paraId="298304F1">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auto"/>
          <w:sz w:val="30"/>
          <w:szCs w:val="30"/>
        </w:rPr>
      </w:pPr>
      <w:r>
        <w:rPr>
          <w:rFonts w:hint="default" w:ascii="Times New Roman" w:hAnsi="Times New Roman" w:cs="Times New Roman"/>
          <w:color w:val="auto"/>
          <w:sz w:val="30"/>
          <w:szCs w:val="30"/>
        </w:rPr>
        <w:t>巴音郭楞蒙古自治州2023年“三线一单”动态更新工作项目设立了项目绩效目标，根据《关于印发&lt;巴音郭楞蒙古自治州“三线一单”生态环境分区管控方案&gt;的通知》（巴政办发〔2021〕32号）</w:t>
      </w:r>
      <w:r>
        <w:rPr>
          <w:rFonts w:hint="default" w:ascii="Times New Roman" w:hAnsi="Times New Roman" w:cs="Times New Roman"/>
          <w:color w:val="auto"/>
          <w:sz w:val="30"/>
          <w:szCs w:val="30"/>
          <w:lang w:val="en-US" w:eastAsia="zh-CN"/>
        </w:rPr>
        <w:t>中动态更新</w:t>
      </w:r>
      <w:r>
        <w:rPr>
          <w:rFonts w:hint="default" w:ascii="Times New Roman" w:hAnsi="Times New Roman" w:cs="Times New Roman"/>
          <w:color w:val="auto"/>
          <w:sz w:val="30"/>
          <w:szCs w:val="30"/>
        </w:rPr>
        <w:t>要求，均按照“三线一单”编制到审查过程的要求设定，按阶段完成目标要求，绩效目标与实际工作内容具有相关性；按要求该项目已作为硬性条件完全运用于日常</w:t>
      </w:r>
      <w:r>
        <w:rPr>
          <w:rFonts w:hint="default" w:ascii="Times New Roman" w:hAnsi="Times New Roman" w:cs="Times New Roman"/>
          <w:color w:val="auto"/>
          <w:sz w:val="30"/>
          <w:szCs w:val="30"/>
          <w:lang w:val="en-US" w:eastAsia="zh-CN"/>
        </w:rPr>
        <w:t>生态环境管理</w:t>
      </w:r>
      <w:r>
        <w:rPr>
          <w:rFonts w:hint="default" w:ascii="Times New Roman" w:hAnsi="Times New Roman" w:cs="Times New Roman"/>
          <w:color w:val="auto"/>
          <w:sz w:val="30"/>
          <w:szCs w:val="30"/>
        </w:rPr>
        <w:t>工作中，同时根据满意度调查结果显示，预期产出效益和效果也均能符合正常的业绩水平，并且与预算确定的项目投资额相匹配。</w:t>
      </w:r>
    </w:p>
    <w:p w14:paraId="1FC895A4">
      <w:pPr>
        <w:pStyle w:val="2"/>
        <w:keepNext w:val="0"/>
        <w:keepLines w:val="0"/>
        <w:pageBreakBefore w:val="0"/>
        <w:kinsoku/>
        <w:wordWrap/>
        <w:overflowPunct/>
        <w:topLinePunct w:val="0"/>
        <w:autoSpaceDE/>
        <w:autoSpaceDN/>
        <w:bidi w:val="0"/>
        <w:adjustRightInd/>
        <w:snapToGrid/>
        <w:spacing w:before="0" w:after="0" w:line="560" w:lineRule="exact"/>
        <w:ind w:firstLine="600" w:firstLineChars="200"/>
        <w:jc w:val="left"/>
        <w:textAlignment w:val="auto"/>
        <w:rPr>
          <w:rFonts w:hint="default" w:ascii="Times New Roman" w:hAnsi="Times New Roman" w:cs="Times New Roman"/>
          <w:color w:val="auto"/>
          <w:sz w:val="30"/>
          <w:szCs w:val="30"/>
        </w:rPr>
      </w:pPr>
      <w:r>
        <w:rPr>
          <w:rFonts w:hint="default" w:ascii="Times New Roman" w:hAnsi="Times New Roman" w:eastAsia="仿宋_GB2312" w:cs="Times New Roman"/>
          <w:b w:val="0"/>
          <w:bCs w:val="0"/>
          <w:color w:val="auto"/>
          <w:kern w:val="2"/>
          <w:sz w:val="30"/>
          <w:szCs w:val="30"/>
        </w:rPr>
        <w:t>此项权重分</w:t>
      </w:r>
      <w:r>
        <w:rPr>
          <w:rFonts w:hint="default" w:ascii="Times New Roman" w:hAnsi="Times New Roman" w:eastAsia="仿宋_GB2312" w:cs="Times New Roman"/>
          <w:b w:val="0"/>
          <w:bCs w:val="0"/>
          <w:color w:val="auto"/>
          <w:kern w:val="2"/>
          <w:sz w:val="30"/>
          <w:szCs w:val="30"/>
          <w:lang w:val="en-US" w:eastAsia="zh-CN"/>
        </w:rPr>
        <w:t>4</w:t>
      </w:r>
      <w:r>
        <w:rPr>
          <w:rFonts w:hint="default" w:ascii="Times New Roman" w:hAnsi="Times New Roman" w:eastAsia="仿宋_GB2312" w:cs="Times New Roman"/>
          <w:b w:val="0"/>
          <w:bCs w:val="0"/>
          <w:color w:val="auto"/>
          <w:kern w:val="2"/>
          <w:sz w:val="30"/>
          <w:szCs w:val="30"/>
        </w:rPr>
        <w:t>分，得分</w:t>
      </w:r>
      <w:r>
        <w:rPr>
          <w:rFonts w:hint="default" w:ascii="Times New Roman" w:hAnsi="Times New Roman" w:eastAsia="仿宋_GB2312" w:cs="Times New Roman"/>
          <w:b w:val="0"/>
          <w:bCs w:val="0"/>
          <w:color w:val="auto"/>
          <w:kern w:val="2"/>
          <w:sz w:val="30"/>
          <w:szCs w:val="30"/>
          <w:lang w:val="en-US" w:eastAsia="zh-CN"/>
        </w:rPr>
        <w:t>4</w:t>
      </w:r>
      <w:r>
        <w:rPr>
          <w:rFonts w:hint="default" w:ascii="Times New Roman" w:hAnsi="Times New Roman" w:eastAsia="仿宋_GB2312" w:cs="Times New Roman"/>
          <w:b w:val="0"/>
          <w:bCs w:val="0"/>
          <w:color w:val="auto"/>
          <w:kern w:val="2"/>
          <w:sz w:val="30"/>
          <w:szCs w:val="30"/>
        </w:rPr>
        <w:t>分。</w:t>
      </w:r>
    </w:p>
    <w:p w14:paraId="4D1033D1">
      <w:pPr>
        <w:keepNext w:val="0"/>
        <w:keepLines w:val="0"/>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auto"/>
          <w:sz w:val="30"/>
          <w:szCs w:val="30"/>
        </w:rPr>
      </w:pPr>
      <w:r>
        <w:rPr>
          <w:rFonts w:hint="default" w:ascii="Times New Roman" w:hAnsi="Times New Roman" w:cs="Times New Roman"/>
          <w:color w:val="auto"/>
          <w:sz w:val="30"/>
          <w:szCs w:val="30"/>
        </w:rPr>
        <w:t>4.绩效指标明确性</w:t>
      </w:r>
    </w:p>
    <w:p w14:paraId="1A9FB3C3">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auto"/>
          <w:sz w:val="30"/>
          <w:szCs w:val="30"/>
        </w:rPr>
      </w:pPr>
      <w:bookmarkStart w:id="18" w:name="_Hlk68699917"/>
      <w:r>
        <w:rPr>
          <w:rFonts w:hint="default" w:ascii="Times New Roman" w:hAnsi="Times New Roman" w:cs="Times New Roman"/>
          <w:color w:val="auto"/>
          <w:sz w:val="30"/>
          <w:szCs w:val="30"/>
        </w:rPr>
        <w:t>巴音郭楞蒙古自治州2023年“三线一单”动态更新工作编制工作项目将项目绩效目标细化分解为具体的绩效指标，一级指标共</w:t>
      </w:r>
      <w:r>
        <w:rPr>
          <w:rFonts w:hint="default" w:ascii="Times New Roman" w:hAnsi="Times New Roman" w:cs="Times New Roman"/>
          <w:color w:val="auto"/>
          <w:sz w:val="30"/>
          <w:szCs w:val="30"/>
          <w:lang w:val="en-US" w:eastAsia="zh-CN"/>
        </w:rPr>
        <w:t>4</w:t>
      </w:r>
      <w:r>
        <w:rPr>
          <w:rFonts w:hint="default" w:ascii="Times New Roman" w:hAnsi="Times New Roman" w:cs="Times New Roman"/>
          <w:color w:val="auto"/>
          <w:sz w:val="30"/>
          <w:szCs w:val="30"/>
        </w:rPr>
        <w:t>条，二级指标共</w:t>
      </w:r>
      <w:r>
        <w:rPr>
          <w:rFonts w:hint="default" w:ascii="Times New Roman" w:hAnsi="Times New Roman" w:cs="Times New Roman"/>
          <w:color w:val="auto"/>
          <w:sz w:val="30"/>
          <w:szCs w:val="30"/>
          <w:lang w:val="en-US" w:eastAsia="zh-CN"/>
        </w:rPr>
        <w:t>6</w:t>
      </w:r>
      <w:r>
        <w:rPr>
          <w:rFonts w:hint="default" w:ascii="Times New Roman" w:hAnsi="Times New Roman" w:cs="Times New Roman"/>
          <w:color w:val="auto"/>
          <w:sz w:val="30"/>
          <w:szCs w:val="30"/>
        </w:rPr>
        <w:t>条，三级指标共</w:t>
      </w:r>
      <w:r>
        <w:rPr>
          <w:rFonts w:hint="default" w:ascii="Times New Roman" w:hAnsi="Times New Roman" w:cs="Times New Roman"/>
          <w:color w:val="auto"/>
          <w:sz w:val="30"/>
          <w:szCs w:val="30"/>
          <w:lang w:val="en-US" w:eastAsia="zh-CN"/>
        </w:rPr>
        <w:t>8</w:t>
      </w:r>
      <w:r>
        <w:rPr>
          <w:rFonts w:hint="default" w:ascii="Times New Roman" w:hAnsi="Times New Roman" w:cs="Times New Roman"/>
          <w:color w:val="auto"/>
          <w:sz w:val="30"/>
          <w:szCs w:val="30"/>
        </w:rPr>
        <w:t>条，其中量化指标条数共</w:t>
      </w:r>
      <w:r>
        <w:rPr>
          <w:rFonts w:hint="default" w:ascii="Times New Roman" w:hAnsi="Times New Roman" w:cs="Times New Roman"/>
          <w:color w:val="auto"/>
          <w:sz w:val="30"/>
          <w:szCs w:val="30"/>
          <w:lang w:val="en-US" w:eastAsia="zh-CN"/>
        </w:rPr>
        <w:t>7</w:t>
      </w:r>
      <w:r>
        <w:rPr>
          <w:rFonts w:hint="default" w:ascii="Times New Roman" w:hAnsi="Times New Roman" w:cs="Times New Roman"/>
          <w:color w:val="auto"/>
          <w:sz w:val="30"/>
          <w:szCs w:val="30"/>
        </w:rPr>
        <w:t>条，所有绩效指标均通过清晰、可衡量的指标值予以体现，并且做到了与项目目标任务数</w:t>
      </w:r>
      <w:r>
        <w:rPr>
          <w:rFonts w:hint="default" w:ascii="Times New Roman" w:hAnsi="Times New Roman" w:cs="Times New Roman"/>
          <w:color w:val="auto"/>
          <w:sz w:val="30"/>
          <w:szCs w:val="30"/>
          <w:lang w:eastAsia="zh-CN"/>
        </w:rPr>
        <w:t>和</w:t>
      </w:r>
      <w:r>
        <w:rPr>
          <w:rFonts w:hint="default" w:ascii="Times New Roman" w:hAnsi="Times New Roman" w:cs="Times New Roman"/>
          <w:color w:val="auto"/>
          <w:sz w:val="30"/>
          <w:szCs w:val="30"/>
        </w:rPr>
        <w:t>计划数相对应。</w:t>
      </w:r>
      <w:bookmarkEnd w:id="18"/>
    </w:p>
    <w:p w14:paraId="5A35B3FD">
      <w:pPr>
        <w:pStyle w:val="2"/>
        <w:keepNext w:val="0"/>
        <w:keepLines w:val="0"/>
        <w:pageBreakBefore w:val="0"/>
        <w:kinsoku/>
        <w:wordWrap/>
        <w:overflowPunct/>
        <w:topLinePunct w:val="0"/>
        <w:autoSpaceDE/>
        <w:autoSpaceDN/>
        <w:bidi w:val="0"/>
        <w:adjustRightInd/>
        <w:snapToGrid/>
        <w:spacing w:before="0" w:after="0" w:line="560" w:lineRule="exact"/>
        <w:ind w:firstLine="600" w:firstLineChars="200"/>
        <w:jc w:val="left"/>
        <w:textAlignment w:val="auto"/>
        <w:rPr>
          <w:rFonts w:hint="default" w:ascii="Times New Roman" w:hAnsi="Times New Roman" w:cs="Times New Roman"/>
          <w:color w:val="auto"/>
          <w:sz w:val="30"/>
          <w:szCs w:val="30"/>
        </w:rPr>
      </w:pPr>
      <w:r>
        <w:rPr>
          <w:rFonts w:hint="default" w:ascii="Times New Roman" w:hAnsi="Times New Roman" w:eastAsia="仿宋_GB2312" w:cs="Times New Roman"/>
          <w:b w:val="0"/>
          <w:bCs w:val="0"/>
          <w:color w:val="auto"/>
          <w:kern w:val="2"/>
          <w:sz w:val="30"/>
          <w:szCs w:val="30"/>
        </w:rPr>
        <w:t>此项权重分</w:t>
      </w:r>
      <w:r>
        <w:rPr>
          <w:rFonts w:hint="default" w:ascii="Times New Roman" w:hAnsi="Times New Roman" w:eastAsia="仿宋_GB2312" w:cs="Times New Roman"/>
          <w:b w:val="0"/>
          <w:bCs w:val="0"/>
          <w:color w:val="auto"/>
          <w:kern w:val="2"/>
          <w:sz w:val="30"/>
          <w:szCs w:val="30"/>
          <w:lang w:val="en-US" w:eastAsia="zh-CN"/>
        </w:rPr>
        <w:t>4</w:t>
      </w:r>
      <w:r>
        <w:rPr>
          <w:rFonts w:hint="default" w:ascii="Times New Roman" w:hAnsi="Times New Roman" w:eastAsia="仿宋_GB2312" w:cs="Times New Roman"/>
          <w:b w:val="0"/>
          <w:bCs w:val="0"/>
          <w:color w:val="auto"/>
          <w:kern w:val="2"/>
          <w:sz w:val="30"/>
          <w:szCs w:val="30"/>
        </w:rPr>
        <w:t>分，得分</w:t>
      </w:r>
      <w:r>
        <w:rPr>
          <w:rFonts w:hint="default" w:ascii="Times New Roman" w:hAnsi="Times New Roman" w:eastAsia="仿宋_GB2312" w:cs="Times New Roman"/>
          <w:b w:val="0"/>
          <w:bCs w:val="0"/>
          <w:color w:val="auto"/>
          <w:kern w:val="2"/>
          <w:sz w:val="30"/>
          <w:szCs w:val="30"/>
          <w:lang w:val="en-US" w:eastAsia="zh-CN"/>
        </w:rPr>
        <w:t>4</w:t>
      </w:r>
      <w:r>
        <w:rPr>
          <w:rFonts w:hint="default" w:ascii="Times New Roman" w:hAnsi="Times New Roman" w:eastAsia="仿宋_GB2312" w:cs="Times New Roman"/>
          <w:b w:val="0"/>
          <w:bCs w:val="0"/>
          <w:color w:val="auto"/>
          <w:kern w:val="2"/>
          <w:sz w:val="30"/>
          <w:szCs w:val="30"/>
        </w:rPr>
        <w:t>分。</w:t>
      </w:r>
    </w:p>
    <w:p w14:paraId="190A1075">
      <w:pPr>
        <w:keepNext w:val="0"/>
        <w:keepLines w:val="0"/>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auto"/>
          <w:sz w:val="30"/>
          <w:szCs w:val="30"/>
        </w:rPr>
      </w:pPr>
      <w:r>
        <w:rPr>
          <w:rFonts w:hint="default" w:ascii="Times New Roman" w:hAnsi="Times New Roman" w:cs="Times New Roman"/>
          <w:color w:val="auto"/>
          <w:sz w:val="30"/>
          <w:szCs w:val="30"/>
        </w:rPr>
        <w:t>5.预算编制科学性</w:t>
      </w:r>
    </w:p>
    <w:p w14:paraId="48FB3E39">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auto"/>
          <w:sz w:val="30"/>
          <w:szCs w:val="30"/>
        </w:rPr>
      </w:pPr>
      <w:r>
        <w:rPr>
          <w:rFonts w:hint="default" w:ascii="Times New Roman" w:hAnsi="Times New Roman" w:cs="Times New Roman"/>
          <w:color w:val="auto"/>
          <w:sz w:val="30"/>
          <w:szCs w:val="30"/>
        </w:rPr>
        <w:t>预算编制前期经过科学论证，事前评估，与国内类似州市（兵团）开展对比。</w:t>
      </w:r>
    </w:p>
    <w:p w14:paraId="3C1689A0">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auto"/>
          <w:sz w:val="30"/>
          <w:szCs w:val="30"/>
        </w:rPr>
      </w:pPr>
      <w:r>
        <w:rPr>
          <w:rFonts w:hint="default" w:ascii="Times New Roman" w:hAnsi="Times New Roman" w:cs="Times New Roman"/>
          <w:color w:val="auto"/>
          <w:sz w:val="30"/>
          <w:szCs w:val="30"/>
        </w:rPr>
        <w:t>预算均用于巴音郭楞蒙古自治州2023年“三线一单”动态更新的编制工作，其中包含文本、图集的编制以及</w:t>
      </w:r>
      <w:r>
        <w:rPr>
          <w:rFonts w:hint="default" w:ascii="Times New Roman" w:hAnsi="Times New Roman" w:cs="Times New Roman"/>
          <w:color w:val="auto"/>
          <w:sz w:val="30"/>
          <w:szCs w:val="30"/>
          <w:lang w:val="en-US" w:eastAsia="zh-CN"/>
        </w:rPr>
        <w:t>矢量数据</w:t>
      </w:r>
      <w:r>
        <w:rPr>
          <w:rFonts w:hint="default" w:ascii="Times New Roman" w:hAnsi="Times New Roman" w:cs="Times New Roman"/>
          <w:color w:val="auto"/>
          <w:sz w:val="30"/>
          <w:szCs w:val="30"/>
        </w:rPr>
        <w:t>的建立和审查，预算内容与项目内容匹配。</w:t>
      </w:r>
    </w:p>
    <w:p w14:paraId="2C66B3DC">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auto"/>
          <w:sz w:val="30"/>
          <w:szCs w:val="30"/>
        </w:rPr>
      </w:pPr>
      <w:r>
        <w:rPr>
          <w:rFonts w:hint="default" w:ascii="Times New Roman" w:hAnsi="Times New Roman" w:cs="Times New Roman"/>
          <w:color w:val="auto"/>
          <w:sz w:val="30"/>
          <w:szCs w:val="30"/>
        </w:rPr>
        <w:t>预算额度测算依据是根据生态环境部《关于实施“三线一单”生态环境分区管控的指导意见（试行）》</w:t>
      </w:r>
      <w:r>
        <w:rPr>
          <w:rFonts w:hint="default" w:ascii="Times New Roman" w:hAnsi="Times New Roman" w:cs="Times New Roman"/>
          <w:color w:val="auto"/>
          <w:sz w:val="30"/>
          <w:szCs w:val="30"/>
          <w:lang w:eastAsia="zh-CN"/>
        </w:rPr>
        <w:t>、</w:t>
      </w:r>
      <w:r>
        <w:rPr>
          <w:rFonts w:hint="default" w:ascii="Times New Roman" w:hAnsi="Times New Roman" w:cs="Times New Roman"/>
          <w:color w:val="auto"/>
          <w:sz w:val="30"/>
          <w:szCs w:val="30"/>
        </w:rPr>
        <w:t>自治区生态环境厅《关于印发2023年自治区“三线一单”生态环境分区管控成果动态更新工作方案的通知》（新环办环评〔2023〕20号）</w:t>
      </w:r>
      <w:r>
        <w:rPr>
          <w:rFonts w:hint="default" w:ascii="Times New Roman" w:hAnsi="Times New Roman" w:cs="Times New Roman"/>
          <w:color w:val="auto"/>
          <w:sz w:val="30"/>
          <w:szCs w:val="30"/>
          <w:lang w:val="en-US" w:eastAsia="zh-CN"/>
        </w:rPr>
        <w:t>和</w:t>
      </w:r>
      <w:r>
        <w:rPr>
          <w:rFonts w:hint="default" w:ascii="Times New Roman" w:hAnsi="Times New Roman" w:cs="Times New Roman"/>
          <w:color w:val="auto"/>
          <w:sz w:val="30"/>
          <w:szCs w:val="30"/>
        </w:rPr>
        <w:t>《关于印发&lt;巴音郭楞蒙古自治州“三线一单”生态环境分区管控方案&gt;的通知》（巴政办发〔2021〕32号）中需要完成的工作任务标准编制。</w:t>
      </w:r>
    </w:p>
    <w:p w14:paraId="45225455">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auto"/>
          <w:sz w:val="30"/>
          <w:szCs w:val="30"/>
        </w:rPr>
      </w:pPr>
      <w:r>
        <w:rPr>
          <w:rFonts w:hint="default" w:ascii="Times New Roman" w:hAnsi="Times New Roman" w:cs="Times New Roman"/>
          <w:color w:val="auto"/>
          <w:sz w:val="30"/>
          <w:szCs w:val="30"/>
        </w:rPr>
        <w:t>预算确定的项目投资额均按照编制工作阶段性任务的完成量设定，与实际工作任务相匹配。</w:t>
      </w:r>
    </w:p>
    <w:p w14:paraId="1CDFD610">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auto"/>
          <w:sz w:val="30"/>
          <w:szCs w:val="30"/>
        </w:rPr>
      </w:pPr>
      <w:r>
        <w:rPr>
          <w:rFonts w:hint="default" w:ascii="Times New Roman" w:hAnsi="Times New Roman" w:cs="Times New Roman"/>
          <w:color w:val="auto"/>
          <w:sz w:val="30"/>
          <w:szCs w:val="30"/>
        </w:rPr>
        <w:t>此项权重分</w:t>
      </w:r>
      <w:r>
        <w:rPr>
          <w:rFonts w:hint="default" w:ascii="Times New Roman" w:hAnsi="Times New Roman" w:cs="Times New Roman"/>
          <w:color w:val="auto"/>
          <w:sz w:val="30"/>
          <w:szCs w:val="30"/>
          <w:lang w:val="en-US" w:eastAsia="zh-CN"/>
        </w:rPr>
        <w:t>2</w:t>
      </w:r>
      <w:r>
        <w:rPr>
          <w:rFonts w:hint="default" w:ascii="Times New Roman" w:hAnsi="Times New Roman" w:cs="Times New Roman"/>
          <w:color w:val="auto"/>
          <w:sz w:val="30"/>
          <w:szCs w:val="30"/>
        </w:rPr>
        <w:t>分，得分</w:t>
      </w:r>
      <w:r>
        <w:rPr>
          <w:rFonts w:hint="default" w:ascii="Times New Roman" w:hAnsi="Times New Roman" w:cs="Times New Roman"/>
          <w:color w:val="auto"/>
          <w:sz w:val="30"/>
          <w:szCs w:val="30"/>
          <w:lang w:val="en-US" w:eastAsia="zh-CN"/>
        </w:rPr>
        <w:t>2</w:t>
      </w:r>
      <w:r>
        <w:rPr>
          <w:rFonts w:hint="default" w:ascii="Times New Roman" w:hAnsi="Times New Roman" w:cs="Times New Roman"/>
          <w:color w:val="auto"/>
          <w:sz w:val="30"/>
          <w:szCs w:val="30"/>
        </w:rPr>
        <w:t>分。</w:t>
      </w:r>
    </w:p>
    <w:p w14:paraId="56E67C0D">
      <w:pPr>
        <w:keepNext w:val="0"/>
        <w:keepLines w:val="0"/>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auto"/>
          <w:sz w:val="30"/>
          <w:szCs w:val="30"/>
        </w:rPr>
      </w:pPr>
      <w:r>
        <w:rPr>
          <w:rFonts w:hint="default" w:ascii="Times New Roman" w:hAnsi="Times New Roman" w:cs="Times New Roman"/>
          <w:color w:val="auto"/>
          <w:sz w:val="30"/>
          <w:szCs w:val="30"/>
        </w:rPr>
        <w:t>6.资金分配合理性</w:t>
      </w:r>
    </w:p>
    <w:p w14:paraId="23F30056">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auto"/>
          <w:sz w:val="30"/>
          <w:szCs w:val="30"/>
        </w:rPr>
      </w:pPr>
      <w:r>
        <w:rPr>
          <w:rFonts w:hint="default" w:ascii="Times New Roman" w:hAnsi="Times New Roman" w:cs="Times New Roman"/>
          <w:color w:val="auto"/>
          <w:sz w:val="30"/>
          <w:szCs w:val="30"/>
          <w:lang w:val="en-US" w:eastAsia="zh-CN"/>
        </w:rPr>
        <w:t>巴州2023年</w:t>
      </w:r>
      <w:r>
        <w:rPr>
          <w:rFonts w:hint="default" w:ascii="Times New Roman" w:hAnsi="Times New Roman" w:cs="Times New Roman"/>
          <w:color w:val="auto"/>
          <w:sz w:val="30"/>
          <w:szCs w:val="30"/>
          <w:lang w:eastAsia="zh-CN"/>
        </w:rPr>
        <w:t>“</w:t>
      </w:r>
      <w:r>
        <w:rPr>
          <w:rFonts w:hint="default" w:ascii="Times New Roman" w:hAnsi="Times New Roman" w:cs="Times New Roman"/>
          <w:color w:val="auto"/>
          <w:sz w:val="30"/>
          <w:szCs w:val="30"/>
          <w:lang w:val="en-US" w:eastAsia="zh-CN"/>
        </w:rPr>
        <w:t>三线一单</w:t>
      </w:r>
      <w:r>
        <w:rPr>
          <w:rFonts w:hint="default" w:ascii="Times New Roman" w:hAnsi="Times New Roman" w:cs="Times New Roman"/>
          <w:color w:val="auto"/>
          <w:sz w:val="30"/>
          <w:szCs w:val="30"/>
          <w:lang w:eastAsia="zh-CN"/>
        </w:rPr>
        <w:t>”</w:t>
      </w:r>
      <w:r>
        <w:rPr>
          <w:rFonts w:hint="default" w:ascii="Times New Roman" w:hAnsi="Times New Roman" w:cs="Times New Roman"/>
          <w:color w:val="auto"/>
          <w:sz w:val="30"/>
          <w:szCs w:val="30"/>
          <w:lang w:val="en-US" w:eastAsia="zh-CN"/>
        </w:rPr>
        <w:t>更新调整</w:t>
      </w:r>
      <w:r>
        <w:rPr>
          <w:rFonts w:hint="default" w:ascii="Times New Roman" w:hAnsi="Times New Roman" w:cs="Times New Roman"/>
          <w:color w:val="auto"/>
          <w:sz w:val="30"/>
          <w:szCs w:val="30"/>
        </w:rPr>
        <w:t>项目预算资金根据《合同》分配，预算资金分配依据充分；资金分配额度合理，与项目单位</w:t>
      </w:r>
      <w:r>
        <w:rPr>
          <w:rFonts w:hint="default" w:ascii="Times New Roman" w:hAnsi="Times New Roman" w:cs="Times New Roman"/>
          <w:color w:val="auto"/>
          <w:sz w:val="30"/>
          <w:szCs w:val="30"/>
          <w:lang w:eastAsia="zh-CN"/>
        </w:rPr>
        <w:t>和</w:t>
      </w:r>
      <w:r>
        <w:rPr>
          <w:rFonts w:hint="default" w:ascii="Times New Roman" w:hAnsi="Times New Roman" w:cs="Times New Roman"/>
          <w:color w:val="auto"/>
          <w:sz w:val="30"/>
          <w:szCs w:val="30"/>
        </w:rPr>
        <w:t>地方实际相适应。</w:t>
      </w:r>
    </w:p>
    <w:p w14:paraId="27B1E7F6">
      <w:pPr>
        <w:pStyle w:val="2"/>
        <w:keepNext w:val="0"/>
        <w:keepLines w:val="0"/>
        <w:pageBreakBefore w:val="0"/>
        <w:kinsoku/>
        <w:wordWrap/>
        <w:overflowPunct/>
        <w:topLinePunct w:val="0"/>
        <w:autoSpaceDE/>
        <w:autoSpaceDN/>
        <w:bidi w:val="0"/>
        <w:adjustRightInd/>
        <w:snapToGrid/>
        <w:spacing w:before="0" w:after="0" w:line="560" w:lineRule="exact"/>
        <w:ind w:firstLine="600" w:firstLineChars="200"/>
        <w:jc w:val="left"/>
        <w:textAlignment w:val="auto"/>
        <w:rPr>
          <w:color w:val="auto"/>
        </w:rPr>
      </w:pPr>
      <w:r>
        <w:rPr>
          <w:rFonts w:hint="default" w:ascii="Times New Roman" w:hAnsi="Times New Roman" w:eastAsia="仿宋_GB2312" w:cs="Times New Roman"/>
          <w:b w:val="0"/>
          <w:bCs w:val="0"/>
          <w:color w:val="auto"/>
          <w:kern w:val="2"/>
          <w:sz w:val="30"/>
          <w:szCs w:val="30"/>
        </w:rPr>
        <w:t>此项权重分</w:t>
      </w:r>
      <w:r>
        <w:rPr>
          <w:rFonts w:hint="default" w:ascii="Times New Roman" w:hAnsi="Times New Roman" w:eastAsia="仿宋_GB2312" w:cs="Times New Roman"/>
          <w:b w:val="0"/>
          <w:bCs w:val="0"/>
          <w:color w:val="auto"/>
          <w:kern w:val="2"/>
          <w:sz w:val="30"/>
          <w:szCs w:val="30"/>
          <w:lang w:val="en-US" w:eastAsia="zh-CN"/>
        </w:rPr>
        <w:t>2</w:t>
      </w:r>
      <w:r>
        <w:rPr>
          <w:rFonts w:hint="default" w:ascii="Times New Roman" w:hAnsi="Times New Roman" w:eastAsia="仿宋_GB2312" w:cs="Times New Roman"/>
          <w:b w:val="0"/>
          <w:bCs w:val="0"/>
          <w:color w:val="auto"/>
          <w:kern w:val="2"/>
          <w:sz w:val="30"/>
          <w:szCs w:val="30"/>
        </w:rPr>
        <w:t>分，得分</w:t>
      </w:r>
      <w:r>
        <w:rPr>
          <w:rFonts w:hint="default" w:ascii="Times New Roman" w:hAnsi="Times New Roman" w:eastAsia="仿宋_GB2312" w:cs="Times New Roman"/>
          <w:b w:val="0"/>
          <w:bCs w:val="0"/>
          <w:color w:val="auto"/>
          <w:kern w:val="2"/>
          <w:sz w:val="30"/>
          <w:szCs w:val="30"/>
          <w:lang w:val="en-US" w:eastAsia="zh-CN"/>
        </w:rPr>
        <w:t>2</w:t>
      </w:r>
      <w:r>
        <w:rPr>
          <w:rFonts w:hint="default" w:ascii="Times New Roman" w:hAnsi="Times New Roman" w:eastAsia="仿宋_GB2312" w:cs="Times New Roman"/>
          <w:b w:val="0"/>
          <w:bCs w:val="0"/>
          <w:color w:val="auto"/>
          <w:kern w:val="2"/>
          <w:sz w:val="30"/>
          <w:szCs w:val="30"/>
        </w:rPr>
        <w:t>分。</w:t>
      </w:r>
    </w:p>
    <w:p w14:paraId="17C7ED72">
      <w:pPr>
        <w:pStyle w:val="4"/>
        <w:spacing w:before="0" w:after="0" w:line="560" w:lineRule="exact"/>
        <w:ind w:firstLine="640" w:firstLineChars="200"/>
        <w:rPr>
          <w:rFonts w:ascii="仿宋_GB2312" w:eastAsia="仿宋_GB2312"/>
          <w:b w:val="0"/>
          <w:bCs w:val="0"/>
        </w:rPr>
      </w:pPr>
      <w:bookmarkStart w:id="19" w:name="_Toc68703839"/>
      <w:r>
        <w:rPr>
          <w:rFonts w:hint="eastAsia" w:ascii="仿宋_GB2312" w:eastAsia="仿宋_GB2312"/>
          <w:b w:val="0"/>
          <w:bCs w:val="0"/>
        </w:rPr>
        <w:t>（二）项目过程情况。</w:t>
      </w:r>
      <w:bookmarkEnd w:id="19"/>
    </w:p>
    <w:p w14:paraId="097939E4">
      <w:pPr>
        <w:keepNext w:val="0"/>
        <w:keepLines w:val="0"/>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auto"/>
          <w:sz w:val="30"/>
          <w:szCs w:val="30"/>
        </w:rPr>
      </w:pPr>
      <w:r>
        <w:rPr>
          <w:rFonts w:hint="default" w:ascii="Times New Roman" w:hAnsi="Times New Roman" w:cs="Times New Roman"/>
          <w:color w:val="auto"/>
          <w:sz w:val="30"/>
          <w:szCs w:val="30"/>
        </w:rPr>
        <w:t>1.资金到位率：</w:t>
      </w:r>
    </w:p>
    <w:p w14:paraId="24C92DA0">
      <w:pPr>
        <w:pStyle w:val="2"/>
        <w:keepNext w:val="0"/>
        <w:keepLines w:val="0"/>
        <w:pageBreakBefore w:val="0"/>
        <w:kinsoku/>
        <w:wordWrap/>
        <w:overflowPunct/>
        <w:topLinePunct w:val="0"/>
        <w:autoSpaceDE/>
        <w:autoSpaceDN/>
        <w:bidi w:val="0"/>
        <w:adjustRightInd/>
        <w:snapToGrid/>
        <w:spacing w:before="0" w:after="0" w:line="560" w:lineRule="exact"/>
        <w:ind w:firstLine="600" w:firstLineChars="200"/>
        <w:jc w:val="left"/>
        <w:textAlignment w:val="auto"/>
        <w:rPr>
          <w:rFonts w:hint="default" w:ascii="Times New Roman" w:hAnsi="Times New Roman" w:eastAsia="仿宋_GB2312" w:cs="Times New Roman"/>
          <w:b w:val="0"/>
          <w:bCs w:val="0"/>
          <w:color w:val="auto"/>
          <w:kern w:val="2"/>
          <w:sz w:val="30"/>
          <w:szCs w:val="30"/>
        </w:rPr>
      </w:pPr>
      <w:r>
        <w:rPr>
          <w:rFonts w:hint="default" w:ascii="Times New Roman" w:hAnsi="Times New Roman" w:eastAsia="仿宋_GB2312" w:cs="Times New Roman"/>
          <w:b w:val="0"/>
          <w:bCs w:val="0"/>
          <w:color w:val="auto"/>
          <w:kern w:val="2"/>
          <w:sz w:val="30"/>
          <w:szCs w:val="30"/>
        </w:rPr>
        <w:t>预算资金</w:t>
      </w:r>
      <w:r>
        <w:rPr>
          <w:rFonts w:hint="default" w:ascii="Times New Roman" w:hAnsi="Times New Roman" w:eastAsia="仿宋_GB2312" w:cs="Times New Roman"/>
          <w:b w:val="0"/>
          <w:bCs w:val="0"/>
          <w:color w:val="auto"/>
          <w:kern w:val="2"/>
          <w:sz w:val="30"/>
          <w:szCs w:val="30"/>
          <w:lang w:val="en-US" w:eastAsia="zh-CN"/>
        </w:rPr>
        <w:t>100</w:t>
      </w:r>
      <w:r>
        <w:rPr>
          <w:rFonts w:hint="default" w:ascii="Times New Roman" w:hAnsi="Times New Roman" w:eastAsia="仿宋_GB2312" w:cs="Times New Roman"/>
          <w:b w:val="0"/>
          <w:bCs w:val="0"/>
          <w:color w:val="auto"/>
          <w:kern w:val="2"/>
          <w:sz w:val="30"/>
          <w:szCs w:val="30"/>
        </w:rPr>
        <w:t>万元，实际到位资金</w:t>
      </w:r>
      <w:r>
        <w:rPr>
          <w:rFonts w:hint="default" w:ascii="Times New Roman" w:hAnsi="Times New Roman" w:eastAsia="仿宋_GB2312" w:cs="Times New Roman"/>
          <w:b w:val="0"/>
          <w:bCs w:val="0"/>
          <w:color w:val="auto"/>
          <w:kern w:val="2"/>
          <w:sz w:val="30"/>
          <w:szCs w:val="30"/>
          <w:lang w:val="en-US" w:eastAsia="zh-CN"/>
        </w:rPr>
        <w:t>100</w:t>
      </w:r>
      <w:r>
        <w:rPr>
          <w:rFonts w:hint="default" w:ascii="Times New Roman" w:hAnsi="Times New Roman" w:eastAsia="仿宋_GB2312" w:cs="Times New Roman"/>
          <w:b w:val="0"/>
          <w:bCs w:val="0"/>
          <w:color w:val="auto"/>
          <w:kern w:val="2"/>
          <w:sz w:val="30"/>
          <w:szCs w:val="30"/>
        </w:rPr>
        <w:t>万元，资金到位率</w:t>
      </w:r>
      <w:r>
        <w:rPr>
          <w:rFonts w:hint="default" w:ascii="Times New Roman" w:hAnsi="Times New Roman" w:eastAsia="仿宋_GB2312" w:cs="Times New Roman"/>
          <w:b w:val="0"/>
          <w:bCs w:val="0"/>
          <w:color w:val="auto"/>
          <w:kern w:val="2"/>
          <w:sz w:val="30"/>
          <w:szCs w:val="30"/>
          <w:lang w:val="en-US" w:eastAsia="zh-CN"/>
        </w:rPr>
        <w:t>100</w:t>
      </w:r>
      <w:r>
        <w:rPr>
          <w:rFonts w:hint="default" w:ascii="Times New Roman" w:hAnsi="Times New Roman" w:eastAsia="仿宋_GB2312" w:cs="Times New Roman"/>
          <w:b w:val="0"/>
          <w:bCs w:val="0"/>
          <w:color w:val="auto"/>
          <w:kern w:val="2"/>
          <w:sz w:val="30"/>
          <w:szCs w:val="30"/>
        </w:rPr>
        <w:t>%。</w:t>
      </w:r>
    </w:p>
    <w:p w14:paraId="1602966F">
      <w:pPr>
        <w:pStyle w:val="2"/>
        <w:keepNext w:val="0"/>
        <w:keepLines w:val="0"/>
        <w:pageBreakBefore w:val="0"/>
        <w:kinsoku/>
        <w:wordWrap/>
        <w:overflowPunct/>
        <w:topLinePunct w:val="0"/>
        <w:autoSpaceDE/>
        <w:autoSpaceDN/>
        <w:bidi w:val="0"/>
        <w:adjustRightInd/>
        <w:snapToGrid/>
        <w:spacing w:before="0" w:after="0" w:line="560" w:lineRule="exact"/>
        <w:ind w:firstLine="600" w:firstLineChars="200"/>
        <w:jc w:val="left"/>
        <w:textAlignment w:val="auto"/>
        <w:rPr>
          <w:rFonts w:hint="default" w:ascii="Times New Roman" w:hAnsi="Times New Roman" w:eastAsia="仿宋_GB2312" w:cs="Times New Roman"/>
          <w:b w:val="0"/>
          <w:bCs w:val="0"/>
          <w:color w:val="auto"/>
          <w:kern w:val="2"/>
          <w:sz w:val="30"/>
          <w:szCs w:val="30"/>
        </w:rPr>
      </w:pPr>
      <w:r>
        <w:rPr>
          <w:rFonts w:hint="default" w:ascii="Times New Roman" w:hAnsi="Times New Roman" w:eastAsia="仿宋_GB2312" w:cs="Times New Roman"/>
          <w:b w:val="0"/>
          <w:bCs w:val="0"/>
          <w:color w:val="auto"/>
          <w:kern w:val="2"/>
          <w:sz w:val="30"/>
          <w:szCs w:val="30"/>
        </w:rPr>
        <w:t>此项权重分</w:t>
      </w:r>
      <w:r>
        <w:rPr>
          <w:rFonts w:hint="default" w:ascii="Times New Roman" w:hAnsi="Times New Roman" w:eastAsia="仿宋_GB2312" w:cs="Times New Roman"/>
          <w:b w:val="0"/>
          <w:bCs w:val="0"/>
          <w:color w:val="auto"/>
          <w:kern w:val="2"/>
          <w:sz w:val="30"/>
          <w:szCs w:val="30"/>
          <w:lang w:val="en-US" w:eastAsia="zh-CN"/>
        </w:rPr>
        <w:t>4</w:t>
      </w:r>
      <w:r>
        <w:rPr>
          <w:rFonts w:hint="default" w:ascii="Times New Roman" w:hAnsi="Times New Roman" w:eastAsia="仿宋_GB2312" w:cs="Times New Roman"/>
          <w:b w:val="0"/>
          <w:bCs w:val="0"/>
          <w:color w:val="auto"/>
          <w:kern w:val="2"/>
          <w:sz w:val="30"/>
          <w:szCs w:val="30"/>
        </w:rPr>
        <w:t>分，得分</w:t>
      </w:r>
      <w:r>
        <w:rPr>
          <w:rFonts w:hint="default" w:ascii="Times New Roman" w:hAnsi="Times New Roman" w:eastAsia="仿宋_GB2312" w:cs="Times New Roman"/>
          <w:b w:val="0"/>
          <w:bCs w:val="0"/>
          <w:color w:val="auto"/>
          <w:kern w:val="2"/>
          <w:sz w:val="30"/>
          <w:szCs w:val="30"/>
          <w:lang w:val="en-US" w:eastAsia="zh-CN"/>
        </w:rPr>
        <w:t>4</w:t>
      </w:r>
      <w:r>
        <w:rPr>
          <w:rFonts w:hint="default" w:ascii="Times New Roman" w:hAnsi="Times New Roman" w:eastAsia="仿宋_GB2312" w:cs="Times New Roman"/>
          <w:b w:val="0"/>
          <w:bCs w:val="0"/>
          <w:color w:val="auto"/>
          <w:kern w:val="2"/>
          <w:sz w:val="30"/>
          <w:szCs w:val="30"/>
        </w:rPr>
        <w:t>分。</w:t>
      </w:r>
    </w:p>
    <w:p w14:paraId="1ABA1307">
      <w:pPr>
        <w:keepNext w:val="0"/>
        <w:keepLines w:val="0"/>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auto"/>
          <w:sz w:val="30"/>
          <w:szCs w:val="30"/>
        </w:rPr>
      </w:pPr>
      <w:r>
        <w:rPr>
          <w:rFonts w:hint="default" w:ascii="Times New Roman" w:hAnsi="Times New Roman" w:cs="Times New Roman"/>
          <w:color w:val="auto"/>
          <w:sz w:val="30"/>
          <w:szCs w:val="30"/>
        </w:rPr>
        <w:t>2.预算执行率</w:t>
      </w:r>
    </w:p>
    <w:p w14:paraId="2D3C8157">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auto"/>
          <w:sz w:val="30"/>
          <w:szCs w:val="30"/>
          <w:lang w:val="en-US" w:eastAsia="zh-CN"/>
        </w:rPr>
      </w:pPr>
      <w:r>
        <w:rPr>
          <w:rFonts w:hint="default" w:ascii="Times New Roman" w:hAnsi="Times New Roman" w:cs="Times New Roman"/>
          <w:color w:val="auto"/>
          <w:sz w:val="30"/>
          <w:szCs w:val="30"/>
          <w:lang w:val="en-US" w:eastAsia="zh-CN"/>
        </w:rPr>
        <w:t>年初预算数100万元，全年预算数100万元，全年执行数97万元，预算执行率为97%。</w:t>
      </w:r>
    </w:p>
    <w:p w14:paraId="62D1701E">
      <w:pPr>
        <w:pStyle w:val="2"/>
        <w:keepNext w:val="0"/>
        <w:keepLines w:val="0"/>
        <w:pageBreakBefore w:val="0"/>
        <w:kinsoku/>
        <w:wordWrap/>
        <w:overflowPunct/>
        <w:topLinePunct w:val="0"/>
        <w:autoSpaceDE/>
        <w:autoSpaceDN/>
        <w:bidi w:val="0"/>
        <w:adjustRightInd/>
        <w:snapToGrid/>
        <w:spacing w:before="0" w:after="0" w:line="560" w:lineRule="exact"/>
        <w:ind w:firstLine="600" w:firstLineChars="200"/>
        <w:jc w:val="left"/>
        <w:textAlignment w:val="auto"/>
        <w:rPr>
          <w:rFonts w:hint="default" w:ascii="Times New Roman" w:hAnsi="Times New Roman" w:cs="Times New Roman"/>
          <w:color w:val="auto"/>
          <w:sz w:val="30"/>
          <w:szCs w:val="30"/>
        </w:rPr>
      </w:pPr>
      <w:r>
        <w:rPr>
          <w:rFonts w:hint="default" w:ascii="Times New Roman" w:hAnsi="Times New Roman" w:eastAsia="仿宋_GB2312" w:cs="Times New Roman"/>
          <w:b w:val="0"/>
          <w:bCs w:val="0"/>
          <w:color w:val="auto"/>
          <w:kern w:val="2"/>
          <w:sz w:val="30"/>
          <w:szCs w:val="30"/>
        </w:rPr>
        <w:t>此项权重分</w:t>
      </w:r>
      <w:r>
        <w:rPr>
          <w:rFonts w:hint="default" w:ascii="Times New Roman" w:hAnsi="Times New Roman" w:eastAsia="仿宋_GB2312" w:cs="Times New Roman"/>
          <w:b w:val="0"/>
          <w:bCs w:val="0"/>
          <w:color w:val="auto"/>
          <w:kern w:val="2"/>
          <w:sz w:val="30"/>
          <w:szCs w:val="30"/>
          <w:lang w:val="en-US" w:eastAsia="zh-CN"/>
        </w:rPr>
        <w:t>4</w:t>
      </w:r>
      <w:r>
        <w:rPr>
          <w:rFonts w:hint="default" w:ascii="Times New Roman" w:hAnsi="Times New Roman" w:eastAsia="仿宋_GB2312" w:cs="Times New Roman"/>
          <w:b w:val="0"/>
          <w:bCs w:val="0"/>
          <w:color w:val="auto"/>
          <w:kern w:val="2"/>
          <w:sz w:val="30"/>
          <w:szCs w:val="30"/>
        </w:rPr>
        <w:t>分，得分</w:t>
      </w:r>
      <w:r>
        <w:rPr>
          <w:rFonts w:hint="default" w:ascii="Times New Roman" w:hAnsi="Times New Roman" w:eastAsia="仿宋_GB2312" w:cs="Times New Roman"/>
          <w:b w:val="0"/>
          <w:bCs w:val="0"/>
          <w:color w:val="auto"/>
          <w:kern w:val="2"/>
          <w:sz w:val="30"/>
          <w:szCs w:val="30"/>
          <w:lang w:val="en-US" w:eastAsia="zh-CN"/>
        </w:rPr>
        <w:t>3.88</w:t>
      </w:r>
      <w:r>
        <w:rPr>
          <w:rFonts w:hint="default" w:ascii="Times New Roman" w:hAnsi="Times New Roman" w:eastAsia="仿宋_GB2312" w:cs="Times New Roman"/>
          <w:b w:val="0"/>
          <w:bCs w:val="0"/>
          <w:color w:val="auto"/>
          <w:kern w:val="2"/>
          <w:sz w:val="30"/>
          <w:szCs w:val="30"/>
        </w:rPr>
        <w:t>分。</w:t>
      </w:r>
    </w:p>
    <w:p w14:paraId="0F404B6C">
      <w:pPr>
        <w:keepNext w:val="0"/>
        <w:keepLines w:val="0"/>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auto"/>
          <w:sz w:val="30"/>
          <w:szCs w:val="30"/>
        </w:rPr>
      </w:pPr>
      <w:r>
        <w:rPr>
          <w:rFonts w:hint="default" w:ascii="Times New Roman" w:hAnsi="Times New Roman" w:cs="Times New Roman"/>
          <w:color w:val="auto"/>
          <w:sz w:val="30"/>
          <w:szCs w:val="30"/>
        </w:rPr>
        <w:t>3.资金使用合规性</w:t>
      </w:r>
    </w:p>
    <w:p w14:paraId="5C7F5695">
      <w:pPr>
        <w:pStyle w:val="2"/>
        <w:keepNext w:val="0"/>
        <w:keepLines w:val="0"/>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default" w:ascii="Times New Roman" w:hAnsi="Times New Roman" w:eastAsia="仿宋_GB2312" w:cs="Times New Roman"/>
          <w:color w:val="auto"/>
          <w:sz w:val="30"/>
          <w:szCs w:val="30"/>
        </w:rPr>
      </w:pPr>
      <w:r>
        <w:rPr>
          <w:rFonts w:hint="default" w:ascii="Times New Roman" w:hAnsi="Times New Roman" w:eastAsia="仿宋_GB2312" w:cs="Times New Roman"/>
          <w:b w:val="0"/>
          <w:bCs w:val="0"/>
          <w:color w:val="auto"/>
          <w:kern w:val="2"/>
          <w:sz w:val="30"/>
          <w:szCs w:val="30"/>
        </w:rPr>
        <w:t>项目严格按照预期绩效目标执行预算资金。制定了</w:t>
      </w:r>
      <w:r>
        <w:rPr>
          <w:rFonts w:hint="default" w:ascii="Times New Roman" w:hAnsi="Times New Roman" w:eastAsia="仿宋_GB2312" w:cs="Times New Roman"/>
          <w:b w:val="0"/>
          <w:bCs w:val="0"/>
          <w:color w:val="auto"/>
          <w:sz w:val="30"/>
          <w:szCs w:val="30"/>
        </w:rPr>
        <w:t>《巴州</w:t>
      </w:r>
      <w:r>
        <w:rPr>
          <w:rFonts w:hint="default" w:ascii="Times New Roman" w:hAnsi="Times New Roman" w:eastAsia="仿宋_GB2312" w:cs="Times New Roman"/>
          <w:b w:val="0"/>
          <w:bCs w:val="0"/>
          <w:color w:val="auto"/>
          <w:sz w:val="30"/>
          <w:szCs w:val="30"/>
          <w:lang w:val="en-US" w:eastAsia="zh-CN"/>
        </w:rPr>
        <w:t>生态环境局</w:t>
      </w:r>
      <w:r>
        <w:rPr>
          <w:rFonts w:hint="default" w:ascii="Times New Roman" w:hAnsi="Times New Roman" w:eastAsia="仿宋_GB2312" w:cs="Times New Roman"/>
          <w:b w:val="0"/>
          <w:bCs w:val="0"/>
          <w:color w:val="auto"/>
          <w:sz w:val="30"/>
          <w:szCs w:val="30"/>
        </w:rPr>
        <w:t>财务管理制度》、《巴州</w:t>
      </w:r>
      <w:r>
        <w:rPr>
          <w:rFonts w:hint="default" w:ascii="Times New Roman" w:hAnsi="Times New Roman" w:eastAsia="仿宋_GB2312" w:cs="Times New Roman"/>
          <w:b w:val="0"/>
          <w:bCs w:val="0"/>
          <w:color w:val="auto"/>
          <w:sz w:val="30"/>
          <w:szCs w:val="30"/>
          <w:lang w:val="en-US" w:eastAsia="zh-CN"/>
        </w:rPr>
        <w:t>生态环境局</w:t>
      </w:r>
      <w:r>
        <w:rPr>
          <w:rFonts w:hint="default" w:ascii="Times New Roman" w:hAnsi="Times New Roman" w:eastAsia="仿宋_GB2312" w:cs="Times New Roman"/>
          <w:b w:val="0"/>
          <w:bCs w:val="0"/>
          <w:color w:val="auto"/>
          <w:sz w:val="30"/>
          <w:szCs w:val="30"/>
        </w:rPr>
        <w:t>预算绩效管理实施办法（试行）》</w:t>
      </w:r>
      <w:r>
        <w:rPr>
          <w:rFonts w:hint="default" w:ascii="Times New Roman" w:hAnsi="Times New Roman" w:eastAsia="仿宋_GB2312" w:cs="Times New Roman"/>
          <w:b w:val="0"/>
          <w:bCs w:val="0"/>
          <w:color w:val="auto"/>
          <w:kern w:val="2"/>
          <w:sz w:val="30"/>
          <w:szCs w:val="30"/>
        </w:rPr>
        <w:t>，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44AEEF60">
      <w:pPr>
        <w:pStyle w:val="2"/>
        <w:keepNext w:val="0"/>
        <w:keepLines w:val="0"/>
        <w:pageBreakBefore w:val="0"/>
        <w:kinsoku/>
        <w:wordWrap/>
        <w:overflowPunct/>
        <w:topLinePunct w:val="0"/>
        <w:autoSpaceDE/>
        <w:autoSpaceDN/>
        <w:bidi w:val="0"/>
        <w:adjustRightInd/>
        <w:snapToGrid/>
        <w:spacing w:before="0" w:after="0" w:line="560" w:lineRule="exact"/>
        <w:ind w:firstLine="600" w:firstLineChars="200"/>
        <w:jc w:val="left"/>
        <w:textAlignment w:val="auto"/>
        <w:rPr>
          <w:rFonts w:hint="default" w:ascii="Times New Roman" w:hAnsi="Times New Roman" w:cs="Times New Roman"/>
          <w:color w:val="auto"/>
          <w:sz w:val="30"/>
          <w:szCs w:val="30"/>
        </w:rPr>
      </w:pPr>
      <w:r>
        <w:rPr>
          <w:rFonts w:hint="default" w:ascii="Times New Roman" w:hAnsi="Times New Roman" w:eastAsia="仿宋_GB2312" w:cs="Times New Roman"/>
          <w:b w:val="0"/>
          <w:bCs w:val="0"/>
          <w:color w:val="auto"/>
          <w:kern w:val="2"/>
          <w:sz w:val="30"/>
          <w:szCs w:val="30"/>
        </w:rPr>
        <w:t>此项权重分</w:t>
      </w:r>
      <w:r>
        <w:rPr>
          <w:rFonts w:hint="default" w:ascii="Times New Roman" w:hAnsi="Times New Roman" w:eastAsia="仿宋_GB2312" w:cs="Times New Roman"/>
          <w:b w:val="0"/>
          <w:bCs w:val="0"/>
          <w:color w:val="auto"/>
          <w:kern w:val="2"/>
          <w:sz w:val="30"/>
          <w:szCs w:val="30"/>
          <w:lang w:val="en-US" w:eastAsia="zh-CN"/>
        </w:rPr>
        <w:t>4</w:t>
      </w:r>
      <w:r>
        <w:rPr>
          <w:rFonts w:hint="default" w:ascii="Times New Roman" w:hAnsi="Times New Roman" w:eastAsia="仿宋_GB2312" w:cs="Times New Roman"/>
          <w:b w:val="0"/>
          <w:bCs w:val="0"/>
          <w:color w:val="auto"/>
          <w:kern w:val="2"/>
          <w:sz w:val="30"/>
          <w:szCs w:val="30"/>
        </w:rPr>
        <w:t>分，得分</w:t>
      </w:r>
      <w:r>
        <w:rPr>
          <w:rFonts w:hint="default" w:ascii="Times New Roman" w:hAnsi="Times New Roman" w:eastAsia="仿宋_GB2312" w:cs="Times New Roman"/>
          <w:b w:val="0"/>
          <w:bCs w:val="0"/>
          <w:color w:val="auto"/>
          <w:kern w:val="2"/>
          <w:sz w:val="30"/>
          <w:szCs w:val="30"/>
          <w:lang w:val="en-US" w:eastAsia="zh-CN"/>
        </w:rPr>
        <w:t>4</w:t>
      </w:r>
      <w:r>
        <w:rPr>
          <w:rFonts w:hint="default" w:ascii="Times New Roman" w:hAnsi="Times New Roman" w:eastAsia="仿宋_GB2312" w:cs="Times New Roman"/>
          <w:b w:val="0"/>
          <w:bCs w:val="0"/>
          <w:color w:val="auto"/>
          <w:kern w:val="2"/>
          <w:sz w:val="30"/>
          <w:szCs w:val="30"/>
        </w:rPr>
        <w:t>分。</w:t>
      </w:r>
    </w:p>
    <w:p w14:paraId="7C78680B">
      <w:pPr>
        <w:keepNext w:val="0"/>
        <w:keepLines w:val="0"/>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auto"/>
          <w:sz w:val="30"/>
          <w:szCs w:val="30"/>
        </w:rPr>
      </w:pPr>
      <w:r>
        <w:rPr>
          <w:rFonts w:hint="default" w:ascii="Times New Roman" w:hAnsi="Times New Roman" w:cs="Times New Roman"/>
          <w:color w:val="auto"/>
          <w:sz w:val="30"/>
          <w:szCs w:val="30"/>
        </w:rPr>
        <w:t>4.管理制度健全性</w:t>
      </w:r>
    </w:p>
    <w:p w14:paraId="3D00C9A2">
      <w:pPr>
        <w:pStyle w:val="2"/>
        <w:keepNext w:val="0"/>
        <w:keepLines w:val="0"/>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default" w:ascii="Times New Roman" w:hAnsi="Times New Roman" w:eastAsia="仿宋_GB2312" w:cs="Times New Roman"/>
          <w:color w:val="auto"/>
          <w:sz w:val="30"/>
          <w:szCs w:val="30"/>
        </w:rPr>
      </w:pPr>
      <w:r>
        <w:rPr>
          <w:rFonts w:hint="default" w:ascii="Times New Roman" w:hAnsi="Times New Roman" w:eastAsia="仿宋_GB2312" w:cs="Times New Roman"/>
          <w:b w:val="0"/>
          <w:bCs w:val="0"/>
          <w:color w:val="auto"/>
          <w:sz w:val="30"/>
          <w:szCs w:val="30"/>
        </w:rPr>
        <w:t>制定了相关管理办法，包括《巴州</w:t>
      </w:r>
      <w:r>
        <w:rPr>
          <w:rFonts w:hint="default" w:ascii="Times New Roman" w:hAnsi="Times New Roman" w:eastAsia="仿宋_GB2312" w:cs="Times New Roman"/>
          <w:b w:val="0"/>
          <w:bCs w:val="0"/>
          <w:color w:val="auto"/>
          <w:sz w:val="30"/>
          <w:szCs w:val="30"/>
          <w:lang w:val="en-US" w:eastAsia="zh-CN"/>
        </w:rPr>
        <w:t>生态环境局</w:t>
      </w:r>
      <w:r>
        <w:rPr>
          <w:rFonts w:hint="default" w:ascii="Times New Roman" w:hAnsi="Times New Roman" w:eastAsia="仿宋_GB2312" w:cs="Times New Roman"/>
          <w:b w:val="0"/>
          <w:bCs w:val="0"/>
          <w:color w:val="auto"/>
          <w:sz w:val="30"/>
          <w:szCs w:val="30"/>
        </w:rPr>
        <w:t>财务管理制度》、《巴州</w:t>
      </w:r>
      <w:r>
        <w:rPr>
          <w:rFonts w:hint="default" w:ascii="Times New Roman" w:hAnsi="Times New Roman" w:eastAsia="仿宋_GB2312" w:cs="Times New Roman"/>
          <w:b w:val="0"/>
          <w:bCs w:val="0"/>
          <w:color w:val="auto"/>
          <w:sz w:val="30"/>
          <w:szCs w:val="30"/>
          <w:lang w:val="en-US" w:eastAsia="zh-CN"/>
        </w:rPr>
        <w:t>生态环境局</w:t>
      </w:r>
      <w:r>
        <w:rPr>
          <w:rFonts w:hint="default" w:ascii="Times New Roman" w:hAnsi="Times New Roman" w:eastAsia="仿宋_GB2312" w:cs="Times New Roman"/>
          <w:b w:val="0"/>
          <w:bCs w:val="0"/>
          <w:color w:val="auto"/>
          <w:sz w:val="30"/>
          <w:szCs w:val="30"/>
        </w:rPr>
        <w:t>预算绩效管理实施办法（试行）》等，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20091D52">
      <w:pPr>
        <w:pStyle w:val="2"/>
        <w:keepNext w:val="0"/>
        <w:keepLines w:val="0"/>
        <w:pageBreakBefore w:val="0"/>
        <w:kinsoku/>
        <w:wordWrap/>
        <w:overflowPunct/>
        <w:topLinePunct w:val="0"/>
        <w:autoSpaceDE/>
        <w:autoSpaceDN/>
        <w:bidi w:val="0"/>
        <w:adjustRightInd/>
        <w:snapToGrid/>
        <w:spacing w:before="0" w:after="0" w:line="560" w:lineRule="exact"/>
        <w:ind w:firstLine="600" w:firstLineChars="200"/>
        <w:jc w:val="left"/>
        <w:textAlignment w:val="auto"/>
        <w:rPr>
          <w:rFonts w:hint="default" w:ascii="Times New Roman" w:hAnsi="Times New Roman" w:cs="Times New Roman"/>
          <w:color w:val="auto"/>
          <w:sz w:val="30"/>
          <w:szCs w:val="30"/>
        </w:rPr>
      </w:pPr>
      <w:r>
        <w:rPr>
          <w:rFonts w:hint="default" w:ascii="Times New Roman" w:hAnsi="Times New Roman" w:eastAsia="仿宋_GB2312" w:cs="Times New Roman"/>
          <w:b w:val="0"/>
          <w:bCs w:val="0"/>
          <w:color w:val="auto"/>
          <w:kern w:val="2"/>
          <w:sz w:val="30"/>
          <w:szCs w:val="30"/>
        </w:rPr>
        <w:t>此项权重分</w:t>
      </w:r>
      <w:r>
        <w:rPr>
          <w:rFonts w:hint="default" w:ascii="Times New Roman" w:hAnsi="Times New Roman" w:eastAsia="仿宋_GB2312" w:cs="Times New Roman"/>
          <w:b w:val="0"/>
          <w:bCs w:val="0"/>
          <w:color w:val="auto"/>
          <w:kern w:val="2"/>
          <w:sz w:val="30"/>
          <w:szCs w:val="30"/>
          <w:lang w:val="en-US" w:eastAsia="zh-CN"/>
        </w:rPr>
        <w:t>4</w:t>
      </w:r>
      <w:r>
        <w:rPr>
          <w:rFonts w:hint="default" w:ascii="Times New Roman" w:hAnsi="Times New Roman" w:eastAsia="仿宋_GB2312" w:cs="Times New Roman"/>
          <w:b w:val="0"/>
          <w:bCs w:val="0"/>
          <w:color w:val="auto"/>
          <w:kern w:val="2"/>
          <w:sz w:val="30"/>
          <w:szCs w:val="30"/>
        </w:rPr>
        <w:t>分，得分</w:t>
      </w:r>
      <w:r>
        <w:rPr>
          <w:rFonts w:hint="default" w:ascii="Times New Roman" w:hAnsi="Times New Roman" w:eastAsia="仿宋_GB2312" w:cs="Times New Roman"/>
          <w:b w:val="0"/>
          <w:bCs w:val="0"/>
          <w:color w:val="auto"/>
          <w:kern w:val="2"/>
          <w:sz w:val="30"/>
          <w:szCs w:val="30"/>
          <w:lang w:val="en-US" w:eastAsia="zh-CN"/>
        </w:rPr>
        <w:t>4</w:t>
      </w:r>
      <w:r>
        <w:rPr>
          <w:rFonts w:hint="default" w:ascii="Times New Roman" w:hAnsi="Times New Roman" w:eastAsia="仿宋_GB2312" w:cs="Times New Roman"/>
          <w:b w:val="0"/>
          <w:bCs w:val="0"/>
          <w:color w:val="auto"/>
          <w:kern w:val="2"/>
          <w:sz w:val="30"/>
          <w:szCs w:val="30"/>
        </w:rPr>
        <w:t>分。</w:t>
      </w:r>
    </w:p>
    <w:p w14:paraId="26A83DEE">
      <w:pPr>
        <w:keepNext w:val="0"/>
        <w:keepLines w:val="0"/>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auto"/>
          <w:sz w:val="30"/>
          <w:szCs w:val="30"/>
        </w:rPr>
      </w:pPr>
      <w:r>
        <w:rPr>
          <w:rFonts w:hint="default" w:ascii="Times New Roman" w:hAnsi="Times New Roman" w:cs="Times New Roman"/>
          <w:color w:val="auto"/>
          <w:sz w:val="30"/>
          <w:szCs w:val="30"/>
        </w:rPr>
        <w:t>5.制度执行有效性</w:t>
      </w:r>
    </w:p>
    <w:p w14:paraId="05D5D38C">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auto"/>
          <w:sz w:val="30"/>
          <w:szCs w:val="30"/>
        </w:rPr>
      </w:pPr>
      <w:r>
        <w:rPr>
          <w:rFonts w:hint="default" w:ascii="Times New Roman" w:hAnsi="Times New Roman" w:cs="Times New Roman"/>
          <w:color w:val="auto"/>
          <w:kern w:val="0"/>
          <w:sz w:val="30"/>
          <w:szCs w:val="30"/>
          <w:lang w:eastAsia="zh-CN"/>
        </w:rPr>
        <w:t>“</w:t>
      </w:r>
      <w:r>
        <w:rPr>
          <w:rFonts w:hint="default" w:ascii="Times New Roman" w:hAnsi="Times New Roman" w:cs="Times New Roman"/>
          <w:color w:val="auto"/>
          <w:kern w:val="0"/>
          <w:sz w:val="30"/>
          <w:szCs w:val="30"/>
          <w:lang w:val="en-US" w:eastAsia="zh-CN"/>
        </w:rPr>
        <w:t>三线一单</w:t>
      </w:r>
      <w:r>
        <w:rPr>
          <w:rFonts w:hint="default" w:ascii="Times New Roman" w:hAnsi="Times New Roman" w:cs="Times New Roman"/>
          <w:color w:val="auto"/>
          <w:kern w:val="0"/>
          <w:sz w:val="30"/>
          <w:szCs w:val="30"/>
          <w:lang w:eastAsia="zh-CN"/>
        </w:rPr>
        <w:t>”</w:t>
      </w:r>
      <w:r>
        <w:rPr>
          <w:rFonts w:hint="default" w:ascii="Times New Roman" w:hAnsi="Times New Roman" w:cs="Times New Roman"/>
          <w:color w:val="auto"/>
          <w:kern w:val="0"/>
          <w:sz w:val="30"/>
          <w:szCs w:val="30"/>
          <w:lang w:val="en-US" w:eastAsia="zh-CN"/>
        </w:rPr>
        <w:t>动态更新</w:t>
      </w:r>
      <w:r>
        <w:rPr>
          <w:rFonts w:hint="default" w:ascii="Times New Roman" w:hAnsi="Times New Roman" w:cs="Times New Roman"/>
          <w:color w:val="auto"/>
          <w:kern w:val="0"/>
          <w:sz w:val="30"/>
          <w:szCs w:val="30"/>
        </w:rPr>
        <w:t>项目</w:t>
      </w:r>
      <w:r>
        <w:rPr>
          <w:rFonts w:hint="default" w:ascii="Times New Roman" w:hAnsi="Times New Roman" w:cs="Times New Roman"/>
          <w:color w:val="auto"/>
          <w:sz w:val="30"/>
          <w:szCs w:val="30"/>
        </w:rPr>
        <w:t>遵守相关法律法规和相关管理规定；</w:t>
      </w:r>
      <w:r>
        <w:rPr>
          <w:rFonts w:hint="default" w:ascii="Times New Roman" w:hAnsi="Times New Roman" w:cs="Times New Roman"/>
          <w:color w:val="auto"/>
          <w:sz w:val="30"/>
          <w:szCs w:val="30"/>
          <w:lang w:eastAsia="zh-CN"/>
        </w:rPr>
        <w:t>项目调整及支出调整手续完备；</w:t>
      </w:r>
      <w:r>
        <w:rPr>
          <w:rFonts w:hint="default" w:ascii="Times New Roman" w:hAnsi="Times New Roman" w:cs="Times New Roman"/>
          <w:color w:val="auto"/>
          <w:sz w:val="30"/>
          <w:szCs w:val="30"/>
        </w:rPr>
        <w:t>项目合同书等资料已及时归档；项目实施的人员条件、场地设备、信息支撑等已落实到位。</w:t>
      </w:r>
    </w:p>
    <w:p w14:paraId="63EACCF5">
      <w:pPr>
        <w:pStyle w:val="2"/>
        <w:keepNext w:val="0"/>
        <w:keepLines w:val="0"/>
        <w:pageBreakBefore w:val="0"/>
        <w:kinsoku/>
        <w:wordWrap/>
        <w:overflowPunct/>
        <w:topLinePunct w:val="0"/>
        <w:autoSpaceDE/>
        <w:autoSpaceDN/>
        <w:bidi w:val="0"/>
        <w:adjustRightInd/>
        <w:snapToGrid/>
        <w:spacing w:before="0" w:after="0" w:line="560" w:lineRule="exact"/>
        <w:ind w:firstLine="600" w:firstLineChars="200"/>
        <w:jc w:val="left"/>
        <w:textAlignment w:val="auto"/>
        <w:rPr>
          <w:color w:val="auto"/>
        </w:rPr>
      </w:pPr>
      <w:r>
        <w:rPr>
          <w:rFonts w:hint="default" w:ascii="Times New Roman" w:hAnsi="Times New Roman" w:eastAsia="仿宋_GB2312" w:cs="Times New Roman"/>
          <w:b w:val="0"/>
          <w:bCs w:val="0"/>
          <w:color w:val="auto"/>
          <w:kern w:val="2"/>
          <w:sz w:val="30"/>
          <w:szCs w:val="30"/>
        </w:rPr>
        <w:t>此项权重分</w:t>
      </w:r>
      <w:r>
        <w:rPr>
          <w:rFonts w:hint="default" w:ascii="Times New Roman" w:hAnsi="Times New Roman" w:eastAsia="仿宋_GB2312" w:cs="Times New Roman"/>
          <w:b w:val="0"/>
          <w:bCs w:val="0"/>
          <w:color w:val="auto"/>
          <w:kern w:val="2"/>
          <w:sz w:val="30"/>
          <w:szCs w:val="30"/>
          <w:lang w:val="en-US" w:eastAsia="zh-CN"/>
        </w:rPr>
        <w:t>4</w:t>
      </w:r>
      <w:r>
        <w:rPr>
          <w:rFonts w:hint="default" w:ascii="Times New Roman" w:hAnsi="Times New Roman" w:eastAsia="仿宋_GB2312" w:cs="Times New Roman"/>
          <w:b w:val="0"/>
          <w:bCs w:val="0"/>
          <w:color w:val="auto"/>
          <w:kern w:val="2"/>
          <w:sz w:val="30"/>
          <w:szCs w:val="30"/>
        </w:rPr>
        <w:t>分，得分</w:t>
      </w:r>
      <w:r>
        <w:rPr>
          <w:rFonts w:hint="default" w:ascii="Times New Roman" w:hAnsi="Times New Roman" w:eastAsia="仿宋_GB2312" w:cs="Times New Roman"/>
          <w:b w:val="0"/>
          <w:bCs w:val="0"/>
          <w:color w:val="auto"/>
          <w:kern w:val="2"/>
          <w:sz w:val="30"/>
          <w:szCs w:val="30"/>
          <w:lang w:val="en-US" w:eastAsia="zh-CN"/>
        </w:rPr>
        <w:t>4</w:t>
      </w:r>
      <w:r>
        <w:rPr>
          <w:rFonts w:hint="default" w:ascii="Times New Roman" w:hAnsi="Times New Roman" w:eastAsia="仿宋_GB2312" w:cs="Times New Roman"/>
          <w:b w:val="0"/>
          <w:bCs w:val="0"/>
          <w:color w:val="auto"/>
          <w:kern w:val="2"/>
          <w:sz w:val="30"/>
          <w:szCs w:val="30"/>
        </w:rPr>
        <w:t>分。</w:t>
      </w:r>
    </w:p>
    <w:p w14:paraId="6AE78549">
      <w:pPr>
        <w:pStyle w:val="4"/>
        <w:spacing w:before="0" w:after="0" w:line="560" w:lineRule="exact"/>
        <w:ind w:firstLine="640" w:firstLineChars="200"/>
        <w:rPr>
          <w:rFonts w:hint="eastAsia" w:ascii="仿宋_GB2312" w:eastAsia="仿宋_GB2312"/>
          <w:b w:val="0"/>
          <w:bCs w:val="0"/>
        </w:rPr>
      </w:pPr>
      <w:bookmarkStart w:id="20" w:name="_Toc68703840"/>
      <w:r>
        <w:rPr>
          <w:rFonts w:hint="eastAsia" w:ascii="仿宋_GB2312" w:eastAsia="仿宋_GB2312"/>
          <w:b w:val="0"/>
          <w:bCs w:val="0"/>
        </w:rPr>
        <w:t>（三）项目产出情况。</w:t>
      </w:r>
      <w:bookmarkEnd w:id="20"/>
    </w:p>
    <w:p w14:paraId="283DF6FE">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auto"/>
          <w:sz w:val="30"/>
          <w:szCs w:val="30"/>
        </w:rPr>
      </w:pPr>
      <w:r>
        <w:rPr>
          <w:rFonts w:hint="eastAsia" w:ascii="Times New Roman" w:hAnsi="Times New Roman" w:cs="Times New Roman"/>
          <w:color w:val="auto"/>
          <w:sz w:val="30"/>
          <w:szCs w:val="30"/>
          <w:lang w:val="en-US" w:eastAsia="zh-CN"/>
        </w:rPr>
        <w:t>1.</w:t>
      </w:r>
      <w:r>
        <w:rPr>
          <w:rFonts w:hint="default" w:ascii="Times New Roman" w:hAnsi="Times New Roman" w:cs="Times New Roman"/>
          <w:color w:val="auto"/>
          <w:sz w:val="30"/>
          <w:szCs w:val="30"/>
        </w:rPr>
        <w:t>数量指标完成情况：“三线一单”生态环境分区管控成果</w:t>
      </w:r>
      <w:r>
        <w:rPr>
          <w:rFonts w:hint="default" w:ascii="Times New Roman" w:hAnsi="Times New Roman" w:cs="Times New Roman"/>
          <w:color w:val="auto"/>
          <w:sz w:val="30"/>
          <w:szCs w:val="30"/>
          <w:lang w:val="en-US" w:eastAsia="zh-CN"/>
        </w:rPr>
        <w:t>更新</w:t>
      </w:r>
      <w:r>
        <w:rPr>
          <w:rFonts w:hint="default" w:ascii="Times New Roman" w:hAnsi="Times New Roman" w:cs="Times New Roman"/>
          <w:color w:val="auto"/>
          <w:sz w:val="30"/>
          <w:szCs w:val="30"/>
        </w:rPr>
        <w:t>，指标值：</w:t>
      </w:r>
      <w:r>
        <w:rPr>
          <w:rFonts w:hint="default" w:ascii="Times New Roman" w:hAnsi="Times New Roman" w:cs="Times New Roman"/>
          <w:color w:val="auto"/>
          <w:sz w:val="30"/>
          <w:szCs w:val="30"/>
          <w:lang w:val="en-US" w:eastAsia="zh-CN"/>
        </w:rPr>
        <w:t>=1册</w:t>
      </w:r>
      <w:r>
        <w:rPr>
          <w:rFonts w:hint="default" w:ascii="Times New Roman" w:hAnsi="Times New Roman" w:cs="Times New Roman"/>
          <w:color w:val="auto"/>
          <w:sz w:val="30"/>
          <w:szCs w:val="30"/>
        </w:rPr>
        <w:t>，实际完成值</w:t>
      </w:r>
      <w:r>
        <w:rPr>
          <w:rFonts w:hint="default" w:ascii="Times New Roman" w:hAnsi="Times New Roman" w:cs="Times New Roman"/>
          <w:color w:val="auto"/>
          <w:sz w:val="30"/>
          <w:szCs w:val="30"/>
          <w:lang w:val="en-US" w:eastAsia="zh-CN"/>
        </w:rPr>
        <w:t>1册</w:t>
      </w:r>
      <w:r>
        <w:rPr>
          <w:rFonts w:hint="default" w:ascii="Times New Roman" w:hAnsi="Times New Roman" w:cs="Times New Roman"/>
          <w:color w:val="auto"/>
          <w:sz w:val="30"/>
          <w:szCs w:val="30"/>
        </w:rPr>
        <w:t>，指标完成率</w:t>
      </w:r>
      <w:r>
        <w:rPr>
          <w:rFonts w:hint="default" w:ascii="Times New Roman" w:hAnsi="Times New Roman" w:cs="Times New Roman"/>
          <w:color w:val="auto"/>
          <w:sz w:val="30"/>
          <w:szCs w:val="30"/>
          <w:lang w:val="en-US" w:eastAsia="zh-CN"/>
        </w:rPr>
        <w:t>100</w:t>
      </w:r>
      <w:r>
        <w:rPr>
          <w:rFonts w:hint="default" w:ascii="Times New Roman" w:hAnsi="Times New Roman" w:cs="Times New Roman"/>
          <w:color w:val="auto"/>
          <w:sz w:val="30"/>
          <w:szCs w:val="30"/>
        </w:rPr>
        <w:t>%</w:t>
      </w:r>
      <w:r>
        <w:rPr>
          <w:rFonts w:hint="default" w:ascii="Times New Roman" w:hAnsi="Times New Roman" w:cs="Times New Roman"/>
          <w:color w:val="auto"/>
          <w:sz w:val="30"/>
          <w:szCs w:val="30"/>
          <w:lang w:eastAsia="zh-CN"/>
        </w:rPr>
        <w:t>。</w:t>
      </w:r>
    </w:p>
    <w:p w14:paraId="4FC27021">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auto"/>
          <w:sz w:val="30"/>
          <w:szCs w:val="30"/>
        </w:rPr>
      </w:pPr>
      <w:r>
        <w:rPr>
          <w:rFonts w:hint="default" w:ascii="Times New Roman" w:hAnsi="Times New Roman" w:cs="Times New Roman"/>
          <w:color w:val="auto"/>
          <w:sz w:val="30"/>
          <w:szCs w:val="30"/>
        </w:rPr>
        <w:t>此项权重分</w:t>
      </w:r>
      <w:r>
        <w:rPr>
          <w:rFonts w:hint="default" w:ascii="Times New Roman" w:hAnsi="Times New Roman" w:cs="Times New Roman"/>
          <w:color w:val="auto"/>
          <w:sz w:val="30"/>
          <w:szCs w:val="30"/>
          <w:lang w:val="en-US" w:eastAsia="zh-CN"/>
        </w:rPr>
        <w:t>10</w:t>
      </w:r>
      <w:r>
        <w:rPr>
          <w:rFonts w:hint="default" w:ascii="Times New Roman" w:hAnsi="Times New Roman" w:cs="Times New Roman"/>
          <w:color w:val="auto"/>
          <w:sz w:val="30"/>
          <w:szCs w:val="30"/>
        </w:rPr>
        <w:t>分，得分</w:t>
      </w:r>
      <w:r>
        <w:rPr>
          <w:rFonts w:hint="default" w:ascii="Times New Roman" w:hAnsi="Times New Roman" w:cs="Times New Roman"/>
          <w:color w:val="auto"/>
          <w:sz w:val="30"/>
          <w:szCs w:val="30"/>
          <w:lang w:val="en-US" w:eastAsia="zh-CN"/>
        </w:rPr>
        <w:t>10</w:t>
      </w:r>
      <w:r>
        <w:rPr>
          <w:rFonts w:hint="default" w:ascii="Times New Roman" w:hAnsi="Times New Roman" w:cs="Times New Roman"/>
          <w:color w:val="auto"/>
          <w:sz w:val="30"/>
          <w:szCs w:val="30"/>
        </w:rPr>
        <w:t>分。</w:t>
      </w:r>
    </w:p>
    <w:p w14:paraId="3EEE87E4">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auto"/>
          <w:sz w:val="30"/>
          <w:szCs w:val="30"/>
        </w:rPr>
      </w:pPr>
      <w:r>
        <w:rPr>
          <w:rFonts w:hint="eastAsia" w:ascii="Times New Roman" w:hAnsi="Times New Roman" w:cs="Times New Roman"/>
          <w:color w:val="auto"/>
          <w:sz w:val="30"/>
          <w:szCs w:val="30"/>
          <w:lang w:val="en-US" w:eastAsia="zh-CN"/>
        </w:rPr>
        <w:t>2.</w:t>
      </w:r>
      <w:r>
        <w:rPr>
          <w:rFonts w:hint="default" w:ascii="Times New Roman" w:hAnsi="Times New Roman" w:cs="Times New Roman"/>
          <w:color w:val="auto"/>
          <w:sz w:val="30"/>
          <w:szCs w:val="30"/>
        </w:rPr>
        <w:t>质量指标完成情况：“三线一单”生态环境分区管控成果服务合同履约率，指标值：</w:t>
      </w:r>
      <w:r>
        <w:rPr>
          <w:rFonts w:hint="default" w:ascii="Times New Roman" w:hAnsi="Times New Roman" w:cs="Times New Roman"/>
          <w:color w:val="auto"/>
          <w:sz w:val="30"/>
          <w:szCs w:val="30"/>
          <w:lang w:eastAsia="zh-CN"/>
        </w:rPr>
        <w:t>＞＝</w:t>
      </w:r>
      <w:r>
        <w:rPr>
          <w:rFonts w:hint="default" w:ascii="Times New Roman" w:hAnsi="Times New Roman" w:cs="Times New Roman"/>
          <w:color w:val="auto"/>
          <w:sz w:val="30"/>
          <w:szCs w:val="30"/>
          <w:lang w:val="en-US" w:eastAsia="zh-CN"/>
        </w:rPr>
        <w:t>95</w:t>
      </w:r>
      <w:r>
        <w:rPr>
          <w:rFonts w:hint="default" w:ascii="Times New Roman" w:hAnsi="Times New Roman" w:cs="Times New Roman"/>
          <w:color w:val="auto"/>
          <w:sz w:val="30"/>
          <w:szCs w:val="30"/>
        </w:rPr>
        <w:t>%，实际完成值</w:t>
      </w:r>
      <w:r>
        <w:rPr>
          <w:rFonts w:hint="default" w:ascii="Times New Roman" w:hAnsi="Times New Roman" w:cs="Times New Roman"/>
          <w:color w:val="auto"/>
          <w:sz w:val="30"/>
          <w:szCs w:val="30"/>
          <w:lang w:val="en-US" w:eastAsia="zh-CN"/>
        </w:rPr>
        <w:t>95</w:t>
      </w:r>
      <w:r>
        <w:rPr>
          <w:rFonts w:hint="default" w:ascii="Times New Roman" w:hAnsi="Times New Roman" w:cs="Times New Roman"/>
          <w:color w:val="auto"/>
          <w:sz w:val="30"/>
          <w:szCs w:val="30"/>
        </w:rPr>
        <w:t>%，指标完成率</w:t>
      </w:r>
      <w:r>
        <w:rPr>
          <w:rFonts w:hint="default" w:ascii="Times New Roman" w:hAnsi="Times New Roman" w:cs="Times New Roman"/>
          <w:color w:val="auto"/>
          <w:sz w:val="30"/>
          <w:szCs w:val="30"/>
          <w:lang w:val="en-US" w:eastAsia="zh-CN"/>
        </w:rPr>
        <w:t>100</w:t>
      </w:r>
      <w:r>
        <w:rPr>
          <w:rFonts w:hint="default" w:ascii="Times New Roman" w:hAnsi="Times New Roman" w:cs="Times New Roman"/>
          <w:color w:val="auto"/>
          <w:sz w:val="30"/>
          <w:szCs w:val="30"/>
        </w:rPr>
        <w:t>%。</w:t>
      </w:r>
    </w:p>
    <w:p w14:paraId="0B3B78EB">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auto"/>
          <w:sz w:val="30"/>
          <w:szCs w:val="30"/>
        </w:rPr>
      </w:pPr>
      <w:r>
        <w:rPr>
          <w:rFonts w:hint="default" w:ascii="Times New Roman" w:hAnsi="Times New Roman" w:cs="Times New Roman"/>
          <w:color w:val="auto"/>
          <w:sz w:val="30"/>
          <w:szCs w:val="30"/>
        </w:rPr>
        <w:t>此项权重分</w:t>
      </w:r>
      <w:r>
        <w:rPr>
          <w:rFonts w:hint="default" w:ascii="Times New Roman" w:hAnsi="Times New Roman" w:cs="Times New Roman"/>
          <w:color w:val="auto"/>
          <w:sz w:val="30"/>
          <w:szCs w:val="30"/>
          <w:lang w:val="en-US" w:eastAsia="zh-CN"/>
        </w:rPr>
        <w:t>10</w:t>
      </w:r>
      <w:r>
        <w:rPr>
          <w:rFonts w:hint="default" w:ascii="Times New Roman" w:hAnsi="Times New Roman" w:cs="Times New Roman"/>
          <w:color w:val="auto"/>
          <w:sz w:val="30"/>
          <w:szCs w:val="30"/>
        </w:rPr>
        <w:t>分，得分</w:t>
      </w:r>
      <w:r>
        <w:rPr>
          <w:rFonts w:hint="default" w:ascii="Times New Roman" w:hAnsi="Times New Roman" w:cs="Times New Roman"/>
          <w:color w:val="auto"/>
          <w:sz w:val="30"/>
          <w:szCs w:val="30"/>
          <w:lang w:val="en-US" w:eastAsia="zh-CN"/>
        </w:rPr>
        <w:t>10</w:t>
      </w:r>
      <w:r>
        <w:rPr>
          <w:rFonts w:hint="default" w:ascii="Times New Roman" w:hAnsi="Times New Roman" w:cs="Times New Roman"/>
          <w:color w:val="auto"/>
          <w:sz w:val="30"/>
          <w:szCs w:val="30"/>
        </w:rPr>
        <w:t>分。</w:t>
      </w:r>
    </w:p>
    <w:p w14:paraId="2A380DBB">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auto"/>
          <w:sz w:val="30"/>
          <w:szCs w:val="30"/>
        </w:rPr>
      </w:pPr>
      <w:r>
        <w:rPr>
          <w:rFonts w:hint="eastAsia" w:ascii="Times New Roman" w:hAnsi="Times New Roman" w:cs="Times New Roman"/>
          <w:color w:val="auto"/>
          <w:sz w:val="30"/>
          <w:szCs w:val="30"/>
          <w:lang w:val="en-US" w:eastAsia="zh-CN"/>
        </w:rPr>
        <w:t>3.</w:t>
      </w:r>
      <w:r>
        <w:rPr>
          <w:rFonts w:hint="default" w:ascii="Times New Roman" w:hAnsi="Times New Roman" w:cs="Times New Roman"/>
          <w:color w:val="auto"/>
          <w:sz w:val="30"/>
          <w:szCs w:val="30"/>
        </w:rPr>
        <w:t>时效指标完成情况：“三线一单”生态环境分区管控成果</w:t>
      </w:r>
      <w:r>
        <w:rPr>
          <w:rFonts w:hint="default" w:ascii="Times New Roman" w:hAnsi="Times New Roman" w:cs="Times New Roman"/>
          <w:color w:val="auto"/>
          <w:sz w:val="30"/>
          <w:szCs w:val="30"/>
          <w:lang w:val="en-US" w:eastAsia="zh-CN"/>
        </w:rPr>
        <w:t>完成及时率</w:t>
      </w:r>
      <w:r>
        <w:rPr>
          <w:rFonts w:hint="default" w:ascii="Times New Roman" w:hAnsi="Times New Roman" w:cs="Times New Roman"/>
          <w:color w:val="auto"/>
          <w:sz w:val="30"/>
          <w:szCs w:val="30"/>
        </w:rPr>
        <w:t>，指标值：</w:t>
      </w:r>
      <w:r>
        <w:rPr>
          <w:rFonts w:hint="default" w:ascii="Times New Roman" w:hAnsi="Times New Roman" w:cs="Times New Roman"/>
          <w:color w:val="auto"/>
          <w:sz w:val="30"/>
          <w:szCs w:val="30"/>
          <w:lang w:val="en-US" w:eastAsia="zh-CN"/>
        </w:rPr>
        <w:t>=100</w:t>
      </w:r>
      <w:r>
        <w:rPr>
          <w:rFonts w:hint="default" w:ascii="Times New Roman" w:hAnsi="Times New Roman" w:cs="Times New Roman"/>
          <w:color w:val="auto"/>
          <w:sz w:val="30"/>
          <w:szCs w:val="30"/>
        </w:rPr>
        <w:t>%，实际完成值</w:t>
      </w:r>
      <w:r>
        <w:rPr>
          <w:rFonts w:hint="default" w:ascii="Times New Roman" w:hAnsi="Times New Roman" w:cs="Times New Roman"/>
          <w:color w:val="auto"/>
          <w:sz w:val="30"/>
          <w:szCs w:val="30"/>
          <w:lang w:val="en-US" w:eastAsia="zh-CN"/>
        </w:rPr>
        <w:t>100</w:t>
      </w:r>
      <w:r>
        <w:rPr>
          <w:rFonts w:hint="default" w:ascii="Times New Roman" w:hAnsi="Times New Roman" w:cs="Times New Roman"/>
          <w:color w:val="auto"/>
          <w:sz w:val="30"/>
          <w:szCs w:val="30"/>
        </w:rPr>
        <w:t>%，指标完成率</w:t>
      </w:r>
      <w:r>
        <w:rPr>
          <w:rFonts w:hint="default" w:ascii="Times New Roman" w:hAnsi="Times New Roman" w:cs="Times New Roman"/>
          <w:color w:val="auto"/>
          <w:sz w:val="30"/>
          <w:szCs w:val="30"/>
          <w:lang w:val="en-US" w:eastAsia="zh-CN"/>
        </w:rPr>
        <w:t>100</w:t>
      </w:r>
      <w:r>
        <w:rPr>
          <w:rFonts w:hint="default" w:ascii="Times New Roman" w:hAnsi="Times New Roman" w:cs="Times New Roman"/>
          <w:color w:val="auto"/>
          <w:sz w:val="30"/>
          <w:szCs w:val="30"/>
        </w:rPr>
        <w:t>%。</w:t>
      </w:r>
    </w:p>
    <w:p w14:paraId="427F6E74">
      <w:pPr>
        <w:pStyle w:val="2"/>
        <w:keepNext w:val="0"/>
        <w:keepLines w:val="0"/>
        <w:pageBreakBefore w:val="0"/>
        <w:kinsoku/>
        <w:wordWrap/>
        <w:overflowPunct/>
        <w:topLinePunct w:val="0"/>
        <w:autoSpaceDE/>
        <w:autoSpaceDN/>
        <w:bidi w:val="0"/>
        <w:adjustRightInd/>
        <w:snapToGrid/>
        <w:spacing w:before="0" w:after="0" w:line="560" w:lineRule="exact"/>
        <w:ind w:firstLine="600" w:firstLineChars="200"/>
        <w:jc w:val="left"/>
        <w:textAlignment w:val="auto"/>
        <w:rPr>
          <w:rFonts w:hint="default" w:ascii="Times New Roman" w:hAnsi="Times New Roman" w:cs="Times New Roman"/>
          <w:color w:val="auto"/>
          <w:sz w:val="30"/>
          <w:szCs w:val="30"/>
        </w:rPr>
      </w:pPr>
      <w:r>
        <w:rPr>
          <w:rFonts w:hint="default" w:ascii="Times New Roman" w:hAnsi="Times New Roman" w:eastAsia="仿宋_GB2312" w:cs="Times New Roman"/>
          <w:b w:val="0"/>
          <w:bCs w:val="0"/>
          <w:color w:val="auto"/>
          <w:kern w:val="2"/>
          <w:sz w:val="30"/>
          <w:szCs w:val="30"/>
        </w:rPr>
        <w:t>此项权重分</w:t>
      </w:r>
      <w:r>
        <w:rPr>
          <w:rFonts w:hint="default" w:ascii="Times New Roman" w:hAnsi="Times New Roman" w:eastAsia="仿宋_GB2312" w:cs="Times New Roman"/>
          <w:b w:val="0"/>
          <w:bCs w:val="0"/>
          <w:color w:val="auto"/>
          <w:kern w:val="2"/>
          <w:sz w:val="30"/>
          <w:szCs w:val="30"/>
          <w:lang w:val="en-US" w:eastAsia="zh-CN"/>
        </w:rPr>
        <w:t>10</w:t>
      </w:r>
      <w:r>
        <w:rPr>
          <w:rFonts w:hint="default" w:ascii="Times New Roman" w:hAnsi="Times New Roman" w:eastAsia="仿宋_GB2312" w:cs="Times New Roman"/>
          <w:b w:val="0"/>
          <w:bCs w:val="0"/>
          <w:color w:val="auto"/>
          <w:kern w:val="2"/>
          <w:sz w:val="30"/>
          <w:szCs w:val="30"/>
        </w:rPr>
        <w:t>分，得分</w:t>
      </w:r>
      <w:r>
        <w:rPr>
          <w:rFonts w:hint="default" w:ascii="Times New Roman" w:hAnsi="Times New Roman" w:eastAsia="仿宋_GB2312" w:cs="Times New Roman"/>
          <w:b w:val="0"/>
          <w:bCs w:val="0"/>
          <w:color w:val="auto"/>
          <w:kern w:val="2"/>
          <w:sz w:val="30"/>
          <w:szCs w:val="30"/>
          <w:lang w:val="en-US" w:eastAsia="zh-CN"/>
        </w:rPr>
        <w:t>10</w:t>
      </w:r>
      <w:r>
        <w:rPr>
          <w:rFonts w:hint="default" w:ascii="Times New Roman" w:hAnsi="Times New Roman" w:eastAsia="仿宋_GB2312" w:cs="Times New Roman"/>
          <w:b w:val="0"/>
          <w:bCs w:val="0"/>
          <w:color w:val="auto"/>
          <w:kern w:val="2"/>
          <w:sz w:val="30"/>
          <w:szCs w:val="30"/>
        </w:rPr>
        <w:t>分。</w:t>
      </w:r>
    </w:p>
    <w:p w14:paraId="49F8CB13">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auto"/>
          <w:sz w:val="30"/>
          <w:szCs w:val="30"/>
          <w:lang w:eastAsia="zh-CN"/>
        </w:rPr>
      </w:pPr>
      <w:r>
        <w:rPr>
          <w:rFonts w:hint="default" w:ascii="Times New Roman" w:hAnsi="Times New Roman" w:cs="Times New Roman"/>
          <w:color w:val="auto"/>
          <w:sz w:val="30"/>
          <w:szCs w:val="30"/>
        </w:rPr>
        <w:t>4.经济成本指标完成情况：更新“三线一单”生态环境分区管控成果第一阶段支付成本，指标值：</w:t>
      </w:r>
      <w:r>
        <w:rPr>
          <w:rFonts w:hint="eastAsia" w:ascii="Times New Roman" w:hAnsi="Times New Roman" w:cs="Times New Roman"/>
          <w:color w:val="auto"/>
          <w:sz w:val="30"/>
          <w:szCs w:val="30"/>
          <w:lang w:eastAsia="zh-CN"/>
        </w:rPr>
        <w:t>＜＝</w:t>
      </w:r>
      <w:r>
        <w:rPr>
          <w:rFonts w:hint="default" w:ascii="Times New Roman" w:hAnsi="Times New Roman" w:cs="Times New Roman"/>
          <w:color w:val="auto"/>
          <w:sz w:val="30"/>
          <w:szCs w:val="30"/>
        </w:rPr>
        <w:t>50万元</w:t>
      </w:r>
      <w:r>
        <w:rPr>
          <w:rFonts w:hint="default" w:ascii="Times New Roman" w:hAnsi="Times New Roman" w:cs="Times New Roman"/>
          <w:color w:val="auto"/>
          <w:sz w:val="30"/>
          <w:szCs w:val="30"/>
          <w:lang w:eastAsia="zh-CN"/>
        </w:rPr>
        <w:t>，</w:t>
      </w:r>
      <w:r>
        <w:rPr>
          <w:rFonts w:hint="default" w:ascii="Times New Roman" w:hAnsi="Times New Roman" w:cs="Times New Roman"/>
          <w:color w:val="auto"/>
          <w:sz w:val="30"/>
          <w:szCs w:val="30"/>
          <w:lang w:val="en-US" w:eastAsia="zh-CN"/>
        </w:rPr>
        <w:t>实际完成值48.5万元，</w:t>
      </w:r>
      <w:r>
        <w:rPr>
          <w:rFonts w:hint="default" w:ascii="Times New Roman" w:hAnsi="Times New Roman" w:cs="Times New Roman"/>
          <w:color w:val="auto"/>
          <w:sz w:val="30"/>
          <w:szCs w:val="30"/>
        </w:rPr>
        <w:t>指标完成率</w:t>
      </w:r>
      <w:r>
        <w:rPr>
          <w:rFonts w:hint="default" w:ascii="Times New Roman" w:hAnsi="Times New Roman" w:cs="Times New Roman"/>
          <w:color w:val="auto"/>
          <w:sz w:val="30"/>
          <w:szCs w:val="30"/>
          <w:lang w:val="en-US" w:eastAsia="zh-CN"/>
        </w:rPr>
        <w:t>97</w:t>
      </w:r>
      <w:r>
        <w:rPr>
          <w:rFonts w:hint="default" w:ascii="Times New Roman" w:hAnsi="Times New Roman" w:cs="Times New Roman"/>
          <w:color w:val="auto"/>
          <w:sz w:val="30"/>
          <w:szCs w:val="30"/>
        </w:rPr>
        <w:t>%</w:t>
      </w:r>
      <w:r>
        <w:rPr>
          <w:rFonts w:hint="default" w:ascii="Times New Roman" w:hAnsi="Times New Roman" w:cs="Times New Roman"/>
          <w:color w:val="auto"/>
          <w:sz w:val="30"/>
          <w:szCs w:val="30"/>
          <w:lang w:eastAsia="zh-CN"/>
        </w:rPr>
        <w:t>；</w:t>
      </w:r>
      <w:r>
        <w:rPr>
          <w:rFonts w:hint="default" w:ascii="Times New Roman" w:hAnsi="Times New Roman" w:cs="Times New Roman"/>
          <w:color w:val="auto"/>
          <w:sz w:val="30"/>
          <w:szCs w:val="30"/>
        </w:rPr>
        <w:t>更新“三线一单”生态环境分区管控成果第</w:t>
      </w:r>
      <w:r>
        <w:rPr>
          <w:rFonts w:hint="default" w:ascii="Times New Roman" w:hAnsi="Times New Roman" w:cs="Times New Roman"/>
          <w:color w:val="auto"/>
          <w:sz w:val="30"/>
          <w:szCs w:val="30"/>
          <w:lang w:val="en-US" w:eastAsia="zh-CN"/>
        </w:rPr>
        <w:t>二</w:t>
      </w:r>
      <w:r>
        <w:rPr>
          <w:rFonts w:hint="default" w:ascii="Times New Roman" w:hAnsi="Times New Roman" w:cs="Times New Roman"/>
          <w:color w:val="auto"/>
          <w:sz w:val="30"/>
          <w:szCs w:val="30"/>
        </w:rPr>
        <w:t>阶段支付成本，指标值：</w:t>
      </w:r>
      <w:r>
        <w:rPr>
          <w:rFonts w:hint="eastAsia" w:ascii="Times New Roman" w:hAnsi="Times New Roman" w:cs="Times New Roman"/>
          <w:color w:val="auto"/>
          <w:sz w:val="30"/>
          <w:szCs w:val="30"/>
          <w:lang w:eastAsia="zh-CN"/>
        </w:rPr>
        <w:t>＜＝</w:t>
      </w:r>
      <w:r>
        <w:rPr>
          <w:rFonts w:hint="default" w:ascii="Times New Roman" w:hAnsi="Times New Roman" w:cs="Times New Roman"/>
          <w:color w:val="auto"/>
          <w:sz w:val="30"/>
          <w:szCs w:val="30"/>
        </w:rPr>
        <w:t>50万元</w:t>
      </w:r>
      <w:r>
        <w:rPr>
          <w:rFonts w:hint="default" w:ascii="Times New Roman" w:hAnsi="Times New Roman" w:cs="Times New Roman"/>
          <w:color w:val="auto"/>
          <w:sz w:val="30"/>
          <w:szCs w:val="30"/>
          <w:lang w:eastAsia="zh-CN"/>
        </w:rPr>
        <w:t>，</w:t>
      </w:r>
      <w:r>
        <w:rPr>
          <w:rFonts w:hint="default" w:ascii="Times New Roman" w:hAnsi="Times New Roman" w:cs="Times New Roman"/>
          <w:color w:val="auto"/>
          <w:sz w:val="30"/>
          <w:szCs w:val="30"/>
          <w:lang w:val="en-US" w:eastAsia="zh-CN"/>
        </w:rPr>
        <w:t>实际完成值48.5万元，</w:t>
      </w:r>
      <w:r>
        <w:rPr>
          <w:rFonts w:hint="default" w:ascii="Times New Roman" w:hAnsi="Times New Roman" w:cs="Times New Roman"/>
          <w:color w:val="auto"/>
          <w:sz w:val="30"/>
          <w:szCs w:val="30"/>
        </w:rPr>
        <w:t>指标完成率</w:t>
      </w:r>
      <w:r>
        <w:rPr>
          <w:rFonts w:hint="default" w:ascii="Times New Roman" w:hAnsi="Times New Roman" w:cs="Times New Roman"/>
          <w:color w:val="auto"/>
          <w:sz w:val="30"/>
          <w:szCs w:val="30"/>
          <w:lang w:val="en-US" w:eastAsia="zh-CN"/>
        </w:rPr>
        <w:t>97</w:t>
      </w:r>
      <w:r>
        <w:rPr>
          <w:rFonts w:hint="default" w:ascii="Times New Roman" w:hAnsi="Times New Roman" w:cs="Times New Roman"/>
          <w:color w:val="auto"/>
          <w:sz w:val="30"/>
          <w:szCs w:val="30"/>
        </w:rPr>
        <w:t>%</w:t>
      </w:r>
      <w:r>
        <w:rPr>
          <w:rFonts w:hint="default" w:ascii="Times New Roman" w:hAnsi="Times New Roman" w:cs="Times New Roman"/>
          <w:color w:val="auto"/>
          <w:sz w:val="30"/>
          <w:szCs w:val="30"/>
          <w:lang w:eastAsia="zh-CN"/>
        </w:rPr>
        <w:t>。</w:t>
      </w:r>
    </w:p>
    <w:p w14:paraId="20D9F528">
      <w:pPr>
        <w:pStyle w:val="2"/>
        <w:keepNext w:val="0"/>
        <w:keepLines w:val="0"/>
        <w:pageBreakBefore w:val="0"/>
        <w:kinsoku/>
        <w:wordWrap/>
        <w:overflowPunct/>
        <w:topLinePunct w:val="0"/>
        <w:autoSpaceDE/>
        <w:autoSpaceDN/>
        <w:bidi w:val="0"/>
        <w:adjustRightInd/>
        <w:snapToGrid/>
        <w:spacing w:before="0" w:after="0" w:line="560" w:lineRule="exact"/>
        <w:ind w:firstLine="600" w:firstLineChars="200"/>
        <w:jc w:val="left"/>
        <w:textAlignment w:val="auto"/>
        <w:rPr>
          <w:color w:val="auto"/>
        </w:rPr>
      </w:pPr>
      <w:r>
        <w:rPr>
          <w:rFonts w:hint="default" w:ascii="Times New Roman" w:hAnsi="Times New Roman" w:eastAsia="仿宋_GB2312" w:cs="Times New Roman"/>
          <w:b w:val="0"/>
          <w:bCs w:val="0"/>
          <w:color w:val="auto"/>
          <w:kern w:val="2"/>
          <w:sz w:val="30"/>
          <w:szCs w:val="30"/>
        </w:rPr>
        <w:t>此项权重分</w:t>
      </w:r>
      <w:r>
        <w:rPr>
          <w:rFonts w:hint="default" w:ascii="Times New Roman" w:hAnsi="Times New Roman" w:eastAsia="仿宋_GB2312" w:cs="Times New Roman"/>
          <w:b w:val="0"/>
          <w:bCs w:val="0"/>
          <w:color w:val="auto"/>
          <w:kern w:val="2"/>
          <w:sz w:val="30"/>
          <w:szCs w:val="30"/>
          <w:lang w:val="en-US" w:eastAsia="zh-CN"/>
        </w:rPr>
        <w:t>10</w:t>
      </w:r>
      <w:r>
        <w:rPr>
          <w:rFonts w:hint="default" w:ascii="Times New Roman" w:hAnsi="Times New Roman" w:eastAsia="仿宋_GB2312" w:cs="Times New Roman"/>
          <w:b w:val="0"/>
          <w:bCs w:val="0"/>
          <w:color w:val="auto"/>
          <w:kern w:val="2"/>
          <w:sz w:val="30"/>
          <w:szCs w:val="30"/>
        </w:rPr>
        <w:t>分，得分</w:t>
      </w:r>
      <w:r>
        <w:rPr>
          <w:rFonts w:hint="default" w:ascii="Times New Roman" w:hAnsi="Times New Roman" w:eastAsia="仿宋_GB2312" w:cs="Times New Roman"/>
          <w:b w:val="0"/>
          <w:bCs w:val="0"/>
          <w:color w:val="auto"/>
          <w:kern w:val="2"/>
          <w:sz w:val="30"/>
          <w:szCs w:val="30"/>
          <w:lang w:val="en-US" w:eastAsia="zh-CN"/>
        </w:rPr>
        <w:t>9.7</w:t>
      </w:r>
      <w:r>
        <w:rPr>
          <w:rFonts w:hint="default" w:ascii="Times New Roman" w:hAnsi="Times New Roman" w:eastAsia="仿宋_GB2312" w:cs="Times New Roman"/>
          <w:b w:val="0"/>
          <w:bCs w:val="0"/>
          <w:color w:val="auto"/>
          <w:kern w:val="2"/>
          <w:sz w:val="30"/>
          <w:szCs w:val="30"/>
        </w:rPr>
        <w:t>分。</w:t>
      </w:r>
    </w:p>
    <w:p w14:paraId="13F2F4E7">
      <w:pPr>
        <w:pStyle w:val="4"/>
        <w:spacing w:before="0" w:after="0" w:line="560" w:lineRule="exact"/>
        <w:ind w:firstLine="640" w:firstLineChars="200"/>
        <w:rPr>
          <w:rFonts w:ascii="仿宋_GB2312" w:eastAsia="仿宋_GB2312"/>
          <w:b w:val="0"/>
          <w:bCs w:val="0"/>
        </w:rPr>
      </w:pPr>
      <w:bookmarkStart w:id="21" w:name="_Toc68703841"/>
      <w:r>
        <w:rPr>
          <w:rFonts w:hint="eastAsia" w:ascii="仿宋_GB2312" w:eastAsia="仿宋_GB2312"/>
          <w:b w:val="0"/>
          <w:bCs w:val="0"/>
        </w:rPr>
        <w:t>（四）项目效益情况。</w:t>
      </w:r>
      <w:bookmarkEnd w:id="21"/>
    </w:p>
    <w:p w14:paraId="1F2447A0">
      <w:pPr>
        <w:spacing w:line="560" w:lineRule="exact"/>
        <w:ind w:firstLine="600" w:firstLineChars="200"/>
        <w:rPr>
          <w:rFonts w:hint="eastAsia"/>
          <w:lang w:eastAsia="zh-CN"/>
        </w:rPr>
      </w:pPr>
      <w:r>
        <w:rPr>
          <w:rFonts w:hint="eastAsia"/>
          <w:lang w:val="en-US" w:eastAsia="zh-CN"/>
        </w:rPr>
        <w:t>1</w:t>
      </w:r>
      <w:r>
        <w:rPr>
          <w:rFonts w:hint="eastAsia"/>
        </w:rPr>
        <w:t>.社会效益指标完成情况：</w:t>
      </w:r>
      <w:r>
        <w:rPr>
          <w:rFonts w:hint="eastAsia"/>
          <w:lang w:val="en-US" w:eastAsia="zh-CN"/>
        </w:rPr>
        <w:t>指标1：</w:t>
      </w:r>
      <w:r>
        <w:rPr>
          <w:rFonts w:hint="eastAsia"/>
        </w:rPr>
        <w:t>“三线一单”生态环境分区管控动态更新成果使用率</w:t>
      </w:r>
      <w:r>
        <w:rPr>
          <w:rFonts w:hint="eastAsia"/>
          <w:color w:val="auto"/>
        </w:rPr>
        <w:t>，指标值：</w:t>
      </w:r>
      <w:r>
        <w:rPr>
          <w:rFonts w:hint="eastAsia"/>
          <w:color w:val="auto"/>
          <w:lang w:val="en-US" w:eastAsia="zh-CN"/>
        </w:rPr>
        <w:t>=</w:t>
      </w:r>
      <w:r>
        <w:rPr>
          <w:rFonts w:hint="eastAsia"/>
        </w:rPr>
        <w:t>100%</w:t>
      </w:r>
      <w:r>
        <w:rPr>
          <w:rFonts w:hint="eastAsia"/>
          <w:lang w:eastAsia="zh-CN"/>
        </w:rPr>
        <w:t>，</w:t>
      </w:r>
      <w:r>
        <w:rPr>
          <w:rFonts w:hint="eastAsia"/>
          <w:lang w:val="en-US" w:eastAsia="zh-CN"/>
        </w:rPr>
        <w:t>实际完成值</w:t>
      </w:r>
      <w:r>
        <w:rPr>
          <w:rFonts w:hint="eastAsia"/>
        </w:rPr>
        <w:t>100%</w:t>
      </w:r>
      <w:r>
        <w:rPr>
          <w:rFonts w:hint="eastAsia"/>
          <w:lang w:eastAsia="zh-CN"/>
        </w:rPr>
        <w:t>，</w:t>
      </w:r>
      <w:r>
        <w:rPr>
          <w:rFonts w:hint="eastAsia"/>
        </w:rPr>
        <w:t>指标完成率</w:t>
      </w:r>
      <w:r>
        <w:rPr>
          <w:rFonts w:hint="eastAsia"/>
          <w:lang w:val="en-US" w:eastAsia="zh-CN"/>
        </w:rPr>
        <w:t>100</w:t>
      </w:r>
      <w:r>
        <w:rPr>
          <w:rFonts w:hint="eastAsia"/>
        </w:rPr>
        <w:t>%</w:t>
      </w:r>
      <w:r>
        <w:rPr>
          <w:rFonts w:hint="eastAsia"/>
          <w:lang w:eastAsia="zh-CN"/>
        </w:rPr>
        <w:t>；</w:t>
      </w:r>
      <w:r>
        <w:rPr>
          <w:rFonts w:hint="eastAsia"/>
          <w:lang w:val="en-US" w:eastAsia="zh-CN"/>
        </w:rPr>
        <w:t>指标2：</w:t>
      </w:r>
      <w:r>
        <w:rPr>
          <w:rFonts w:hint="eastAsia"/>
        </w:rPr>
        <w:t>环境影响评价管理水平</w:t>
      </w:r>
      <w:r>
        <w:rPr>
          <w:rFonts w:hint="eastAsia"/>
          <w:color w:val="auto"/>
        </w:rPr>
        <w:t>，指标值：</w:t>
      </w:r>
      <w:r>
        <w:rPr>
          <w:rFonts w:hint="eastAsia"/>
          <w:lang w:val="en-US" w:eastAsia="zh-CN"/>
        </w:rPr>
        <w:t>有所提高，实际完成值达成目标，</w:t>
      </w:r>
      <w:r>
        <w:rPr>
          <w:rFonts w:hint="eastAsia"/>
        </w:rPr>
        <w:t>指标完成率</w:t>
      </w:r>
      <w:r>
        <w:rPr>
          <w:rFonts w:hint="eastAsia"/>
          <w:lang w:val="en-US" w:eastAsia="zh-CN"/>
        </w:rPr>
        <w:t>100</w:t>
      </w:r>
      <w:r>
        <w:rPr>
          <w:rFonts w:hint="eastAsia"/>
        </w:rPr>
        <w:t>%</w:t>
      </w:r>
      <w:r>
        <w:rPr>
          <w:rFonts w:hint="eastAsia"/>
          <w:lang w:eastAsia="zh-CN"/>
        </w:rPr>
        <w:t>。</w:t>
      </w:r>
    </w:p>
    <w:p w14:paraId="10C7EF63">
      <w:pPr>
        <w:pStyle w:val="2"/>
        <w:keepNext w:val="0"/>
        <w:keepLines w:val="0"/>
        <w:pageBreakBefore w:val="0"/>
        <w:widowControl/>
        <w:kinsoku/>
        <w:wordWrap/>
        <w:overflowPunct/>
        <w:topLinePunct w:val="0"/>
        <w:autoSpaceDE/>
        <w:autoSpaceDN/>
        <w:bidi w:val="0"/>
        <w:adjustRightInd/>
        <w:snapToGrid/>
        <w:ind w:firstLine="600" w:firstLineChars="200"/>
        <w:jc w:val="left"/>
        <w:textAlignment w:val="auto"/>
        <w:rPr>
          <w:rFonts w:hint="default"/>
          <w:lang w:val="en-US" w:eastAsia="zh-CN"/>
        </w:rPr>
      </w:pPr>
      <w:r>
        <w:rPr>
          <w:rFonts w:hint="eastAsia" w:ascii="Times New Roman" w:hAnsi="Times New Roman" w:eastAsia="仿宋_GB2312"/>
          <w:b w:val="0"/>
          <w:bCs w:val="0"/>
          <w:color w:val="auto"/>
          <w:kern w:val="2"/>
          <w:sz w:val="30"/>
          <w:szCs w:val="24"/>
        </w:rPr>
        <w:t>此项权重分</w:t>
      </w:r>
      <w:r>
        <w:rPr>
          <w:rFonts w:hint="eastAsia" w:ascii="Times New Roman" w:hAnsi="Times New Roman" w:eastAsia="仿宋_GB2312"/>
          <w:b w:val="0"/>
          <w:bCs w:val="0"/>
          <w:color w:val="auto"/>
          <w:kern w:val="2"/>
          <w:sz w:val="30"/>
          <w:szCs w:val="24"/>
          <w:lang w:val="en-US" w:eastAsia="zh-CN"/>
        </w:rPr>
        <w:t>10</w:t>
      </w:r>
      <w:r>
        <w:rPr>
          <w:rFonts w:hint="eastAsia" w:ascii="Times New Roman" w:hAnsi="Times New Roman" w:eastAsia="仿宋_GB2312"/>
          <w:b w:val="0"/>
          <w:bCs w:val="0"/>
          <w:color w:val="auto"/>
          <w:kern w:val="2"/>
          <w:sz w:val="30"/>
          <w:szCs w:val="24"/>
        </w:rPr>
        <w:t>分，得分</w:t>
      </w:r>
      <w:r>
        <w:rPr>
          <w:rFonts w:hint="eastAsia" w:ascii="Times New Roman" w:hAnsi="Times New Roman" w:eastAsia="仿宋_GB2312"/>
          <w:b w:val="0"/>
          <w:bCs w:val="0"/>
          <w:color w:val="auto"/>
          <w:kern w:val="2"/>
          <w:sz w:val="30"/>
          <w:szCs w:val="24"/>
          <w:lang w:val="en-US" w:eastAsia="zh-CN"/>
        </w:rPr>
        <w:t>10</w:t>
      </w:r>
      <w:r>
        <w:rPr>
          <w:rFonts w:hint="eastAsia" w:ascii="Times New Roman" w:hAnsi="Times New Roman" w:eastAsia="仿宋_GB2312"/>
          <w:b w:val="0"/>
          <w:bCs w:val="0"/>
          <w:color w:val="auto"/>
          <w:kern w:val="2"/>
          <w:sz w:val="30"/>
          <w:szCs w:val="24"/>
        </w:rPr>
        <w:t>分。</w:t>
      </w:r>
    </w:p>
    <w:p w14:paraId="767342A4">
      <w:pPr>
        <w:spacing w:line="560" w:lineRule="exact"/>
        <w:ind w:firstLine="600" w:firstLineChars="200"/>
        <w:rPr>
          <w:rFonts w:hint="eastAsia"/>
          <w:lang w:eastAsia="zh-CN"/>
        </w:rPr>
      </w:pPr>
      <w:r>
        <w:rPr>
          <w:rFonts w:hint="eastAsia"/>
          <w:lang w:val="en-US" w:eastAsia="zh-CN"/>
        </w:rPr>
        <w:t>2</w:t>
      </w:r>
      <w:r>
        <w:rPr>
          <w:rFonts w:hint="eastAsia"/>
        </w:rPr>
        <w:t>.满意度指标完成情况分析：环境影响评价工作使用人员满意度</w:t>
      </w:r>
      <w:r>
        <w:rPr>
          <w:rFonts w:hint="eastAsia"/>
          <w:lang w:val="en-US" w:eastAsia="zh-CN"/>
        </w:rPr>
        <w:t>指标为</w:t>
      </w:r>
      <w:r>
        <w:rPr>
          <w:rFonts w:hint="default"/>
          <w:color w:val="auto"/>
          <w:lang w:eastAsia="zh-CN"/>
        </w:rPr>
        <w:t>＞</w:t>
      </w:r>
      <w:r>
        <w:rPr>
          <w:rFonts w:hint="default" w:ascii="Times New Roman" w:hAnsi="Times New Roman" w:cs="Times New Roman"/>
          <w:color w:val="auto"/>
          <w:lang w:eastAsia="zh-CN"/>
        </w:rPr>
        <w:t>＝</w:t>
      </w:r>
      <w:r>
        <w:rPr>
          <w:rFonts w:hint="eastAsia"/>
          <w:lang w:val="en-US" w:eastAsia="zh-CN"/>
        </w:rPr>
        <w:t>95</w:t>
      </w:r>
      <w:r>
        <w:rPr>
          <w:rFonts w:hint="eastAsia"/>
        </w:rPr>
        <w:t>%</w:t>
      </w:r>
      <w:r>
        <w:rPr>
          <w:rFonts w:hint="eastAsia"/>
          <w:lang w:val="en-US" w:eastAsia="zh-CN"/>
        </w:rPr>
        <w:t>，实际完成值98</w:t>
      </w:r>
      <w:r>
        <w:rPr>
          <w:rFonts w:hint="eastAsia"/>
        </w:rPr>
        <w:t>%</w:t>
      </w:r>
      <w:r>
        <w:rPr>
          <w:rFonts w:hint="eastAsia"/>
          <w:lang w:eastAsia="zh-CN"/>
        </w:rPr>
        <w:t>，</w:t>
      </w:r>
      <w:r>
        <w:rPr>
          <w:rFonts w:hint="eastAsia"/>
        </w:rPr>
        <w:t>指标完成率</w:t>
      </w:r>
      <w:r>
        <w:rPr>
          <w:rFonts w:hint="eastAsia"/>
          <w:lang w:val="en-US" w:eastAsia="zh-CN"/>
        </w:rPr>
        <w:t>103.16</w:t>
      </w:r>
      <w:r>
        <w:rPr>
          <w:rFonts w:hint="eastAsia"/>
        </w:rPr>
        <w:t>%</w:t>
      </w:r>
      <w:r>
        <w:rPr>
          <w:rFonts w:hint="eastAsia"/>
          <w:lang w:eastAsia="zh-CN"/>
        </w:rPr>
        <w:t>。</w:t>
      </w:r>
    </w:p>
    <w:p w14:paraId="3CCFE302">
      <w:pPr>
        <w:pStyle w:val="2"/>
        <w:keepNext w:val="0"/>
        <w:keepLines w:val="0"/>
        <w:pageBreakBefore w:val="0"/>
        <w:widowControl/>
        <w:kinsoku/>
        <w:wordWrap/>
        <w:overflowPunct/>
        <w:topLinePunct w:val="0"/>
        <w:autoSpaceDE/>
        <w:autoSpaceDN/>
        <w:bidi w:val="0"/>
        <w:adjustRightInd/>
        <w:snapToGrid/>
        <w:ind w:firstLine="600" w:firstLineChars="200"/>
        <w:jc w:val="left"/>
        <w:textAlignment w:val="auto"/>
        <w:rPr>
          <w:rFonts w:hint="eastAsia"/>
          <w:lang w:val="en-US" w:eastAsia="zh-CN"/>
        </w:rPr>
      </w:pPr>
      <w:r>
        <w:rPr>
          <w:rFonts w:hint="eastAsia" w:ascii="Times New Roman" w:hAnsi="Times New Roman" w:eastAsia="仿宋_GB2312"/>
          <w:b w:val="0"/>
          <w:bCs w:val="0"/>
          <w:color w:val="auto"/>
          <w:kern w:val="2"/>
          <w:sz w:val="30"/>
          <w:szCs w:val="24"/>
        </w:rPr>
        <w:t>此项权重分</w:t>
      </w:r>
      <w:r>
        <w:rPr>
          <w:rFonts w:hint="eastAsia" w:ascii="Times New Roman" w:hAnsi="Times New Roman" w:eastAsia="仿宋_GB2312"/>
          <w:b w:val="0"/>
          <w:bCs w:val="0"/>
          <w:color w:val="auto"/>
          <w:kern w:val="2"/>
          <w:sz w:val="30"/>
          <w:szCs w:val="24"/>
          <w:lang w:val="en-US" w:eastAsia="zh-CN"/>
        </w:rPr>
        <w:t>10</w:t>
      </w:r>
      <w:r>
        <w:rPr>
          <w:rFonts w:hint="eastAsia" w:ascii="Times New Roman" w:hAnsi="Times New Roman" w:eastAsia="仿宋_GB2312"/>
          <w:b w:val="0"/>
          <w:bCs w:val="0"/>
          <w:color w:val="auto"/>
          <w:kern w:val="2"/>
          <w:sz w:val="30"/>
          <w:szCs w:val="24"/>
        </w:rPr>
        <w:t>分，得分</w:t>
      </w:r>
      <w:r>
        <w:rPr>
          <w:rFonts w:hint="eastAsia" w:ascii="Times New Roman" w:hAnsi="Times New Roman" w:eastAsia="仿宋_GB2312"/>
          <w:b w:val="0"/>
          <w:bCs w:val="0"/>
          <w:color w:val="auto"/>
          <w:kern w:val="2"/>
          <w:sz w:val="30"/>
          <w:szCs w:val="24"/>
          <w:lang w:val="en-US" w:eastAsia="zh-CN"/>
        </w:rPr>
        <w:t>10</w:t>
      </w:r>
      <w:r>
        <w:rPr>
          <w:rFonts w:hint="eastAsia" w:ascii="Times New Roman" w:hAnsi="Times New Roman" w:eastAsia="仿宋_GB2312"/>
          <w:b w:val="0"/>
          <w:bCs w:val="0"/>
          <w:color w:val="auto"/>
          <w:kern w:val="2"/>
          <w:sz w:val="30"/>
          <w:szCs w:val="24"/>
        </w:rPr>
        <w:t>分。</w:t>
      </w:r>
    </w:p>
    <w:p w14:paraId="7D5C9F3D">
      <w:pPr>
        <w:pStyle w:val="3"/>
        <w:spacing w:before="0" w:after="0" w:line="560" w:lineRule="exact"/>
        <w:ind w:firstLine="643" w:firstLineChars="200"/>
        <w:rPr>
          <w:rFonts w:hint="eastAsia" w:ascii="宋体" w:hAnsi="宋体" w:eastAsia="宋体"/>
          <w:sz w:val="32"/>
          <w:szCs w:val="32"/>
          <w:lang w:eastAsia="zh-Hans"/>
        </w:rPr>
      </w:pPr>
      <w:bookmarkStart w:id="22" w:name="_Toc68703842"/>
      <w:r>
        <w:rPr>
          <w:rFonts w:hint="eastAsia" w:ascii="宋体" w:hAnsi="宋体" w:eastAsia="宋体"/>
          <w:sz w:val="32"/>
          <w:szCs w:val="32"/>
          <w:lang w:eastAsia="zh-Hans"/>
        </w:rPr>
        <w:t>五、预算执行进度与绩效指标总体完成率偏差</w:t>
      </w:r>
    </w:p>
    <w:p w14:paraId="5E71897D">
      <w:pPr>
        <w:pStyle w:val="20"/>
        <w:spacing w:line="560" w:lineRule="exact"/>
        <w:ind w:firstLine="600" w:firstLineChars="200"/>
        <w:rPr>
          <w:rFonts w:hint="default" w:ascii="Times New Roman" w:hAnsi="Times New Roman" w:cs="Times New Roman"/>
          <w:highlight w:val="none"/>
        </w:rPr>
      </w:pPr>
      <w:r>
        <w:rPr>
          <w:rFonts w:hint="default" w:ascii="Times New Roman" w:hAnsi="Times New Roman" w:cs="Times New Roman"/>
          <w:highlight w:val="none"/>
          <w:lang w:val="en-US" w:eastAsia="zh-CN"/>
        </w:rPr>
        <w:t>巴州</w:t>
      </w:r>
      <w:r>
        <w:rPr>
          <w:rFonts w:hint="default" w:ascii="Times New Roman" w:hAnsi="Times New Roman" w:cs="Times New Roman"/>
          <w:highlight w:val="none"/>
        </w:rPr>
        <w:t>“三线一单”生态环境分区管控动态更新项目年初预算</w:t>
      </w:r>
      <w:r>
        <w:rPr>
          <w:rFonts w:hint="default" w:ascii="Times New Roman" w:hAnsi="Times New Roman" w:cs="Times New Roman"/>
          <w:highlight w:val="none"/>
          <w:lang w:val="en-US" w:eastAsia="zh-CN"/>
        </w:rPr>
        <w:t>100</w:t>
      </w:r>
      <w:r>
        <w:rPr>
          <w:rFonts w:hint="default" w:ascii="Times New Roman" w:hAnsi="Times New Roman" w:cs="Times New Roman"/>
          <w:highlight w:val="none"/>
        </w:rPr>
        <w:t>万元，全年预算</w:t>
      </w:r>
      <w:r>
        <w:rPr>
          <w:rFonts w:hint="default" w:ascii="Times New Roman" w:hAnsi="Times New Roman" w:cs="Times New Roman"/>
          <w:highlight w:val="none"/>
          <w:lang w:val="en-US" w:eastAsia="zh-CN"/>
        </w:rPr>
        <w:t>100</w:t>
      </w:r>
      <w:r>
        <w:rPr>
          <w:rFonts w:hint="default" w:ascii="Times New Roman" w:hAnsi="Times New Roman" w:cs="Times New Roman"/>
          <w:highlight w:val="none"/>
        </w:rPr>
        <w:t>万元，实际支出</w:t>
      </w:r>
      <w:r>
        <w:rPr>
          <w:rFonts w:hint="default" w:ascii="Times New Roman" w:hAnsi="Times New Roman" w:cs="Times New Roman"/>
          <w:highlight w:val="none"/>
          <w:lang w:val="en-US" w:eastAsia="zh-CN"/>
        </w:rPr>
        <w:t>97</w:t>
      </w:r>
      <w:r>
        <w:rPr>
          <w:rFonts w:hint="default" w:ascii="Times New Roman" w:hAnsi="Times New Roman" w:cs="Times New Roman"/>
          <w:highlight w:val="none"/>
        </w:rPr>
        <w:t>万元，预算执行率为</w:t>
      </w:r>
      <w:r>
        <w:rPr>
          <w:rFonts w:hint="default" w:ascii="Times New Roman" w:hAnsi="Times New Roman" w:cs="Times New Roman"/>
          <w:highlight w:val="none"/>
          <w:lang w:val="en-US" w:eastAsia="zh-CN"/>
        </w:rPr>
        <w:t>97</w:t>
      </w:r>
      <w:r>
        <w:rPr>
          <w:rFonts w:hint="default" w:ascii="Times New Roman" w:hAnsi="Times New Roman" w:cs="Times New Roman"/>
          <w:highlight w:val="none"/>
        </w:rPr>
        <w:t>%</w:t>
      </w:r>
      <w:r>
        <w:rPr>
          <w:rFonts w:hint="default" w:ascii="Times New Roman" w:hAnsi="Times New Roman" w:cs="Times New Roman"/>
          <w:highlight w:val="none"/>
          <w:lang w:eastAsia="zh-CN"/>
        </w:rPr>
        <w:t>。</w:t>
      </w:r>
      <w:r>
        <w:rPr>
          <w:rFonts w:hint="default" w:ascii="Times New Roman" w:hAnsi="Times New Roman" w:cs="Times New Roman"/>
          <w:highlight w:val="none"/>
        </w:rPr>
        <w:t>项目绩效指标总体完成率为</w:t>
      </w:r>
      <w:r>
        <w:rPr>
          <w:rFonts w:hint="default" w:ascii="Times New Roman" w:hAnsi="Times New Roman" w:cs="Times New Roman"/>
          <w:highlight w:val="none"/>
          <w:lang w:val="en-US" w:eastAsia="zh-CN"/>
        </w:rPr>
        <w:t>99.</w:t>
      </w:r>
      <w:r>
        <w:rPr>
          <w:rFonts w:hint="eastAsia" w:cs="Times New Roman"/>
          <w:highlight w:val="none"/>
          <w:lang w:val="en-US" w:eastAsia="zh-CN"/>
        </w:rPr>
        <w:t>65</w:t>
      </w:r>
      <w:r>
        <w:rPr>
          <w:rFonts w:hint="default" w:ascii="Times New Roman" w:hAnsi="Times New Roman" w:cs="Times New Roman"/>
          <w:highlight w:val="none"/>
        </w:rPr>
        <w:t>%，</w:t>
      </w:r>
      <w:r>
        <w:rPr>
          <w:rFonts w:hint="default" w:ascii="Times New Roman" w:hAnsi="Times New Roman" w:cs="Times New Roman"/>
          <w:highlight w:val="none"/>
          <w:lang w:eastAsia="zh-Hans"/>
        </w:rPr>
        <w:t>总体</w:t>
      </w:r>
      <w:r>
        <w:rPr>
          <w:rFonts w:hint="default" w:ascii="Times New Roman" w:hAnsi="Times New Roman" w:cs="Times New Roman"/>
          <w:highlight w:val="none"/>
        </w:rPr>
        <w:t>偏差率为</w:t>
      </w:r>
      <w:r>
        <w:rPr>
          <w:rFonts w:hint="eastAsia" w:cs="Times New Roman"/>
          <w:highlight w:val="none"/>
          <w:lang w:val="en-US" w:eastAsia="zh-CN"/>
        </w:rPr>
        <w:t>2.65</w:t>
      </w:r>
      <w:r>
        <w:rPr>
          <w:rFonts w:hint="default" w:ascii="Times New Roman" w:hAnsi="Times New Roman" w:cs="Times New Roman"/>
          <w:highlight w:val="none"/>
        </w:rPr>
        <w:t>%</w:t>
      </w:r>
      <w:r>
        <w:rPr>
          <w:rFonts w:hint="default" w:ascii="Times New Roman" w:hAnsi="Times New Roman" w:cs="Times New Roman"/>
          <w:highlight w:val="none"/>
          <w:lang w:eastAsia="zh-CN"/>
        </w:rPr>
        <w:t>，</w:t>
      </w:r>
      <w:r>
        <w:rPr>
          <w:rFonts w:hint="default" w:ascii="Times New Roman" w:hAnsi="Times New Roman" w:cs="Times New Roman"/>
          <w:highlight w:val="none"/>
        </w:rPr>
        <w:t>偏差原因：</w:t>
      </w:r>
      <w:r>
        <w:rPr>
          <w:rFonts w:hint="default" w:ascii="Times New Roman" w:hAnsi="Times New Roman" w:cs="Times New Roman"/>
          <w:highlight w:val="none"/>
          <w:lang w:val="en-US" w:eastAsia="zh-CN"/>
        </w:rPr>
        <w:t>根据招投标控制价不超过100万元，编制单位最终报价97万元；三线一单整体更新效果良好，环境影响评价使用人员评价优秀，使项目落地更加便捷准确</w:t>
      </w:r>
      <w:r>
        <w:rPr>
          <w:rFonts w:hint="default" w:ascii="Times New Roman" w:hAnsi="Times New Roman" w:cs="Times New Roman"/>
          <w:highlight w:val="none"/>
        </w:rPr>
        <w:t>。改进措施：</w:t>
      </w:r>
      <w:r>
        <w:rPr>
          <w:rFonts w:hint="default" w:ascii="Times New Roman" w:hAnsi="Times New Roman" w:cs="Times New Roman"/>
          <w:highlight w:val="none"/>
          <w:lang w:eastAsia="zh-CN"/>
        </w:rPr>
        <w:t>根据项目实际情况结合</w:t>
      </w:r>
      <w:r>
        <w:rPr>
          <w:rFonts w:hint="default" w:ascii="Times New Roman" w:hAnsi="Times New Roman" w:cs="Times New Roman"/>
          <w:highlight w:val="none"/>
        </w:rPr>
        <w:t>指标设置要求，</w:t>
      </w:r>
      <w:r>
        <w:rPr>
          <w:rFonts w:hint="default" w:ascii="Times New Roman" w:hAnsi="Times New Roman" w:cs="Times New Roman"/>
          <w:highlight w:val="none"/>
          <w:lang w:eastAsia="zh-CN"/>
        </w:rPr>
        <w:t>优化各项目指标的数值设置情况，</w:t>
      </w:r>
      <w:r>
        <w:rPr>
          <w:rFonts w:hint="default" w:ascii="Times New Roman" w:hAnsi="Times New Roman" w:cs="Times New Roman"/>
          <w:highlight w:val="none"/>
        </w:rPr>
        <w:t>进一步提高绩效指标设定的精准性。</w:t>
      </w:r>
    </w:p>
    <w:p w14:paraId="58C0CE3F">
      <w:pPr>
        <w:pStyle w:val="3"/>
        <w:spacing w:before="0" w:after="0" w:line="560" w:lineRule="exact"/>
        <w:ind w:firstLine="643" w:firstLineChars="200"/>
        <w:rPr>
          <w:rFonts w:ascii="宋体" w:hAnsi="宋体" w:eastAsia="宋体"/>
          <w:sz w:val="32"/>
          <w:szCs w:val="32"/>
        </w:rPr>
      </w:pPr>
      <w:r>
        <w:rPr>
          <w:rFonts w:hint="eastAsia" w:ascii="宋体" w:hAnsi="宋体" w:eastAsia="宋体"/>
          <w:sz w:val="32"/>
          <w:szCs w:val="32"/>
        </w:rPr>
        <w:t>六、主要经验及做法、存在的问题及原因分析</w:t>
      </w:r>
      <w:bookmarkEnd w:id="22"/>
    </w:p>
    <w:p w14:paraId="6A99ED9D">
      <w:pPr>
        <w:pStyle w:val="4"/>
        <w:spacing w:before="0" w:after="0" w:line="560" w:lineRule="exact"/>
        <w:ind w:firstLine="640" w:firstLineChars="200"/>
        <w:rPr>
          <w:rFonts w:ascii="仿宋_GB2312" w:eastAsia="仿宋_GB2312"/>
          <w:b w:val="0"/>
          <w:bCs w:val="0"/>
        </w:rPr>
      </w:pPr>
      <w:bookmarkStart w:id="23" w:name="_Toc68703843"/>
      <w:r>
        <w:rPr>
          <w:rFonts w:hint="eastAsia" w:ascii="仿宋_GB2312" w:eastAsia="仿宋_GB2312"/>
          <w:b w:val="0"/>
          <w:bCs w:val="0"/>
        </w:rPr>
        <w:t>（一）主要经验及做法</w:t>
      </w:r>
      <w:bookmarkEnd w:id="23"/>
    </w:p>
    <w:p w14:paraId="6ACB9465">
      <w:pPr>
        <w:spacing w:line="560" w:lineRule="exact"/>
        <w:ind w:firstLine="600" w:firstLineChars="200"/>
        <w:rPr>
          <w:rFonts w:hint="default" w:ascii="Times New Roman" w:hAnsi="Times New Roman" w:cs="Times New Roman"/>
          <w:color w:val="FF0000"/>
          <w:sz w:val="30"/>
          <w:szCs w:val="30"/>
        </w:rPr>
      </w:pPr>
      <w:r>
        <w:rPr>
          <w:rFonts w:hint="default" w:ascii="Times New Roman" w:hAnsi="Times New Roman" w:cs="Times New Roman"/>
          <w:sz w:val="30"/>
          <w:szCs w:val="30"/>
        </w:rPr>
        <w:t>在</w:t>
      </w:r>
      <w:r>
        <w:rPr>
          <w:rFonts w:hint="default" w:ascii="Times New Roman" w:hAnsi="Times New Roman" w:cs="Times New Roman"/>
          <w:sz w:val="30"/>
          <w:szCs w:val="30"/>
          <w:lang w:eastAsia="zh-CN"/>
        </w:rPr>
        <w:t>“</w:t>
      </w:r>
      <w:r>
        <w:rPr>
          <w:rFonts w:hint="default" w:ascii="Times New Roman" w:hAnsi="Times New Roman" w:cs="Times New Roman"/>
          <w:sz w:val="30"/>
          <w:szCs w:val="30"/>
          <w:lang w:val="en-US" w:eastAsia="zh-CN"/>
        </w:rPr>
        <w:t>三线一单</w:t>
      </w:r>
      <w:r>
        <w:rPr>
          <w:rFonts w:hint="default" w:ascii="Times New Roman" w:hAnsi="Times New Roman" w:cs="Times New Roman"/>
          <w:sz w:val="30"/>
          <w:szCs w:val="30"/>
          <w:lang w:eastAsia="zh-CN"/>
        </w:rPr>
        <w:t>”</w:t>
      </w:r>
      <w:r>
        <w:rPr>
          <w:rFonts w:hint="default" w:ascii="Times New Roman" w:hAnsi="Times New Roman" w:cs="Times New Roman"/>
          <w:sz w:val="30"/>
          <w:szCs w:val="30"/>
          <w:lang w:val="en-US" w:eastAsia="zh-CN"/>
        </w:rPr>
        <w:t>动态更新</w:t>
      </w:r>
      <w:r>
        <w:rPr>
          <w:rFonts w:hint="default" w:ascii="Times New Roman" w:hAnsi="Times New Roman" w:cs="Times New Roman"/>
          <w:sz w:val="30"/>
          <w:szCs w:val="30"/>
        </w:rPr>
        <w:t>项目自评工作中，通过具体问题具体分析，了解项目绩效管理的内容，有利于项目实际应用和产出相匹配，有利于对项目进行有效监管，能够推动项目实施，为我州编制“能用、管用、好用”的</w:t>
      </w:r>
      <w:r>
        <w:rPr>
          <w:rFonts w:hint="default" w:ascii="Times New Roman" w:hAnsi="Times New Roman" w:cs="Times New Roman"/>
          <w:sz w:val="30"/>
          <w:szCs w:val="30"/>
          <w:lang w:val="en-US" w:eastAsia="zh-CN"/>
        </w:rPr>
        <w:t>生态分区管控方案</w:t>
      </w:r>
      <w:r>
        <w:rPr>
          <w:rFonts w:hint="default" w:ascii="Times New Roman" w:hAnsi="Times New Roman" w:cs="Times New Roman"/>
          <w:sz w:val="30"/>
          <w:szCs w:val="30"/>
        </w:rPr>
        <w:t>提供了基础性保障。</w:t>
      </w:r>
    </w:p>
    <w:p w14:paraId="7D08AD01">
      <w:pPr>
        <w:pStyle w:val="4"/>
        <w:spacing w:before="0" w:after="0" w:line="560" w:lineRule="exact"/>
        <w:ind w:firstLine="640" w:firstLineChars="200"/>
        <w:rPr>
          <w:rFonts w:ascii="仿宋_GB2312" w:eastAsia="仿宋_GB2312"/>
          <w:b w:val="0"/>
          <w:bCs w:val="0"/>
        </w:rPr>
      </w:pPr>
      <w:bookmarkStart w:id="24" w:name="_Toc68703844"/>
      <w:r>
        <w:rPr>
          <w:rFonts w:hint="eastAsia" w:ascii="仿宋_GB2312" w:eastAsia="仿宋_GB2312"/>
          <w:b w:val="0"/>
          <w:bCs w:val="0"/>
        </w:rPr>
        <w:t>（二）存在的问题及原因分析</w:t>
      </w:r>
      <w:bookmarkEnd w:id="24"/>
    </w:p>
    <w:p w14:paraId="1B50F719">
      <w:pPr>
        <w:spacing w:line="560" w:lineRule="exact"/>
        <w:ind w:firstLine="600" w:firstLineChars="200"/>
        <w:rPr>
          <w:rFonts w:hint="default" w:ascii="Times New Roman" w:hAnsi="Times New Roman" w:cs="Times New Roman"/>
          <w:sz w:val="30"/>
          <w:szCs w:val="30"/>
          <w:lang w:val="en-US" w:eastAsia="zh-CN"/>
        </w:rPr>
      </w:pPr>
      <w:bookmarkStart w:id="25" w:name="_Toc68703845"/>
      <w:r>
        <w:rPr>
          <w:rFonts w:hint="default" w:ascii="Times New Roman" w:hAnsi="Times New Roman" w:cs="Times New Roman"/>
          <w:sz w:val="30"/>
          <w:szCs w:val="30"/>
          <w:lang w:val="en-US" w:eastAsia="zh-CN"/>
        </w:rPr>
        <w:t>存在的问题：项目年初预算100万元，全年预算100万元，实际支出97万元。</w:t>
      </w:r>
    </w:p>
    <w:p w14:paraId="13315EBE">
      <w:pPr>
        <w:spacing w:line="560" w:lineRule="exact"/>
        <w:ind w:firstLine="600" w:firstLineChars="200"/>
        <w:rPr>
          <w:rFonts w:hint="default" w:ascii="Times New Roman" w:hAnsi="Times New Roman" w:eastAsia="仿宋_GB2312" w:cs="Times New Roman"/>
          <w:sz w:val="30"/>
          <w:szCs w:val="30"/>
          <w:lang w:val="en-US" w:eastAsia="zh-CN"/>
        </w:rPr>
      </w:pPr>
      <w:r>
        <w:rPr>
          <w:rFonts w:hint="default" w:ascii="Times New Roman" w:hAnsi="Times New Roman" w:cs="Times New Roman"/>
          <w:sz w:val="30"/>
          <w:szCs w:val="30"/>
          <w:lang w:val="en-US" w:eastAsia="zh-CN"/>
        </w:rPr>
        <w:t>原因：在项目实施过程中，按照相关规定要求开展招投标工作，在确保</w:t>
      </w:r>
      <w:r>
        <w:rPr>
          <w:rFonts w:hint="default" w:ascii="Times New Roman" w:hAnsi="Times New Roman" w:cs="Times New Roman"/>
          <w:sz w:val="30"/>
          <w:szCs w:val="30"/>
        </w:rPr>
        <w:t>“三线一单”生态环境分区管控动态更新</w:t>
      </w:r>
      <w:r>
        <w:rPr>
          <w:rFonts w:hint="default" w:ascii="Times New Roman" w:hAnsi="Times New Roman" w:cs="Times New Roman"/>
          <w:sz w:val="30"/>
          <w:szCs w:val="30"/>
          <w:lang w:eastAsia="zh-CN"/>
        </w:rPr>
        <w:t>能够保质保量、及时有效完成工作的前提下，最终中标的编制单位报价为</w:t>
      </w:r>
      <w:r>
        <w:rPr>
          <w:rFonts w:hint="default" w:ascii="Times New Roman" w:hAnsi="Times New Roman" w:cs="Times New Roman"/>
          <w:sz w:val="30"/>
          <w:szCs w:val="30"/>
          <w:lang w:val="en-US" w:eastAsia="zh-CN"/>
        </w:rPr>
        <w:t>97万元。</w:t>
      </w:r>
    </w:p>
    <w:p w14:paraId="05E6349E">
      <w:pPr>
        <w:pStyle w:val="3"/>
        <w:spacing w:before="0" w:after="0" w:line="560" w:lineRule="exact"/>
        <w:ind w:firstLine="643" w:firstLineChars="200"/>
        <w:rPr>
          <w:rFonts w:hint="eastAsia" w:ascii="宋体" w:hAnsi="宋体" w:eastAsia="宋体"/>
          <w:sz w:val="32"/>
          <w:szCs w:val="32"/>
        </w:rPr>
      </w:pPr>
      <w:r>
        <w:rPr>
          <w:rFonts w:hint="eastAsia" w:ascii="宋体" w:hAnsi="宋体" w:eastAsia="宋体"/>
          <w:sz w:val="32"/>
          <w:szCs w:val="32"/>
        </w:rPr>
        <w:t>七、有关建议</w:t>
      </w:r>
      <w:bookmarkEnd w:id="25"/>
    </w:p>
    <w:p w14:paraId="11BC68A1">
      <w:pPr>
        <w:spacing w:line="560" w:lineRule="exact"/>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1.多进行有关绩效管理工作方面的培训。积极组织第三方开展绩效管理工作培训，进一步夯实业务基础，提高我单位绩效人员水平。</w:t>
      </w:r>
    </w:p>
    <w:p w14:paraId="4DEE4853">
      <w:pPr>
        <w:spacing w:line="560" w:lineRule="exact"/>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2.专门设定对绩效工作人员定职、定岗、定责等相关制度措施，进一步提升我单位绩效管理工作业务水平，扎实做好绩效管理工作。</w:t>
      </w:r>
    </w:p>
    <w:p w14:paraId="7EFBBCE1">
      <w:pPr>
        <w:spacing w:line="560" w:lineRule="exact"/>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b w:val="0"/>
          <w:bCs w:val="0"/>
          <w:kern w:val="2"/>
          <w:sz w:val="30"/>
          <w:szCs w:val="30"/>
          <w:lang w:val="en-US" w:eastAsia="zh-CN" w:bidi="ar-SA"/>
        </w:rPr>
        <w:t>3.在制定资金计划时，结合项目实际情况进一步优化资金数量。</w:t>
      </w:r>
    </w:p>
    <w:p w14:paraId="4E880BE5">
      <w:pPr>
        <w:pStyle w:val="3"/>
        <w:spacing w:before="0" w:after="0" w:line="560" w:lineRule="exact"/>
        <w:ind w:firstLine="643" w:firstLineChars="200"/>
        <w:rPr>
          <w:rFonts w:ascii="宋体" w:hAnsi="宋体" w:eastAsia="宋体"/>
          <w:sz w:val="32"/>
          <w:szCs w:val="32"/>
        </w:rPr>
      </w:pPr>
      <w:bookmarkStart w:id="26" w:name="_Toc68703846"/>
      <w:r>
        <w:rPr>
          <w:rFonts w:hint="eastAsia" w:ascii="宋体" w:hAnsi="宋体" w:eastAsia="宋体"/>
          <w:sz w:val="32"/>
          <w:szCs w:val="32"/>
        </w:rPr>
        <w:t>八、其他需要说明的问题</w:t>
      </w:r>
      <w:bookmarkEnd w:id="26"/>
    </w:p>
    <w:p w14:paraId="67C619AC">
      <w:pPr>
        <w:spacing w:line="560" w:lineRule="exact"/>
        <w:ind w:firstLine="640" w:firstLineChars="200"/>
        <w:rPr>
          <w:rFonts w:hint="eastAsia"/>
          <w:sz w:val="32"/>
          <w:szCs w:val="32"/>
          <w:lang w:val="en-US" w:eastAsia="zh-CN"/>
        </w:rPr>
      </w:pPr>
      <w:r>
        <w:rPr>
          <w:rFonts w:hint="eastAsia"/>
          <w:sz w:val="32"/>
          <w:szCs w:val="32"/>
          <w:lang w:val="en-US" w:eastAsia="zh-CN"/>
        </w:rPr>
        <w:t>无。</w:t>
      </w:r>
    </w:p>
    <w:p w14:paraId="4FAF9F3B">
      <w:pPr>
        <w:spacing w:line="560" w:lineRule="exact"/>
        <w:ind w:firstLine="600" w:firstLineChars="200"/>
      </w:pPr>
    </w:p>
    <w:p w14:paraId="681D37DE">
      <w:pPr>
        <w:spacing w:line="560" w:lineRule="exact"/>
        <w:ind w:firstLine="600" w:firstLineChars="200"/>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红豆小标宋简体">
    <w:altName w:val="宋体"/>
    <w:panose1 w:val="00000000000000000000"/>
    <w:charset w:val="86"/>
    <w:family w:val="auto"/>
    <w:pitch w:val="default"/>
    <w:sig w:usb0="00000000" w:usb1="00000000"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E1ZDY0MDI5MTE3YjM0ZGMyMzg4N2EwMDI4ZjJiM2YifQ=="/>
    <w:docVar w:name="KSO_WPS_MARK_KEY" w:val="b3fc2acd-51a9-45ce-8d80-18e6d2738da8"/>
  </w:docVars>
  <w:rsids>
    <w:rsidRoot w:val="007D49C5"/>
    <w:rsid w:val="000D63FA"/>
    <w:rsid w:val="00277888"/>
    <w:rsid w:val="00326676"/>
    <w:rsid w:val="00567129"/>
    <w:rsid w:val="005B64E8"/>
    <w:rsid w:val="00614288"/>
    <w:rsid w:val="00686997"/>
    <w:rsid w:val="00792CFE"/>
    <w:rsid w:val="007D49C5"/>
    <w:rsid w:val="008175E0"/>
    <w:rsid w:val="008C631D"/>
    <w:rsid w:val="00A114ED"/>
    <w:rsid w:val="00B24331"/>
    <w:rsid w:val="00D86223"/>
    <w:rsid w:val="00E30DF0"/>
    <w:rsid w:val="00EB3433"/>
    <w:rsid w:val="00F03EF7"/>
    <w:rsid w:val="00F250D7"/>
    <w:rsid w:val="00F352E4"/>
    <w:rsid w:val="00FE4C22"/>
    <w:rsid w:val="031A7868"/>
    <w:rsid w:val="05227DA5"/>
    <w:rsid w:val="08D20D13"/>
    <w:rsid w:val="0C4D0F1B"/>
    <w:rsid w:val="0D1C0011"/>
    <w:rsid w:val="0EDD3983"/>
    <w:rsid w:val="0F2A6BF7"/>
    <w:rsid w:val="11CF40F8"/>
    <w:rsid w:val="12C74467"/>
    <w:rsid w:val="1D723F37"/>
    <w:rsid w:val="1D785367"/>
    <w:rsid w:val="32AE0DEC"/>
    <w:rsid w:val="346C0259"/>
    <w:rsid w:val="36B72533"/>
    <w:rsid w:val="4057649F"/>
    <w:rsid w:val="43182414"/>
    <w:rsid w:val="46120766"/>
    <w:rsid w:val="46507BB3"/>
    <w:rsid w:val="4A7C25BE"/>
    <w:rsid w:val="4C22332E"/>
    <w:rsid w:val="4DF65B2E"/>
    <w:rsid w:val="52776DE4"/>
    <w:rsid w:val="56796849"/>
    <w:rsid w:val="5DA95371"/>
    <w:rsid w:val="67AB6978"/>
    <w:rsid w:val="68F11999"/>
    <w:rsid w:val="72861F64"/>
    <w:rsid w:val="763A0251"/>
    <w:rsid w:val="77D5297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qFormat/>
    <w:uiPriority w:val="0"/>
    <w:pPr>
      <w:jc w:val="left"/>
    </w:pPr>
  </w:style>
  <w:style w:type="paragraph" w:styleId="6">
    <w:name w:val="Balloon Text"/>
    <w:basedOn w:val="1"/>
    <w:link w:val="21"/>
    <w:semiHidden/>
    <w:unhideWhenUsed/>
    <w:qFormat/>
    <w:uiPriority w:val="99"/>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3">
    <w:name w:val="Hyperlink"/>
    <w:basedOn w:val="12"/>
    <w:unhideWhenUsed/>
    <w:qFormat/>
    <w:uiPriority w:val="99"/>
    <w:rPr>
      <w:color w:val="0563C1" w:themeColor="hyperlink"/>
      <w:u w:val="single"/>
      <w14:textFill>
        <w14:solidFill>
          <w14:schemeClr w14:val="hlink"/>
        </w14:solidFill>
      </w14:textFill>
    </w:rPr>
  </w:style>
  <w:style w:type="character" w:styleId="14">
    <w:name w:val="annotation reference"/>
    <w:basedOn w:val="12"/>
    <w:semiHidden/>
    <w:unhideWhenUsed/>
    <w:qFormat/>
    <w:uiPriority w:val="99"/>
    <w:rPr>
      <w:sz w:val="21"/>
      <w:szCs w:val="21"/>
    </w:rPr>
  </w:style>
  <w:style w:type="character" w:customStyle="1" w:styleId="15">
    <w:name w:val="标题 1 字符"/>
    <w:basedOn w:val="12"/>
    <w:link w:val="3"/>
    <w:qFormat/>
    <w:uiPriority w:val="9"/>
    <w:rPr>
      <w:rFonts w:ascii="Times New Roman" w:hAnsi="Times New Roman" w:eastAsia="仿宋_GB2312" w:cs="Times New Roman"/>
      <w:b/>
      <w:bCs/>
      <w:kern w:val="44"/>
      <w:sz w:val="44"/>
      <w:szCs w:val="44"/>
    </w:rPr>
  </w:style>
  <w:style w:type="character" w:customStyle="1" w:styleId="16">
    <w:name w:val="标题 2 字符"/>
    <w:basedOn w:val="12"/>
    <w:link w:val="4"/>
    <w:qFormat/>
    <w:uiPriority w:val="9"/>
    <w:rPr>
      <w:rFonts w:asciiTheme="majorHAnsi" w:hAnsiTheme="majorHAnsi" w:eastAsiaTheme="majorEastAsia" w:cstheme="majorBidi"/>
      <w:b/>
      <w:bCs/>
      <w:sz w:val="32"/>
      <w:szCs w:val="32"/>
    </w:rPr>
  </w:style>
  <w:style w:type="paragraph" w:customStyle="1" w:styleId="17">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8">
    <w:name w:val="页眉 字符"/>
    <w:basedOn w:val="12"/>
    <w:link w:val="8"/>
    <w:qFormat/>
    <w:uiPriority w:val="99"/>
    <w:rPr>
      <w:rFonts w:ascii="Times New Roman" w:hAnsi="Times New Roman" w:eastAsia="仿宋_GB2312" w:cs="Times New Roman"/>
      <w:sz w:val="18"/>
      <w:szCs w:val="18"/>
    </w:rPr>
  </w:style>
  <w:style w:type="character" w:customStyle="1" w:styleId="19">
    <w:name w:val="页脚 字符"/>
    <w:basedOn w:val="12"/>
    <w:link w:val="7"/>
    <w:qFormat/>
    <w:uiPriority w:val="99"/>
    <w:rPr>
      <w:rFonts w:ascii="Times New Roman" w:hAnsi="Times New Roman" w:eastAsia="仿宋_GB2312" w:cs="Times New Roman"/>
      <w:sz w:val="18"/>
      <w:szCs w:val="18"/>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2"/>
    <w:link w:val="6"/>
    <w:semiHidden/>
    <w:qFormat/>
    <w:uiPriority w:val="99"/>
    <w:rPr>
      <w:rFonts w:ascii="Times New Roman" w:hAnsi="Times New Roman" w:eastAsia="仿宋_GB2312" w:cs="Times New Roman"/>
      <w:kern w:val="2"/>
      <w:sz w:val="18"/>
      <w:szCs w:val="18"/>
    </w:rPr>
  </w:style>
  <w:style w:type="paragraph" w:customStyle="1" w:styleId="22">
    <w:name w:val="表格内"/>
    <w:basedOn w:val="1"/>
    <w:qFormat/>
    <w:uiPriority w:val="0"/>
    <w:pPr>
      <w:widowControl/>
      <w:adjustRightInd w:val="0"/>
      <w:snapToGrid w:val="0"/>
      <w:spacing w:after="200" w:line="360" w:lineRule="exact"/>
      <w:jc w:val="center"/>
    </w:pPr>
    <w:rPr>
      <w:rFonts w:eastAsia="微软雅黑" w:asciiTheme="minorHAnsi" w:hAnsiTheme="minorHAnsi" w:cstheme="minorBidi"/>
      <w:snapToGrid w:val="0"/>
      <w:kern w:val="0"/>
      <w:sz w:val="22"/>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7287</Words>
  <Characters>7664</Characters>
  <Lines>55</Lines>
  <Paragraphs>15</Paragraphs>
  <TotalTime>3</TotalTime>
  <ScaleCrop>false</ScaleCrop>
  <LinksUpToDate>false</LinksUpToDate>
  <CharactersWithSpaces>7667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2024-05-21T09:49:00Z</dcterms:created>
  <dc:creator>翘楚</dc:creator>
  <cp:lastModifiedBy>白羊</cp:lastModifiedBy>
  <dcterms:modified xsi:type="dcterms:W3CDTF">2024-10-10T08:41:19Z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8FD8B0A30CFC4BFFB1CCE8468532A866</vt:lpwstr>
  </property>
</Properties>
</file>