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Times New Roman" w:hAnsi="Times New Roman"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Times New Roman" w:hAnsi="Times New Roman"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Times New Roman" w:hAnsi="Times New Roman"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Times New Roman" w:hAnsi="Times New Roman" w:eastAsia="宋体" w:cs="Arial"/>
          <w:b/>
          <w:bCs/>
          <w:sz w:val="52"/>
          <w:szCs w:val="52"/>
        </w:rPr>
      </w:pPr>
      <w:r>
        <w:rPr>
          <w:rFonts w:hint="eastAsia" w:ascii="Times New Roman" w:hAnsi="Times New Roman"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Times New Roman" w:hAnsi="Times New Roman"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Times New Roman" w:hAnsi="Times New Roman" w:cs="仿宋_GB2312"/>
          <w:b/>
          <w:kern w:val="0"/>
          <w:sz w:val="50"/>
          <w:szCs w:val="50"/>
          <w:lang w:bidi="en-US"/>
        </w:rPr>
      </w:pPr>
      <w:r>
        <w:rPr>
          <w:rFonts w:hint="eastAsia" w:ascii="Times New Roman" w:hAnsi="Times New Roman" w:eastAsia="红豆小标宋简体" w:cs="红豆小标宋简体"/>
          <w:color w:val="000000"/>
          <w:kern w:val="0"/>
          <w:sz w:val="36"/>
          <w:szCs w:val="36"/>
        </w:rPr>
        <w:t>（2</w:t>
      </w:r>
      <w:r>
        <w:rPr>
          <w:rFonts w:ascii="Times New Roman" w:hAnsi="Times New Roman" w:eastAsia="红豆小标宋简体" w:cs="红豆小标宋简体"/>
          <w:color w:val="000000"/>
          <w:kern w:val="0"/>
          <w:sz w:val="36"/>
          <w:szCs w:val="36"/>
        </w:rPr>
        <w:t>02</w:t>
      </w:r>
      <w:r>
        <w:rPr>
          <w:rFonts w:hint="eastAsia" w:ascii="Times New Roman" w:hAnsi="Times New Roman" w:eastAsia="红豆小标宋简体" w:cs="红豆小标宋简体"/>
          <w:color w:val="000000"/>
          <w:kern w:val="0"/>
          <w:sz w:val="36"/>
          <w:szCs w:val="36"/>
          <w:lang w:val="en-US" w:eastAsia="zh-CN"/>
        </w:rPr>
        <w:t>3</w:t>
      </w:r>
      <w:r>
        <w:rPr>
          <w:rFonts w:hint="eastAsia" w:ascii="Times New Roman" w:hAnsi="Times New Roman"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Times New Roman" w:hAnsi="Times New Roman"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Times New Roman" w:hAnsi="Times New Roman"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Times New Roman" w:hAnsi="Times New Roman"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Times New Roman" w:hAnsi="Times New Roman"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Times New Roman" w:hAnsi="Times New Roman"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宋体" w:cs="仿宋_GB2312"/>
          <w:color w:val="000000"/>
          <w:kern w:val="0"/>
          <w:sz w:val="32"/>
          <w:szCs w:val="32"/>
        </w:rPr>
      </w:pPr>
      <w:r>
        <w:rPr>
          <w:rFonts w:hint="eastAsia" w:ascii="Times New Roman" w:hAnsi="Times New Roman" w:eastAsia="宋体" w:cs="仿宋_GB2312"/>
          <w:b/>
          <w:bCs/>
          <w:color w:val="000000"/>
          <w:kern w:val="0"/>
          <w:sz w:val="32"/>
          <w:szCs w:val="32"/>
        </w:rPr>
        <w:t>项目名称：</w:t>
      </w:r>
      <w:r>
        <w:rPr>
          <w:rFonts w:hint="eastAsia" w:ascii="Times New Roman" w:hAnsi="Times New Roman" w:eastAsia="宋体" w:cs="仿宋_GB2312"/>
          <w:color w:val="000000"/>
          <w:kern w:val="0"/>
          <w:sz w:val="32"/>
          <w:szCs w:val="32"/>
        </w:rPr>
        <w:t>2023年财政机关事业单位基本养老保险补助资</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宋体" w:cs="仿宋_GB2312"/>
          <w:color w:val="000000"/>
          <w:kern w:val="0"/>
          <w:sz w:val="32"/>
          <w:szCs w:val="32"/>
        </w:rPr>
      </w:pPr>
      <w:r>
        <w:rPr>
          <w:rFonts w:hint="eastAsia" w:ascii="Times New Roman" w:hAnsi="Times New Roman" w:eastAsia="宋体" w:cs="仿宋_GB2312"/>
          <w:color w:val="000000"/>
          <w:kern w:val="0"/>
          <w:sz w:val="32"/>
          <w:szCs w:val="32"/>
        </w:rPr>
        <w:t>金项目</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宋体" w:cs="仿宋_GB2312"/>
          <w:color w:val="000000"/>
          <w:kern w:val="0"/>
          <w:sz w:val="32"/>
          <w:szCs w:val="32"/>
        </w:rPr>
      </w:pPr>
      <w:r>
        <w:rPr>
          <w:rFonts w:hint="eastAsia" w:ascii="Times New Roman" w:hAnsi="Times New Roman" w:eastAsia="宋体" w:cs="仿宋_GB2312"/>
          <w:b/>
          <w:bCs/>
          <w:color w:val="000000"/>
          <w:kern w:val="0"/>
          <w:sz w:val="32"/>
          <w:szCs w:val="32"/>
        </w:rPr>
        <w:t>实施单位（公章）：</w:t>
      </w:r>
      <w:r>
        <w:rPr>
          <w:rFonts w:hint="eastAsia" w:ascii="Times New Roman" w:hAnsi="Times New Roman" w:eastAsia="宋体" w:cs="仿宋_GB2312"/>
          <w:color w:val="000000"/>
          <w:kern w:val="0"/>
          <w:sz w:val="32"/>
          <w:szCs w:val="32"/>
        </w:rPr>
        <w:t>巴音郭楞蒙古自治州社会保险中心</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宋体" w:cs="仿宋_GB2312"/>
          <w:color w:val="000000"/>
          <w:kern w:val="0"/>
          <w:sz w:val="32"/>
          <w:szCs w:val="32"/>
        </w:rPr>
      </w:pPr>
      <w:r>
        <w:rPr>
          <w:rFonts w:hint="eastAsia" w:ascii="Times New Roman" w:hAnsi="Times New Roman" w:eastAsia="宋体" w:cs="仿宋_GB2312"/>
          <w:b/>
          <w:bCs/>
          <w:color w:val="000000"/>
          <w:kern w:val="0"/>
          <w:sz w:val="32"/>
          <w:szCs w:val="32"/>
        </w:rPr>
        <w:t>主管部门（公章）：</w:t>
      </w:r>
      <w:r>
        <w:rPr>
          <w:rFonts w:hint="eastAsia" w:ascii="Times New Roman" w:hAnsi="Times New Roman" w:eastAsia="宋体" w:cs="仿宋_GB2312"/>
          <w:color w:val="000000"/>
          <w:kern w:val="0"/>
          <w:sz w:val="32"/>
          <w:szCs w:val="32"/>
        </w:rPr>
        <w:t>巴音郭楞蒙古自治州人力资源和社会保</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宋体" w:cs="仿宋_GB2312"/>
          <w:color w:val="000000"/>
          <w:kern w:val="0"/>
          <w:sz w:val="32"/>
          <w:szCs w:val="32"/>
        </w:rPr>
      </w:pPr>
      <w:r>
        <w:rPr>
          <w:rFonts w:hint="eastAsia" w:ascii="Times New Roman" w:hAnsi="Times New Roman" w:eastAsia="宋体" w:cs="仿宋_GB2312"/>
          <w:color w:val="000000"/>
          <w:kern w:val="0"/>
          <w:sz w:val="32"/>
          <w:szCs w:val="32"/>
        </w:rPr>
        <w:t>障局</w:t>
      </w:r>
    </w:p>
    <w:p>
      <w:pPr>
        <w:pageBreakBefore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宋体" w:cs="宋体"/>
          <w:kern w:val="0"/>
          <w:sz w:val="32"/>
          <w:szCs w:val="32"/>
        </w:rPr>
      </w:pPr>
      <w:r>
        <w:rPr>
          <w:rFonts w:hint="eastAsia" w:ascii="Times New Roman" w:hAnsi="Times New Roman" w:eastAsia="宋体" w:cs="仿宋_GB2312"/>
          <w:b/>
          <w:bCs/>
          <w:color w:val="000000"/>
          <w:kern w:val="0"/>
          <w:sz w:val="32"/>
          <w:szCs w:val="32"/>
        </w:rPr>
        <w:t>项目负责人（签章）：</w:t>
      </w:r>
      <w:r>
        <w:rPr>
          <w:rFonts w:hint="eastAsia" w:ascii="Times New Roman" w:hAnsi="Times New Roman" w:eastAsia="宋体" w:cs="仿宋_GB2312"/>
          <w:color w:val="000000"/>
          <w:kern w:val="0"/>
          <w:sz w:val="32"/>
          <w:szCs w:val="32"/>
        </w:rPr>
        <w:t>唐勇</w:t>
      </w:r>
    </w:p>
    <w:p>
      <w:pPr>
        <w:pageBreakBefore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宋体" w:cs="仿宋_GB2312"/>
          <w:color w:val="000000"/>
          <w:kern w:val="0"/>
          <w:sz w:val="32"/>
          <w:szCs w:val="32"/>
        </w:rPr>
      </w:pPr>
      <w:r>
        <w:rPr>
          <w:rFonts w:hint="eastAsia" w:ascii="Times New Roman" w:hAnsi="Times New Roman" w:eastAsia="宋体" w:cs="仿宋_GB2312"/>
          <w:b/>
          <w:bCs/>
          <w:color w:val="000000"/>
          <w:kern w:val="0"/>
          <w:sz w:val="32"/>
          <w:szCs w:val="32"/>
        </w:rPr>
        <w:t>填报时间：</w:t>
      </w:r>
      <w:r>
        <w:rPr>
          <w:rFonts w:hint="eastAsia" w:ascii="Times New Roman" w:hAnsi="Times New Roman" w:eastAsia="宋体" w:cs="仿宋_GB2312"/>
          <w:color w:val="000000"/>
          <w:kern w:val="0"/>
          <w:sz w:val="32"/>
          <w:szCs w:val="32"/>
        </w:rPr>
        <w:t>202</w:t>
      </w:r>
      <w:r>
        <w:rPr>
          <w:rFonts w:hint="eastAsia" w:ascii="Times New Roman" w:hAnsi="Times New Roman" w:eastAsia="宋体" w:cs="仿宋_GB2312"/>
          <w:color w:val="000000"/>
          <w:kern w:val="0"/>
          <w:sz w:val="32"/>
          <w:szCs w:val="32"/>
          <w:lang w:val="en-US" w:eastAsia="zh-CN"/>
        </w:rPr>
        <w:t>4</w:t>
      </w:r>
      <w:r>
        <w:rPr>
          <w:rFonts w:hint="eastAsia" w:ascii="Times New Roman" w:hAnsi="Times New Roman" w:eastAsia="宋体" w:cs="仿宋_GB2312"/>
          <w:color w:val="000000"/>
          <w:kern w:val="0"/>
          <w:sz w:val="32"/>
          <w:szCs w:val="32"/>
        </w:rPr>
        <w:t>年</w:t>
      </w:r>
      <w:r>
        <w:rPr>
          <w:rFonts w:hint="eastAsia" w:ascii="Times New Roman" w:hAnsi="Times New Roman" w:eastAsia="宋体" w:cs="仿宋_GB2312"/>
          <w:color w:val="000000"/>
          <w:kern w:val="0"/>
          <w:sz w:val="32"/>
          <w:szCs w:val="32"/>
          <w:lang w:val="en-US" w:eastAsia="zh-CN"/>
        </w:rPr>
        <w:t>5</w:t>
      </w:r>
      <w:r>
        <w:rPr>
          <w:rFonts w:hint="eastAsia" w:ascii="Times New Roman" w:hAnsi="Times New Roman" w:eastAsia="宋体" w:cs="仿宋_GB2312"/>
          <w:color w:val="000000"/>
          <w:kern w:val="0"/>
          <w:sz w:val="32"/>
          <w:szCs w:val="32"/>
        </w:rPr>
        <w:t>月</w:t>
      </w:r>
      <w:r>
        <w:rPr>
          <w:rFonts w:hint="eastAsia" w:eastAsia="宋体" w:cs="仿宋_GB2312"/>
          <w:color w:val="000000"/>
          <w:kern w:val="0"/>
          <w:sz w:val="32"/>
          <w:szCs w:val="32"/>
          <w:lang w:val="en-US" w:eastAsia="zh-CN"/>
        </w:rPr>
        <w:t>10</w:t>
      </w:r>
      <w:r>
        <w:rPr>
          <w:rFonts w:hint="eastAsia" w:ascii="Times New Roman" w:hAnsi="Times New Roman" w:eastAsia="宋体" w:cs="仿宋_GB2312"/>
          <w:color w:val="000000"/>
          <w:kern w:val="0"/>
          <w:sz w:val="32"/>
          <w:szCs w:val="32"/>
        </w:rPr>
        <w:t>日</w:t>
      </w:r>
    </w:p>
    <w:p>
      <w:pPr>
        <w:pStyle w:val="3"/>
        <w:pageBreakBefore w:val="0"/>
        <w:kinsoku/>
        <w:wordWrap/>
        <w:overflowPunct/>
        <w:topLinePunct w:val="0"/>
        <w:autoSpaceDE/>
        <w:autoSpaceDN/>
        <w:bidi w:val="0"/>
        <w:adjustRightInd/>
        <w:snapToGrid/>
        <w:spacing w:before="0" w:after="0" w:line="560" w:lineRule="exact"/>
        <w:ind w:leftChars="0" w:firstLine="643" w:firstLineChars="200"/>
        <w:textAlignment w:val="auto"/>
        <w:rPr>
          <w:rFonts w:hint="eastAsia" w:ascii="Times New Roman" w:hAnsi="Times New Roman" w:eastAsia="宋体"/>
          <w:sz w:val="32"/>
          <w:szCs w:val="32"/>
        </w:rPr>
        <w:sectPr>
          <w:pgSz w:w="11906" w:h="16838"/>
          <w:pgMar w:top="1928" w:right="1531" w:bottom="1701" w:left="1531" w:header="737" w:footer="851" w:gutter="0"/>
          <w:pgNumType w:fmt="decimal"/>
          <w:cols w:space="720" w:num="1"/>
          <w:docGrid w:type="lines" w:linePitch="408" w:charSpace="0"/>
        </w:sectPr>
      </w:pPr>
      <w:bookmarkStart w:id="0" w:name="_Toc68703827"/>
    </w:p>
    <w:p>
      <w:pPr>
        <w:pStyle w:val="3"/>
        <w:pageBreakBefore w:val="0"/>
        <w:kinsoku/>
        <w:wordWrap/>
        <w:overflowPunct/>
        <w:topLinePunct w:val="0"/>
        <w:autoSpaceDE/>
        <w:autoSpaceDN/>
        <w:bidi w:val="0"/>
        <w:adjustRightInd/>
        <w:snapToGrid/>
        <w:spacing w:before="0" w:after="0" w:line="560" w:lineRule="exact"/>
        <w:ind w:leftChars="0" w:firstLine="643" w:firstLineChars="200"/>
        <w:textAlignment w:val="auto"/>
        <w:rPr>
          <w:rFonts w:ascii="Times New Roman" w:hAnsi="Times New Roman" w:eastAsia="宋体"/>
          <w:sz w:val="32"/>
          <w:szCs w:val="32"/>
          <w:shd w:val="clear" w:color="auto" w:fill="auto"/>
        </w:rPr>
      </w:pPr>
      <w:r>
        <w:rPr>
          <w:rFonts w:hint="eastAsia" w:ascii="Times New Roman" w:hAnsi="Times New Roman" w:eastAsia="宋体"/>
          <w:sz w:val="32"/>
          <w:szCs w:val="32"/>
          <w:shd w:val="clear" w:color="auto" w:fill="auto"/>
        </w:rPr>
        <w:t>一、基本情况</w:t>
      </w:r>
      <w:bookmarkEnd w:id="0"/>
    </w:p>
    <w:p>
      <w:pPr>
        <w:pStyle w:val="4"/>
        <w:pageBreakBefore w:val="0"/>
        <w:kinsoku/>
        <w:wordWrap/>
        <w:overflowPunct/>
        <w:topLinePunct w:val="0"/>
        <w:autoSpaceDE/>
        <w:autoSpaceDN/>
        <w:bidi w:val="0"/>
        <w:adjustRightInd/>
        <w:snapToGrid/>
        <w:spacing w:before="0" w:after="0" w:line="560" w:lineRule="exact"/>
        <w:ind w:left="0" w:leftChars="0" w:firstLine="598" w:firstLineChars="187"/>
        <w:textAlignment w:val="auto"/>
        <w:rPr>
          <w:rFonts w:hint="eastAsia" w:ascii="Times New Roman" w:hAnsi="Times New Roman" w:eastAsia="仿宋_GB2312" w:cs="仿宋_GB2312"/>
          <w:b w:val="0"/>
          <w:bCs w:val="0"/>
          <w:shd w:val="clear" w:color="auto" w:fill="auto"/>
        </w:rPr>
      </w:pPr>
      <w:bookmarkStart w:id="1" w:name="_Toc68703828"/>
      <w:r>
        <w:rPr>
          <w:rFonts w:hint="eastAsia" w:ascii="Times New Roman" w:hAnsi="Times New Roman" w:eastAsia="仿宋_GB2312" w:cs="仿宋_GB2312"/>
          <w:b w:val="0"/>
          <w:bCs w:val="0"/>
          <w:shd w:val="clear" w:color="auto" w:fill="auto"/>
        </w:rPr>
        <w:t>（一）项目概况。</w:t>
      </w:r>
      <w:bookmarkEnd w:id="1"/>
    </w:p>
    <w:p>
      <w:pPr>
        <w:pStyle w:val="4"/>
        <w:pageBreakBefore w:val="0"/>
        <w:kinsoku/>
        <w:wordWrap/>
        <w:overflowPunct/>
        <w:topLinePunct w:val="0"/>
        <w:autoSpaceDE/>
        <w:autoSpaceDN/>
        <w:bidi w:val="0"/>
        <w:adjustRightInd/>
        <w:snapToGrid/>
        <w:spacing w:before="0" w:after="0" w:line="560" w:lineRule="exact"/>
        <w:ind w:left="0" w:leftChars="0" w:firstLine="598" w:firstLineChars="187"/>
        <w:textAlignment w:val="auto"/>
        <w:rPr>
          <w:rFonts w:hint="eastAsia" w:ascii="仿宋_GB2312" w:hAnsi="仿宋_GB2312" w:eastAsia="仿宋_GB2312" w:cs="仿宋_GB2312"/>
          <w:b w:val="0"/>
          <w:bCs w:val="0"/>
          <w:highlight w:val="none"/>
          <w:shd w:val="clear" w:color="auto" w:fill="auto"/>
        </w:rPr>
      </w:pPr>
      <w:r>
        <w:rPr>
          <w:rFonts w:hint="eastAsia" w:ascii="仿宋_GB2312" w:hAnsi="仿宋_GB2312" w:eastAsia="仿宋_GB2312" w:cs="仿宋_GB2312"/>
          <w:b w:val="0"/>
          <w:bCs w:val="0"/>
          <w:highlight w:val="none"/>
          <w:shd w:val="clear" w:color="auto" w:fill="auto"/>
          <w:lang w:val="en-US" w:eastAsia="zh-CN"/>
        </w:rPr>
        <w:t>1、</w:t>
      </w:r>
      <w:r>
        <w:rPr>
          <w:rFonts w:hint="eastAsia" w:ascii="仿宋_GB2312" w:hAnsi="仿宋_GB2312" w:eastAsia="仿宋_GB2312" w:cs="仿宋_GB2312"/>
          <w:b w:val="0"/>
          <w:bCs w:val="0"/>
          <w:highlight w:val="none"/>
          <w:shd w:val="clear" w:color="auto" w:fill="auto"/>
        </w:rPr>
        <w:t>项目背景，主要内容及实施情况</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Cs w:val="30"/>
          <w:shd w:val="clear" w:color="auto" w:fill="auto"/>
        </w:rPr>
      </w:pPr>
      <w:r>
        <w:rPr>
          <w:rFonts w:hint="eastAsia" w:ascii="Times New Roman" w:hAnsi="Times New Roman"/>
          <w:szCs w:val="30"/>
          <w:shd w:val="clear" w:color="auto" w:fill="auto"/>
        </w:rPr>
        <w:t>（1）项目背景</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Cs w:val="30"/>
          <w:shd w:val="clear" w:color="auto" w:fill="auto"/>
          <w:lang w:val="en-US" w:eastAsia="zh-CN"/>
        </w:rPr>
      </w:pPr>
      <w:r>
        <w:rPr>
          <w:rFonts w:hint="eastAsia" w:ascii="Times New Roman" w:hAnsi="Times New Roman"/>
          <w:szCs w:val="30"/>
          <w:shd w:val="clear" w:color="auto" w:fill="auto"/>
        </w:rPr>
        <w:t>根据《关于提前下达2023年中央和自治区财政机关事业单位基本养老保险补助资金的通知》（新财社[2022]254号）精神，机关事业单位基本养老保险</w:t>
      </w:r>
      <w:r>
        <w:rPr>
          <w:rFonts w:hint="eastAsia" w:ascii="Times New Roman" w:hAnsi="Times New Roman"/>
          <w:szCs w:val="30"/>
          <w:shd w:val="clear" w:color="auto" w:fill="auto"/>
          <w:lang w:eastAsia="zh-CN"/>
        </w:rPr>
        <w:t>按照管理层级，单独建账，独立核算，纳入社保基金财政专户，</w:t>
      </w:r>
      <w:r>
        <w:rPr>
          <w:rFonts w:hint="eastAsia" w:ascii="Times New Roman" w:hAnsi="Times New Roman"/>
          <w:szCs w:val="30"/>
          <w:shd w:val="clear" w:color="auto" w:fill="auto"/>
        </w:rPr>
        <w:t>严格按照机关事业单位编制管理规定确定参保人员范围，坚持全覆盖、保基本、多层级、可持续方针，增强公平性、适应流动性，切实保障退休人员基本生活，促进基本养老保险制度可持续发展。使参保人员的获得感、幸福感不断增强，促进实现新疆社会稳定和长治久安总目标。</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Cs w:val="30"/>
          <w:shd w:val="clear" w:color="auto" w:fill="auto"/>
        </w:rPr>
      </w:pPr>
      <w:r>
        <w:rPr>
          <w:rFonts w:hint="eastAsia" w:ascii="Times New Roman" w:hAnsi="Times New Roman"/>
          <w:szCs w:val="30"/>
          <w:shd w:val="clear" w:color="auto" w:fill="auto"/>
        </w:rPr>
        <w:t>（</w:t>
      </w:r>
      <w:r>
        <w:rPr>
          <w:rFonts w:hint="eastAsia" w:ascii="Times New Roman" w:hAnsi="Times New Roman"/>
          <w:szCs w:val="30"/>
          <w:shd w:val="clear" w:color="auto" w:fill="auto"/>
          <w:lang w:val="en-US" w:eastAsia="zh-CN"/>
        </w:rPr>
        <w:t>2</w:t>
      </w:r>
      <w:r>
        <w:rPr>
          <w:rFonts w:hint="eastAsia" w:ascii="Times New Roman" w:hAnsi="Times New Roman"/>
          <w:szCs w:val="30"/>
          <w:shd w:val="clear" w:color="auto" w:fill="auto"/>
        </w:rPr>
        <w:t>）主要内容及实施情况</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Cs w:val="30"/>
          <w:shd w:val="clear" w:color="auto" w:fill="auto"/>
        </w:rPr>
      </w:pPr>
      <w:r>
        <w:rPr>
          <w:rFonts w:hint="eastAsia" w:ascii="Times New Roman" w:hAnsi="Times New Roman"/>
          <w:szCs w:val="30"/>
          <w:shd w:val="clear" w:color="auto" w:fill="auto"/>
        </w:rPr>
        <w:t>主要内容：自治区机关事业单位养老保险实行社会统筹与个人账户相结合的基本养老保险保险制度。退休时的基础养老金月标准以自治区上年度在岗职工月平均工资和本人指数化月平均缴费工资的评价值为基数。个人账户养老金月标准为个人账户储存额除以计发月数，计发月数按国家统一规定执行。达到退休年龄但个人缴费年限（含视同缴费年限）累计不满15年的人员，其基本养老保险关系处理和基本养老保险待遇计发比照《实施&lt;中华人民共和国社会保险法&gt;若干规定》（人力资源社会保障部令第13号）执行。</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Cs w:val="30"/>
          <w:shd w:val="clear" w:color="auto" w:fill="auto"/>
        </w:rPr>
      </w:pPr>
      <w:r>
        <w:rPr>
          <w:rFonts w:hint="eastAsia" w:ascii="Times New Roman" w:hAnsi="Times New Roman"/>
          <w:szCs w:val="30"/>
          <w:shd w:val="clear" w:color="auto" w:fill="auto"/>
        </w:rPr>
        <w:t>实施情况：项目目前已经完成实际设立的目标，截止到202</w:t>
      </w:r>
      <w:r>
        <w:rPr>
          <w:rFonts w:hint="eastAsia" w:ascii="Times New Roman" w:hAnsi="Times New Roman"/>
          <w:szCs w:val="30"/>
          <w:shd w:val="clear" w:color="auto" w:fill="auto"/>
          <w:lang w:val="en-US" w:eastAsia="zh-CN"/>
        </w:rPr>
        <w:t>3</w:t>
      </w:r>
      <w:r>
        <w:rPr>
          <w:rFonts w:hint="eastAsia" w:ascii="Times New Roman" w:hAnsi="Times New Roman"/>
          <w:szCs w:val="30"/>
          <w:shd w:val="clear" w:color="auto" w:fill="auto"/>
        </w:rPr>
        <w:t>年12月31日，巴州本级退休人数为7</w:t>
      </w:r>
      <w:r>
        <w:rPr>
          <w:rFonts w:hint="eastAsia" w:ascii="Times New Roman" w:hAnsi="Times New Roman"/>
          <w:szCs w:val="30"/>
          <w:shd w:val="clear" w:color="auto" w:fill="auto"/>
          <w:lang w:val="en-US" w:eastAsia="zh-CN"/>
        </w:rPr>
        <w:t>800</w:t>
      </w:r>
      <w:r>
        <w:rPr>
          <w:rFonts w:hint="eastAsia" w:ascii="Times New Roman" w:hAnsi="Times New Roman"/>
          <w:szCs w:val="30"/>
          <w:shd w:val="clear" w:color="auto" w:fill="auto"/>
        </w:rPr>
        <w:t>人，资金有效缓解了巴州本级机关事业单位养老保险基金收支缺口矛盾，确保退休人员基本养老金按时足额发放，保障了退休人员的基本生活需求。项目在实施过程中严格按照目标设立的各阶段任务进行开展工作，在前期立项过程中严格把质量关，发放待遇时严格跟踪核对发放情况，建立安全防护机制，保证项目实施各阶段安全顺利进行。</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eastAsia="仿宋_GB2312" w:cs="仿宋_GB2312"/>
          <w:highlight w:val="none"/>
          <w:shd w:val="clear" w:color="auto" w:fill="auto"/>
        </w:rPr>
      </w:pPr>
      <w:r>
        <w:rPr>
          <w:rFonts w:hint="eastAsia" w:ascii="Times New Roman" w:hAnsi="Times New Roman" w:cs="仿宋_GB2312"/>
          <w:highlight w:val="none"/>
          <w:shd w:val="clear" w:color="auto" w:fill="auto"/>
          <w:lang w:val="en-US" w:eastAsia="zh-CN"/>
        </w:rPr>
        <w:t>2、</w:t>
      </w:r>
      <w:r>
        <w:rPr>
          <w:rFonts w:hint="eastAsia" w:ascii="Times New Roman" w:hAnsi="Times New Roman" w:eastAsia="仿宋_GB2312" w:cs="仿宋_GB2312"/>
          <w:highlight w:val="none"/>
          <w:shd w:val="clear" w:color="auto" w:fill="auto"/>
        </w:rPr>
        <w:t>资金投入和使用情况</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Cs w:val="30"/>
          <w:shd w:val="clear" w:color="auto" w:fill="auto"/>
        </w:rPr>
      </w:pPr>
      <w:r>
        <w:rPr>
          <w:rFonts w:hint="eastAsia" w:ascii="Times New Roman" w:hAnsi="Times New Roman"/>
          <w:szCs w:val="30"/>
          <w:shd w:val="clear" w:color="auto" w:fill="auto"/>
          <w:lang w:eastAsia="zh-CN"/>
        </w:rPr>
        <w:t>（</w:t>
      </w:r>
      <w:r>
        <w:rPr>
          <w:rFonts w:hint="eastAsia" w:ascii="Times New Roman" w:hAnsi="Times New Roman"/>
          <w:szCs w:val="30"/>
          <w:shd w:val="clear" w:color="auto" w:fill="auto"/>
          <w:lang w:val="en-US" w:eastAsia="zh-CN"/>
        </w:rPr>
        <w:t>1</w:t>
      </w:r>
      <w:r>
        <w:rPr>
          <w:rFonts w:hint="eastAsia" w:ascii="Times New Roman" w:hAnsi="Times New Roman"/>
          <w:szCs w:val="30"/>
          <w:shd w:val="clear" w:color="auto" w:fill="auto"/>
          <w:lang w:eastAsia="zh-CN"/>
        </w:rPr>
        <w:t>）</w:t>
      </w:r>
      <w:r>
        <w:rPr>
          <w:rFonts w:hint="eastAsia" w:ascii="Times New Roman" w:hAnsi="Times New Roman"/>
          <w:szCs w:val="30"/>
          <w:shd w:val="clear" w:color="auto" w:fill="auto"/>
        </w:rPr>
        <w:t>资金投入情况：该项目年初预算数</w:t>
      </w:r>
      <w:r>
        <w:rPr>
          <w:rFonts w:hint="eastAsia" w:ascii="Times New Roman" w:hAnsi="Times New Roman"/>
          <w:szCs w:val="30"/>
          <w:shd w:val="clear" w:color="auto" w:fill="auto"/>
          <w:lang w:val="en-US" w:eastAsia="zh-CN"/>
        </w:rPr>
        <w:t>33883</w:t>
      </w:r>
      <w:r>
        <w:rPr>
          <w:rFonts w:hint="eastAsia" w:ascii="Times New Roman" w:hAnsi="Times New Roman"/>
          <w:szCs w:val="30"/>
          <w:shd w:val="clear" w:color="auto" w:fill="auto"/>
        </w:rPr>
        <w:t>万元，全年预算数</w:t>
      </w:r>
      <w:r>
        <w:rPr>
          <w:rFonts w:hint="eastAsia" w:ascii="Times New Roman" w:hAnsi="Times New Roman"/>
          <w:szCs w:val="30"/>
          <w:shd w:val="clear" w:color="auto" w:fill="auto"/>
          <w:lang w:val="en-US" w:eastAsia="zh-CN"/>
        </w:rPr>
        <w:t>34906</w:t>
      </w:r>
      <w:r>
        <w:rPr>
          <w:rFonts w:hint="eastAsia" w:ascii="Times New Roman" w:hAnsi="Times New Roman"/>
          <w:szCs w:val="30"/>
          <w:shd w:val="clear" w:color="auto" w:fill="auto"/>
        </w:rPr>
        <w:t>万元，实际总投入</w:t>
      </w:r>
      <w:r>
        <w:rPr>
          <w:rFonts w:hint="eastAsia" w:ascii="Times New Roman" w:hAnsi="Times New Roman"/>
          <w:szCs w:val="30"/>
          <w:shd w:val="clear" w:color="auto" w:fill="auto"/>
          <w:lang w:val="en-US" w:eastAsia="zh-CN"/>
        </w:rPr>
        <w:t>34906</w:t>
      </w:r>
      <w:r>
        <w:rPr>
          <w:rFonts w:hint="eastAsia" w:ascii="Times New Roman" w:hAnsi="Times New Roman"/>
          <w:szCs w:val="30"/>
          <w:shd w:val="clear" w:color="auto" w:fill="auto"/>
        </w:rPr>
        <w:t>万元，该项目资金已全部落实到位，资金来源为中央财政拨款。</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default" w:ascii="Times New Roman" w:hAnsi="Times New Roman" w:eastAsia="仿宋_GB2312"/>
          <w:szCs w:val="30"/>
          <w:shd w:val="clear" w:color="auto" w:fill="auto"/>
          <w:lang w:val="en-US" w:eastAsia="zh-CN"/>
        </w:rPr>
      </w:pPr>
      <w:r>
        <w:rPr>
          <w:rFonts w:hint="eastAsia" w:ascii="Times New Roman" w:hAnsi="Times New Roman"/>
          <w:szCs w:val="30"/>
          <w:shd w:val="clear" w:color="auto" w:fill="auto"/>
          <w:lang w:eastAsia="zh-CN"/>
        </w:rPr>
        <w:t>（</w:t>
      </w:r>
      <w:r>
        <w:rPr>
          <w:rFonts w:hint="eastAsia" w:ascii="Times New Roman" w:hAnsi="Times New Roman"/>
          <w:szCs w:val="30"/>
          <w:shd w:val="clear" w:color="auto" w:fill="auto"/>
          <w:lang w:val="en-US" w:eastAsia="zh-CN"/>
        </w:rPr>
        <w:t>2</w:t>
      </w:r>
      <w:r>
        <w:rPr>
          <w:rFonts w:hint="eastAsia" w:ascii="Times New Roman" w:hAnsi="Times New Roman"/>
          <w:szCs w:val="30"/>
          <w:shd w:val="clear" w:color="auto" w:fill="auto"/>
          <w:lang w:eastAsia="zh-CN"/>
        </w:rPr>
        <w:t>）</w:t>
      </w:r>
      <w:r>
        <w:rPr>
          <w:rFonts w:hint="eastAsia" w:ascii="Times New Roman" w:hAnsi="Times New Roman"/>
          <w:szCs w:val="30"/>
          <w:shd w:val="clear" w:color="auto" w:fill="auto"/>
        </w:rPr>
        <w:t>资金使用情况：</w:t>
      </w:r>
      <w:bookmarkStart w:id="2" w:name="_Toc68703829"/>
      <w:r>
        <w:rPr>
          <w:rFonts w:hint="eastAsia" w:ascii="Times New Roman" w:hAnsi="Times New Roman"/>
          <w:szCs w:val="30"/>
          <w:shd w:val="clear" w:color="auto" w:fill="auto"/>
        </w:rPr>
        <w:t>该项目年初预算数</w:t>
      </w:r>
      <w:r>
        <w:rPr>
          <w:rFonts w:hint="eastAsia" w:ascii="Times New Roman" w:hAnsi="Times New Roman"/>
          <w:szCs w:val="30"/>
          <w:shd w:val="clear" w:color="auto" w:fill="auto"/>
          <w:lang w:val="en-US" w:eastAsia="zh-CN"/>
        </w:rPr>
        <w:t>33883</w:t>
      </w:r>
      <w:r>
        <w:rPr>
          <w:rFonts w:hint="eastAsia" w:ascii="Times New Roman" w:hAnsi="Times New Roman"/>
          <w:szCs w:val="30"/>
          <w:shd w:val="clear" w:color="auto" w:fill="auto"/>
        </w:rPr>
        <w:t>万元，全年预算数</w:t>
      </w:r>
      <w:r>
        <w:rPr>
          <w:rFonts w:hint="eastAsia" w:ascii="Times New Roman" w:hAnsi="Times New Roman"/>
          <w:szCs w:val="30"/>
          <w:shd w:val="clear" w:color="auto" w:fill="auto"/>
          <w:lang w:val="en-US" w:eastAsia="zh-CN"/>
        </w:rPr>
        <w:t>34906</w:t>
      </w:r>
      <w:r>
        <w:rPr>
          <w:rFonts w:hint="eastAsia" w:ascii="Times New Roman" w:hAnsi="Times New Roman"/>
          <w:szCs w:val="30"/>
          <w:shd w:val="clear" w:color="auto" w:fill="auto"/>
        </w:rPr>
        <w:t>万元，全年执行数</w:t>
      </w:r>
      <w:r>
        <w:rPr>
          <w:rFonts w:hint="eastAsia" w:ascii="Times New Roman" w:hAnsi="Times New Roman"/>
          <w:szCs w:val="30"/>
          <w:shd w:val="clear" w:color="auto" w:fill="auto"/>
          <w:lang w:val="en-US" w:eastAsia="zh-CN"/>
        </w:rPr>
        <w:t>34906</w:t>
      </w:r>
      <w:r>
        <w:rPr>
          <w:rFonts w:hint="eastAsia" w:ascii="Times New Roman" w:hAnsi="Times New Roman"/>
          <w:szCs w:val="30"/>
          <w:shd w:val="clear" w:color="auto" w:fill="auto"/>
        </w:rPr>
        <w:t>万元，预算执行率为100%，主要用于：</w:t>
      </w:r>
      <w:r>
        <w:rPr>
          <w:rFonts w:hint="eastAsia"/>
          <w:szCs w:val="30"/>
          <w:shd w:val="clear" w:color="auto" w:fill="auto"/>
          <w:lang w:eastAsia="zh-CN"/>
        </w:rPr>
        <w:t>保证机关事业单位工作人员养老保险改革工作顺利及养老保险业务工作正常开展。分</w:t>
      </w:r>
      <w:r>
        <w:rPr>
          <w:rFonts w:hint="eastAsia"/>
          <w:szCs w:val="30"/>
          <w:shd w:val="clear" w:color="auto" w:fill="auto"/>
          <w:lang w:val="en-US" w:eastAsia="zh-CN"/>
        </w:rPr>
        <w:t>12次发放，每次发放金额为2908.83万元，共计全年发放34906万元。</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 w:val="0"/>
          <w:bCs w:val="0"/>
          <w:sz w:val="32"/>
          <w:szCs w:val="32"/>
          <w:shd w:val="clear" w:color="auto" w:fill="auto"/>
          <w:lang w:val="en-US" w:eastAsia="zh-CN"/>
        </w:rPr>
      </w:pPr>
      <w:r>
        <w:rPr>
          <w:rFonts w:hint="eastAsia" w:ascii="Times New Roman" w:hAnsi="Times New Roman" w:eastAsia="仿宋_GB2312" w:cs="仿宋_GB2312"/>
          <w:b w:val="0"/>
          <w:bCs w:val="0"/>
          <w:sz w:val="32"/>
          <w:szCs w:val="32"/>
          <w:shd w:val="clear" w:color="auto" w:fill="auto"/>
        </w:rPr>
        <w:t>（二）项目绩效目标</w:t>
      </w:r>
      <w:bookmarkEnd w:id="2"/>
      <w:r>
        <w:rPr>
          <w:rFonts w:hint="eastAsia" w:ascii="Times New Roman" w:hAnsi="Times New Roman" w:eastAsia="仿宋_GB2312" w:cs="仿宋_GB2312"/>
          <w:b w:val="0"/>
          <w:bCs w:val="0"/>
          <w:color w:val="000000" w:themeColor="text1"/>
          <w:sz w:val="32"/>
          <w:szCs w:val="32"/>
          <w:shd w:val="clear" w:color="auto" w:fill="auto"/>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shd w:val="clear" w:color="auto" w:fill="auto"/>
          <w14:textFill>
            <w14:solidFill>
              <w14:schemeClr w14:val="tx1"/>
            </w14:solidFill>
          </w14:textFill>
        </w:rPr>
        <w:t>包括总体目标和阶段性目标。</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Cs w:val="30"/>
          <w:shd w:val="clear" w:color="auto" w:fill="auto"/>
          <w:lang w:val="en-US" w:eastAsia="zh-CN"/>
        </w:rPr>
      </w:pPr>
      <w:r>
        <w:rPr>
          <w:rFonts w:hint="eastAsia" w:ascii="Times New Roman" w:hAnsi="Times New Roman"/>
          <w:szCs w:val="30"/>
          <w:shd w:val="clear" w:color="auto" w:fill="auto"/>
        </w:rPr>
        <w:t>1</w:t>
      </w:r>
      <w:r>
        <w:rPr>
          <w:rFonts w:hint="eastAsia" w:ascii="Times New Roman" w:hAnsi="Times New Roman"/>
          <w:szCs w:val="30"/>
          <w:shd w:val="clear" w:color="auto" w:fill="auto"/>
          <w:lang w:val="en-US" w:eastAsia="zh-CN"/>
        </w:rPr>
        <w:t>、</w:t>
      </w:r>
      <w:r>
        <w:rPr>
          <w:rFonts w:hint="eastAsia" w:ascii="Times New Roman" w:hAnsi="Times New Roman"/>
          <w:szCs w:val="30"/>
          <w:shd w:val="clear" w:color="auto" w:fill="auto"/>
        </w:rPr>
        <w:t>总体目标：</w:t>
      </w:r>
      <w:r>
        <w:rPr>
          <w:rFonts w:hint="eastAsia" w:ascii="Times New Roman" w:hAnsi="Times New Roman"/>
          <w:szCs w:val="30"/>
          <w:shd w:val="clear" w:color="auto" w:fill="auto"/>
          <w:lang w:val="en-US" w:eastAsia="zh-CN"/>
        </w:rPr>
        <w:t>根据自治区财政厅《关于提前下达2023年中央和自治区财政机关事业单位基本养老保险补助资金的通知》（新财社[2022]254号）精神，使巴州本级机关事业单位退休人员7772人养老金待遇按时足额发放。</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Cs w:val="30"/>
          <w:shd w:val="clear" w:color="auto" w:fill="auto"/>
          <w:lang w:val="en-US" w:eastAsia="zh-CN"/>
        </w:rPr>
      </w:pPr>
      <w:r>
        <w:rPr>
          <w:rFonts w:hint="eastAsia" w:ascii="Times New Roman" w:hAnsi="Times New Roman"/>
          <w:szCs w:val="30"/>
          <w:shd w:val="clear" w:color="auto" w:fill="auto"/>
        </w:rPr>
        <w:t>2</w:t>
      </w:r>
      <w:r>
        <w:rPr>
          <w:rFonts w:hint="eastAsia" w:ascii="Times New Roman" w:hAnsi="Times New Roman"/>
          <w:szCs w:val="30"/>
          <w:shd w:val="clear" w:color="auto" w:fill="auto"/>
          <w:lang w:val="en-US" w:eastAsia="zh-CN"/>
        </w:rPr>
        <w:t>、</w:t>
      </w:r>
      <w:r>
        <w:rPr>
          <w:rFonts w:hint="eastAsia" w:ascii="Times New Roman" w:hAnsi="Times New Roman"/>
          <w:szCs w:val="30"/>
          <w:shd w:val="clear" w:color="auto" w:fill="auto"/>
        </w:rPr>
        <w:t>阶段性目标：</w:t>
      </w:r>
      <w:r>
        <w:rPr>
          <w:rFonts w:hint="eastAsia" w:ascii="Times New Roman" w:hAnsi="Times New Roman"/>
          <w:szCs w:val="30"/>
          <w:shd w:val="clear" w:color="auto" w:fill="auto"/>
          <w:lang w:val="en-US" w:eastAsia="zh-CN"/>
        </w:rPr>
        <w:t>（1）本项目为一般项目，立项依据充分、程序规范，按照巴州本级实际情况合理设置绩效目标，按照《关于提前下达2023年中央和自治区财政机关事业单位基本养老保险补助资金的通知》（新财社[2022]254号）文件要求明确指标，严格按照机关事业单位编制管理规定确定参保人员范围，坚持全覆盖、保基本、多层级、可持续方针，增强公平性，适应流动性、保证可持续性。</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Cs w:val="30"/>
          <w:shd w:val="clear" w:color="auto" w:fill="auto"/>
        </w:rPr>
      </w:pPr>
      <w:r>
        <w:rPr>
          <w:rFonts w:hint="eastAsia" w:ascii="Times New Roman" w:hAnsi="Times New Roman"/>
          <w:szCs w:val="30"/>
          <w:shd w:val="clear" w:color="auto" w:fill="auto"/>
          <w:lang w:eastAsia="zh-CN"/>
        </w:rPr>
        <w:t>（</w:t>
      </w:r>
      <w:r>
        <w:rPr>
          <w:rFonts w:hint="eastAsia" w:ascii="Times New Roman" w:hAnsi="Times New Roman"/>
          <w:szCs w:val="30"/>
          <w:shd w:val="clear" w:color="auto" w:fill="auto"/>
          <w:lang w:val="en-US" w:eastAsia="zh-CN"/>
        </w:rPr>
        <w:t>2</w:t>
      </w:r>
      <w:r>
        <w:rPr>
          <w:rFonts w:hint="eastAsia" w:ascii="Times New Roman" w:hAnsi="Times New Roman"/>
          <w:szCs w:val="30"/>
          <w:shd w:val="clear" w:color="auto" w:fill="auto"/>
          <w:lang w:eastAsia="zh-CN"/>
        </w:rPr>
        <w:t>）</w:t>
      </w:r>
      <w:r>
        <w:rPr>
          <w:rFonts w:hint="eastAsia" w:ascii="Times New Roman" w:hAnsi="Times New Roman"/>
          <w:szCs w:val="30"/>
          <w:shd w:val="clear" w:color="auto" w:fill="auto"/>
        </w:rPr>
        <w:t>项目开展时每月与财政部门沟通，确保每月资金及时到位，结合工作流程与相关财务管理制度规定，保证资金使用具有合规性，扎实推进补助资金发放工作，保证每月在20号前将机关事业单位退休人员养老金待遇按时足额发放。</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Cs w:val="30"/>
          <w:shd w:val="clear" w:color="auto" w:fill="auto"/>
        </w:rPr>
      </w:pPr>
      <w:r>
        <w:rPr>
          <w:rFonts w:hint="eastAsia" w:ascii="Times New Roman" w:hAnsi="Times New Roman"/>
          <w:szCs w:val="30"/>
          <w:shd w:val="clear" w:color="auto" w:fill="auto"/>
          <w:lang w:eastAsia="zh-CN"/>
        </w:rPr>
        <w:t>（</w:t>
      </w:r>
      <w:r>
        <w:rPr>
          <w:rFonts w:hint="eastAsia" w:ascii="Times New Roman" w:hAnsi="Times New Roman"/>
          <w:szCs w:val="30"/>
          <w:shd w:val="clear" w:color="auto" w:fill="auto"/>
          <w:lang w:val="en-US" w:eastAsia="zh-CN"/>
        </w:rPr>
        <w:t>3</w:t>
      </w:r>
      <w:r>
        <w:rPr>
          <w:rFonts w:hint="eastAsia" w:ascii="Times New Roman" w:hAnsi="Times New Roman"/>
          <w:szCs w:val="30"/>
          <w:shd w:val="clear" w:color="auto" w:fill="auto"/>
          <w:lang w:eastAsia="zh-CN"/>
        </w:rPr>
        <w:t>）</w:t>
      </w:r>
      <w:r>
        <w:rPr>
          <w:rFonts w:hint="eastAsia" w:ascii="Times New Roman" w:hAnsi="Times New Roman"/>
          <w:szCs w:val="30"/>
          <w:shd w:val="clear" w:color="auto" w:fill="auto"/>
        </w:rPr>
        <w:t>项目开展后期，保证项目实施所产生的效益，即保障机关事业单位基本养老保险参保率，有效推动机关事业单位基本养老保险制度可持续发展，使社会公众和服务对象对项目的实施效果具有较高满意度，切实保障退休人员基本生活。</w:t>
      </w:r>
    </w:p>
    <w:p>
      <w:pPr>
        <w:pStyle w:val="3"/>
        <w:pageBreakBefore w:val="0"/>
        <w:kinsoku/>
        <w:wordWrap/>
        <w:overflowPunct/>
        <w:topLinePunct w:val="0"/>
        <w:autoSpaceDE/>
        <w:autoSpaceDN/>
        <w:bidi w:val="0"/>
        <w:adjustRightInd/>
        <w:snapToGrid/>
        <w:spacing w:before="0" w:after="0" w:line="560" w:lineRule="exact"/>
        <w:ind w:leftChars="0" w:firstLine="643" w:firstLineChars="200"/>
        <w:textAlignment w:val="auto"/>
        <w:rPr>
          <w:rFonts w:ascii="Times New Roman" w:hAnsi="Times New Roman" w:eastAsia="宋体"/>
          <w:sz w:val="32"/>
          <w:szCs w:val="32"/>
          <w:shd w:val="clear" w:color="auto" w:fill="auto"/>
        </w:rPr>
      </w:pPr>
      <w:bookmarkStart w:id="3" w:name="_Toc68703830"/>
      <w:r>
        <w:rPr>
          <w:rFonts w:hint="eastAsia" w:ascii="Times New Roman" w:hAnsi="Times New Roman" w:eastAsia="宋体"/>
          <w:sz w:val="32"/>
          <w:szCs w:val="32"/>
          <w:shd w:val="clear" w:color="auto" w:fill="auto"/>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default" w:ascii="Times New Roman" w:hAnsi="Times New Roman" w:eastAsia="仿宋_GB2312"/>
          <w:shd w:val="clear" w:color="auto" w:fill="auto"/>
          <w:lang w:val="en-US" w:eastAsia="zh-CN"/>
        </w:rPr>
      </w:pPr>
      <w:bookmarkStart w:id="4" w:name="_Toc68703831"/>
      <w:r>
        <w:rPr>
          <w:rFonts w:hint="eastAsia" w:ascii="Times New Roman" w:hAnsi="Times New Roman" w:eastAsia="仿宋_GB2312"/>
          <w:b w:val="0"/>
          <w:bCs w:val="0"/>
          <w:shd w:val="clear" w:color="auto" w:fill="auto"/>
        </w:rPr>
        <w:t>（一）绩效评价目的、对象和范围。</w:t>
      </w:r>
      <w:bookmarkEnd w:id="4"/>
    </w:p>
    <w:p>
      <w:pPr>
        <w:pageBreakBefore w:val="0"/>
        <w:kinsoku/>
        <w:wordWrap/>
        <w:overflowPunct/>
        <w:topLinePunct w:val="0"/>
        <w:autoSpaceDE/>
        <w:autoSpaceDN/>
        <w:bidi w:val="0"/>
        <w:adjustRightInd/>
        <w:snapToGrid/>
        <w:spacing w:line="560" w:lineRule="exact"/>
        <w:ind w:leftChars="0" w:firstLine="600" w:firstLineChars="200"/>
        <w:textAlignment w:val="auto"/>
        <w:rPr>
          <w:rFonts w:ascii="Times New Roman" w:hAnsi="Times New Roman"/>
          <w:shd w:val="clear" w:color="auto" w:fill="auto"/>
        </w:rPr>
      </w:pPr>
      <w:r>
        <w:rPr>
          <w:rFonts w:hint="eastAsia" w:ascii="Times New Roman" w:hAnsi="Times New Roman"/>
          <w:shd w:val="clear" w:color="auto" w:fill="auto"/>
          <w:lang w:val="en-US" w:eastAsia="zh-CN"/>
        </w:rPr>
        <w:t>1、</w:t>
      </w:r>
      <w:r>
        <w:rPr>
          <w:rFonts w:hint="eastAsia" w:ascii="Times New Roman" w:hAnsi="Times New Roman"/>
          <w:shd w:val="clear" w:color="auto" w:fill="auto"/>
        </w:rPr>
        <w:t>绩效评价目的：</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ascii="Times New Roman" w:hAnsi="Times New Roman" w:eastAsia="仿宋_GB2312"/>
          <w:sz w:val="30"/>
          <w:szCs w:val="30"/>
          <w:shd w:val="clear" w:color="auto" w:fill="auto"/>
        </w:rPr>
      </w:pPr>
      <w:r>
        <w:rPr>
          <w:rFonts w:ascii="Times New Roman" w:hAnsi="Times New Roman" w:eastAsia="仿宋_GB2312"/>
          <w:sz w:val="30"/>
          <w:szCs w:val="30"/>
          <w:shd w:val="clear" w:color="auto" w:fill="auto"/>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pageBreakBefore w:val="0"/>
        <w:numPr>
          <w:ilvl w:val="0"/>
          <w:numId w:val="1"/>
        </w:numPr>
        <w:kinsoku/>
        <w:wordWrap/>
        <w:overflowPunct/>
        <w:topLinePunct w:val="0"/>
        <w:autoSpaceDE/>
        <w:autoSpaceDN/>
        <w:bidi w:val="0"/>
        <w:adjustRightInd/>
        <w:snapToGrid/>
        <w:spacing w:line="560" w:lineRule="exact"/>
        <w:ind w:leftChars="0" w:firstLine="600" w:firstLineChars="200"/>
        <w:textAlignment w:val="auto"/>
        <w:rPr>
          <w:rFonts w:ascii="Times New Roman" w:hAnsi="Times New Roman" w:eastAsia="仿宋_GB2312"/>
          <w:sz w:val="30"/>
          <w:szCs w:val="30"/>
          <w:shd w:val="clear" w:color="auto" w:fill="auto"/>
        </w:rPr>
      </w:pPr>
      <w:r>
        <w:rPr>
          <w:rFonts w:ascii="Times New Roman" w:hAnsi="Times New Roman" w:eastAsia="仿宋_GB2312"/>
          <w:sz w:val="30"/>
          <w:szCs w:val="30"/>
          <w:shd w:val="clear" w:color="auto" w:fill="auto"/>
        </w:rPr>
        <w:t>项目在实施前向项目负责人提供财政支出绩效方面的资金管理信息，每月汇报财政资金拨付情况，并与业务部门沟通发放时间，促进项目支出严格按照资金管理规定进行。</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ascii="Times New Roman" w:hAnsi="Times New Roman" w:eastAsia="仿宋_GB2312"/>
          <w:sz w:val="30"/>
          <w:szCs w:val="30"/>
          <w:shd w:val="clear" w:color="auto" w:fill="auto"/>
        </w:rPr>
      </w:pPr>
      <w:r>
        <w:rPr>
          <w:rFonts w:ascii="Times New Roman" w:hAnsi="Times New Roman" w:eastAsia="仿宋_GB2312"/>
          <w:sz w:val="30"/>
          <w:szCs w:val="30"/>
          <w:shd w:val="clear" w:color="auto" w:fill="auto"/>
        </w:rPr>
        <w:t>（2）项目绩效管理财政支出运行提供及时、有效的信息。</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ascii="Times New Roman" w:hAnsi="Times New Roman" w:eastAsia="仿宋_GB2312"/>
          <w:sz w:val="30"/>
          <w:szCs w:val="30"/>
          <w:shd w:val="clear" w:color="auto" w:fill="auto"/>
        </w:rPr>
      </w:pPr>
      <w:r>
        <w:rPr>
          <w:rFonts w:hint="eastAsia" w:ascii="Times New Roman" w:hAnsi="Times New Roman" w:eastAsia="仿宋_GB2312"/>
          <w:sz w:val="30"/>
          <w:szCs w:val="30"/>
          <w:shd w:val="clear" w:color="auto" w:fill="auto"/>
          <w:lang w:val="en-US" w:eastAsia="zh-CN"/>
        </w:rPr>
        <w:t>2</w:t>
      </w:r>
      <w:r>
        <w:rPr>
          <w:rFonts w:hint="eastAsia" w:ascii="Times New Roman" w:hAnsi="Times New Roman"/>
          <w:sz w:val="30"/>
          <w:szCs w:val="30"/>
          <w:shd w:val="clear" w:color="auto" w:fill="auto"/>
          <w:lang w:val="en-US" w:eastAsia="zh-CN"/>
        </w:rPr>
        <w:t>、</w:t>
      </w:r>
      <w:r>
        <w:rPr>
          <w:rFonts w:hint="eastAsia" w:ascii="Times New Roman" w:hAnsi="Times New Roman" w:eastAsia="仿宋_GB2312"/>
          <w:sz w:val="30"/>
          <w:szCs w:val="30"/>
          <w:shd w:val="clear" w:color="auto" w:fill="auto"/>
        </w:rPr>
        <w:t>绩效评价对象：</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202</w:t>
      </w:r>
      <w:r>
        <w:rPr>
          <w:rFonts w:hint="eastAsia" w:ascii="Times New Roman" w:hAnsi="Times New Roman"/>
          <w:sz w:val="30"/>
          <w:szCs w:val="30"/>
          <w:shd w:val="clear" w:color="auto" w:fill="auto"/>
          <w:lang w:val="en-US" w:eastAsia="zh-CN"/>
        </w:rPr>
        <w:t>3</w:t>
      </w:r>
      <w:r>
        <w:rPr>
          <w:rFonts w:hint="eastAsia" w:ascii="Times New Roman" w:hAnsi="Times New Roman"/>
          <w:sz w:val="30"/>
          <w:szCs w:val="30"/>
          <w:shd w:val="clear" w:color="auto" w:fill="auto"/>
        </w:rPr>
        <w:t>年财政机关事业单位基本养老保险补助资金绩效年目标表项目所包含的全部项目内容。</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ascii="Times New Roman" w:hAnsi="Times New Roman" w:eastAsia="仿宋_GB2312"/>
          <w:sz w:val="30"/>
          <w:szCs w:val="30"/>
          <w:shd w:val="clear" w:color="auto" w:fill="auto"/>
        </w:rPr>
      </w:pPr>
      <w:r>
        <w:rPr>
          <w:rFonts w:hint="eastAsia" w:ascii="Times New Roman" w:hAnsi="Times New Roman" w:eastAsia="仿宋_GB2312"/>
          <w:sz w:val="30"/>
          <w:szCs w:val="30"/>
          <w:shd w:val="clear" w:color="auto" w:fill="auto"/>
          <w:lang w:val="en-US" w:eastAsia="zh-CN"/>
        </w:rPr>
        <w:t>3</w:t>
      </w:r>
      <w:r>
        <w:rPr>
          <w:rFonts w:hint="eastAsia" w:ascii="Times New Roman" w:hAnsi="Times New Roman"/>
          <w:sz w:val="30"/>
          <w:szCs w:val="30"/>
          <w:shd w:val="clear" w:color="auto" w:fill="auto"/>
          <w:lang w:val="en-US" w:eastAsia="zh-CN"/>
        </w:rPr>
        <w:t>、</w:t>
      </w:r>
      <w:r>
        <w:rPr>
          <w:rFonts w:hint="eastAsia" w:ascii="Times New Roman" w:hAnsi="Times New Roman" w:eastAsia="仿宋_GB2312"/>
          <w:sz w:val="30"/>
          <w:szCs w:val="30"/>
          <w:shd w:val="clear" w:color="auto" w:fill="auto"/>
        </w:rPr>
        <w:t>绩效评价范围：</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lang w:val="en-US" w:eastAsia="zh-CN"/>
        </w:rPr>
      </w:pPr>
      <w:bookmarkStart w:id="5" w:name="_Toc68703832"/>
      <w:r>
        <w:rPr>
          <w:rFonts w:hint="eastAsia" w:ascii="Times New Roman" w:hAnsi="Times New Roman"/>
          <w:sz w:val="30"/>
          <w:szCs w:val="30"/>
          <w:shd w:val="clear" w:color="auto" w:fill="auto"/>
        </w:rPr>
        <w:t>本次评价从项目决策（包括绩效目标、决策过程）、项目管理（包括项目资金、项目实施）、项目产出（包括项目产出数量、产出质量、产出时效和产出成本）项目效益四个维度对202</w:t>
      </w:r>
      <w:r>
        <w:rPr>
          <w:rFonts w:hint="eastAsia" w:ascii="Times New Roman" w:hAnsi="Times New Roman"/>
          <w:sz w:val="30"/>
          <w:szCs w:val="30"/>
          <w:shd w:val="clear" w:color="auto" w:fill="auto"/>
          <w:lang w:val="en-US" w:eastAsia="zh-CN"/>
        </w:rPr>
        <w:t>3</w:t>
      </w:r>
      <w:r>
        <w:rPr>
          <w:rFonts w:hint="eastAsia" w:ascii="Times New Roman" w:hAnsi="Times New Roman"/>
          <w:sz w:val="30"/>
          <w:szCs w:val="30"/>
          <w:shd w:val="clear" w:color="auto" w:fill="auto"/>
        </w:rPr>
        <w:t>年财政机关事业单位基本养老保险补助资金项目进行评价，评价核心为专项资金的支出完成情况和效果。</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Times New Roman" w:hAnsi="Times New Roman" w:eastAsia="仿宋_GB2312"/>
          <w:b w:val="0"/>
          <w:bCs w:val="0"/>
          <w:shd w:val="clear" w:color="auto" w:fill="auto"/>
        </w:rPr>
      </w:pPr>
      <w:r>
        <w:rPr>
          <w:rFonts w:hint="eastAsia" w:ascii="Times New Roman" w:hAnsi="Times New Roman" w:eastAsia="仿宋_GB2312"/>
          <w:b w:val="0"/>
          <w:bCs w:val="0"/>
          <w:shd w:val="clear" w:color="auto" w:fill="auto"/>
        </w:rPr>
        <w:t>（二）绩效评价原则、评价指标体系</w:t>
      </w:r>
      <w:r>
        <w:rPr>
          <w:rFonts w:hint="eastAsia" w:ascii="Times New Roman" w:hAnsi="Times New Roman" w:eastAsia="仿宋_GB2312"/>
          <w:b w:val="0"/>
          <w:bCs w:val="0"/>
          <w:shd w:val="clear" w:color="auto" w:fill="auto"/>
          <w:lang w:eastAsia="zh-CN"/>
        </w:rPr>
        <w:t>（附表说明）</w:t>
      </w:r>
      <w:r>
        <w:rPr>
          <w:rFonts w:hint="eastAsia" w:ascii="Times New Roman" w:hAnsi="Times New Roman" w:eastAsia="仿宋_GB2312"/>
          <w:b w:val="0"/>
          <w:bCs w:val="0"/>
          <w:shd w:val="clear" w:color="auto" w:fill="auto"/>
        </w:rPr>
        <w:t>、评价方法、评价标准等。</w:t>
      </w:r>
      <w:bookmarkEnd w:id="5"/>
    </w:p>
    <w:p>
      <w:pPr>
        <w:pageBreakBefore w:val="0"/>
        <w:kinsoku/>
        <w:wordWrap/>
        <w:overflowPunct/>
        <w:topLinePunct w:val="0"/>
        <w:autoSpaceDE/>
        <w:autoSpaceDN/>
        <w:bidi w:val="0"/>
        <w:adjustRightInd/>
        <w:snapToGrid/>
        <w:spacing w:line="560" w:lineRule="exact"/>
        <w:ind w:leftChars="0" w:firstLine="600" w:firstLineChars="200"/>
        <w:jc w:val="left"/>
        <w:textAlignment w:val="auto"/>
        <w:rPr>
          <w:rFonts w:hint="eastAsia" w:ascii="Times New Roman" w:hAnsi="Times New Roman"/>
          <w:shd w:val="clear" w:color="auto" w:fill="auto"/>
        </w:rPr>
      </w:pPr>
      <w:r>
        <w:rPr>
          <w:rFonts w:hint="eastAsia" w:ascii="Times New Roman" w:hAnsi="Times New Roman"/>
          <w:shd w:val="clear" w:color="auto" w:fill="auto"/>
        </w:rPr>
        <w:t>1</w:t>
      </w:r>
      <w:r>
        <w:rPr>
          <w:rFonts w:hint="eastAsia" w:ascii="Times New Roman" w:hAnsi="Times New Roman"/>
          <w:shd w:val="clear" w:color="auto" w:fill="auto"/>
          <w:lang w:val="en-US" w:eastAsia="zh-CN"/>
        </w:rPr>
        <w:t>、</w:t>
      </w:r>
      <w:r>
        <w:rPr>
          <w:rFonts w:hint="eastAsia" w:ascii="Times New Roman" w:hAnsi="Times New Roman"/>
          <w:shd w:val="clear" w:color="auto" w:fill="auto"/>
        </w:rPr>
        <w:t>绩效评价原则</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bCs/>
          <w:color w:val="FF0000"/>
          <w:sz w:val="32"/>
          <w:szCs w:val="32"/>
          <w:shd w:val="clear" w:color="auto" w:fill="auto"/>
        </w:rPr>
      </w:pPr>
      <w:r>
        <w:rPr>
          <w:rFonts w:ascii="Times New Roman" w:hAnsi="Times New Roman" w:eastAsia="仿宋_GB2312"/>
          <w:color w:val="000000"/>
          <w:sz w:val="32"/>
          <w:szCs w:val="32"/>
          <w:shd w:val="clear" w:color="auto" w:fill="auto"/>
        </w:rPr>
        <w:t>本次项目绩效评价遵循以下基本原则：</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1）科学公正。绩效评价应当运用科学合理的方法，根据《关于提前下达2023年中央和自治区财政机关事业单位基本养老保险补助资金的通知》（新财社[2022]254号）精神按照规范的程序，对项目绩效进行客观、公正的反映。</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（2）统筹兼顾。单位自评、部门评价和财政评价应职责明确，各有侧重，相互衔接。单位自评应由项目单位自主实施，即“谁支出、谁自评”。部门评价和财政评价应在单位自评的基础上开展。</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（3）激励约束。绩效评价结果应与预算安排、政策调整、改进管理实质性挂钩，体现奖优罚劣和激励相容导向，有效要安排、低效要压减、无效要问责。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lang w:val="en-US" w:eastAsia="zh-CN"/>
        </w:rPr>
      </w:pPr>
      <w:r>
        <w:rPr>
          <w:rFonts w:hint="eastAsia" w:ascii="Times New Roman" w:hAnsi="Times New Roman"/>
          <w:sz w:val="30"/>
          <w:szCs w:val="30"/>
          <w:shd w:val="clear" w:color="auto" w:fill="auto"/>
        </w:rPr>
        <w:t>（4）公开透明。绩效评价结果已依法依规公开在</w:t>
      </w:r>
      <w:r>
        <w:rPr>
          <w:rFonts w:hint="eastAsia" w:ascii="Times New Roman" w:hAnsi="Times New Roman"/>
          <w:sz w:val="30"/>
          <w:szCs w:val="30"/>
          <w:shd w:val="clear" w:color="auto" w:fill="auto"/>
          <w:lang w:eastAsia="zh-CN"/>
        </w:rPr>
        <w:t>巴州人民政府</w:t>
      </w:r>
      <w:r>
        <w:rPr>
          <w:rFonts w:hint="eastAsia" w:ascii="Times New Roman" w:hAnsi="Times New Roman"/>
          <w:sz w:val="30"/>
          <w:szCs w:val="30"/>
          <w:shd w:val="clear" w:color="auto" w:fill="auto"/>
        </w:rPr>
        <w:t>网站上，并自觉接受社会监督</w:t>
      </w:r>
      <w:r>
        <w:rPr>
          <w:rFonts w:hint="eastAsia" w:ascii="Times New Roman" w:hAnsi="Times New Roman"/>
          <w:sz w:val="30"/>
          <w:szCs w:val="30"/>
          <w:shd w:val="clear" w:color="auto" w:fill="auto"/>
          <w:lang w:eastAsia="zh-CN"/>
        </w:rPr>
        <w:t>。</w:t>
      </w:r>
    </w:p>
    <w:p>
      <w:pPr>
        <w:pageBreakBefore w:val="0"/>
        <w:kinsoku/>
        <w:wordWrap/>
        <w:overflowPunct/>
        <w:topLinePunct w:val="0"/>
        <w:autoSpaceDE/>
        <w:autoSpaceDN/>
        <w:bidi w:val="0"/>
        <w:adjustRightInd/>
        <w:snapToGrid/>
        <w:spacing w:line="560" w:lineRule="exact"/>
        <w:ind w:leftChars="0" w:firstLine="600" w:firstLineChars="200"/>
        <w:jc w:val="left"/>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2、评价指标体系（附表说明）</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（1）确定评价指标</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（2）确定权重</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（3）确定指标标准值</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指标标准值是绩效评价指标的尺度，既要反映同类项目的先进水平，又要符合项目的实际绩效水平。具体采用计划标准等确定此次绩效评价指标标准值。</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具体评价指标体系详情见附件1</w:t>
      </w:r>
    </w:p>
    <w:p>
      <w:pPr>
        <w:pageBreakBefore w:val="0"/>
        <w:kinsoku/>
        <w:wordWrap/>
        <w:overflowPunct/>
        <w:topLinePunct w:val="0"/>
        <w:autoSpaceDE/>
        <w:autoSpaceDN/>
        <w:bidi w:val="0"/>
        <w:adjustRightInd/>
        <w:snapToGrid/>
        <w:spacing w:line="560" w:lineRule="exact"/>
        <w:ind w:leftChars="0" w:firstLine="600" w:firstLineChars="200"/>
        <w:jc w:val="left"/>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3、评价方法</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绩效评价从项目决策、项目过程、项目产出、项目效益四个维度进行评价。评价对象为项目目标实施情况，评价核心为资金的支出完成情况和项目的产出效益。</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本次评价指标中，既有定性指标又有定量指标，各类指标因考核内容不同和客观标准不同存在较大差异，因此核定具体指标时采用了不同方法，具体评价方法如下：</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本次项目支出绩效自评采用因素分析法，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pageBreakBefore w:val="0"/>
        <w:kinsoku/>
        <w:wordWrap/>
        <w:overflowPunct/>
        <w:topLinePunct w:val="0"/>
        <w:autoSpaceDE/>
        <w:autoSpaceDN/>
        <w:bidi w:val="0"/>
        <w:adjustRightInd/>
        <w:snapToGrid/>
        <w:spacing w:line="560" w:lineRule="exact"/>
        <w:ind w:leftChars="0" w:firstLine="600" w:firstLineChars="200"/>
        <w:jc w:val="left"/>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4</w:t>
      </w:r>
      <w:r>
        <w:rPr>
          <w:rFonts w:hint="eastAsia" w:ascii="Times New Roman" w:hAnsi="Times New Roman"/>
          <w:sz w:val="30"/>
          <w:szCs w:val="30"/>
          <w:shd w:val="clear" w:color="auto" w:fill="auto"/>
          <w:lang w:val="en-US" w:eastAsia="zh-CN"/>
        </w:rPr>
        <w:t>、</w:t>
      </w:r>
      <w:r>
        <w:rPr>
          <w:rFonts w:hint="eastAsia" w:ascii="Times New Roman" w:hAnsi="Times New Roman"/>
          <w:sz w:val="30"/>
          <w:szCs w:val="30"/>
          <w:shd w:val="clear" w:color="auto" w:fill="auto"/>
        </w:rPr>
        <w:t>评价标准</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bookmarkStart w:id="6" w:name="_Toc68703833"/>
      <w:r>
        <w:rPr>
          <w:rFonts w:hint="eastAsia" w:ascii="Times New Roman" w:hAnsi="Times New Roman"/>
          <w:sz w:val="30"/>
          <w:szCs w:val="30"/>
          <w:shd w:val="clear" w:color="auto" w:fill="auto"/>
        </w:rPr>
        <w:t>绩效评价标准通常包括计划标准、行业标准、历史标准等，用于对绩效指标完成情况进行比较、分析、评价。本次评价主要采用了计划</w:t>
      </w:r>
      <w:bookmarkStart w:id="7" w:name="_Toc17882"/>
      <w:bookmarkStart w:id="8" w:name="_Toc31464"/>
      <w:r>
        <w:rPr>
          <w:rFonts w:hint="eastAsia" w:ascii="Times New Roman" w:hAnsi="Times New Roman"/>
          <w:sz w:val="30"/>
          <w:szCs w:val="30"/>
          <w:shd w:val="clear" w:color="auto" w:fill="auto"/>
        </w:rPr>
        <w:t>标准，</w:t>
      </w:r>
      <w:bookmarkEnd w:id="7"/>
      <w:bookmarkEnd w:id="8"/>
      <w:r>
        <w:rPr>
          <w:rFonts w:hint="eastAsia" w:ascii="Times New Roman" w:hAnsi="Times New Roman"/>
          <w:sz w:val="30"/>
          <w:szCs w:val="30"/>
          <w:shd w:val="clear" w:color="auto" w:fill="auto"/>
        </w:rPr>
        <w:t>以预先制定的目标、计划、预算、定额等作为评价标准，按照规范的程序、发展规划与部门职责以及《关于提前下达2023年中央和自治区财政机关事业单位基本养老保险补助资金的通知》（新财社[2022]254号）</w:t>
      </w:r>
      <w:r>
        <w:rPr>
          <w:rFonts w:hint="eastAsia" w:ascii="Times New Roman" w:hAnsi="Times New Roman"/>
          <w:sz w:val="30"/>
          <w:szCs w:val="30"/>
          <w:shd w:val="clear" w:color="auto" w:fill="auto"/>
          <w:lang w:eastAsia="zh-CN"/>
        </w:rPr>
        <w:t>文件</w:t>
      </w:r>
      <w:r>
        <w:rPr>
          <w:rFonts w:hint="eastAsia" w:ascii="Times New Roman" w:hAnsi="Times New Roman"/>
          <w:sz w:val="30"/>
          <w:szCs w:val="30"/>
          <w:shd w:val="clear" w:color="auto" w:fill="auto"/>
        </w:rPr>
        <w:t>精神，对比分析项目产出、效益的完成情况</w:t>
      </w:r>
      <w:r>
        <w:rPr>
          <w:rFonts w:hint="eastAsia"/>
          <w:sz w:val="30"/>
          <w:szCs w:val="30"/>
          <w:shd w:val="clear" w:color="auto" w:fill="auto"/>
          <w:lang w:eastAsia="zh-CN"/>
        </w:rPr>
        <w:t>，</w:t>
      </w:r>
      <w:r>
        <w:rPr>
          <w:rFonts w:hint="eastAsia" w:ascii="Times New Roman" w:hAnsi="Times New Roman"/>
          <w:sz w:val="30"/>
          <w:szCs w:val="30"/>
          <w:shd w:val="clear" w:color="auto" w:fill="auto"/>
        </w:rPr>
        <w:t>对项目绩效进行客观、公正的评价。</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Times New Roman" w:hAnsi="Times New Roman" w:eastAsia="仿宋_GB2312"/>
          <w:b w:val="0"/>
          <w:bCs w:val="0"/>
          <w:shd w:val="clear" w:color="auto" w:fill="auto"/>
        </w:rPr>
      </w:pPr>
      <w:r>
        <w:rPr>
          <w:rFonts w:hint="eastAsia" w:ascii="Times New Roman" w:hAnsi="Times New Roman" w:eastAsia="仿宋_GB2312"/>
          <w:b w:val="0"/>
          <w:bCs w:val="0"/>
          <w:shd w:val="clear" w:color="auto" w:fill="auto"/>
        </w:rPr>
        <w:t>（三）绩效评价工作过程。</w:t>
      </w:r>
      <w:bookmarkEnd w:id="6"/>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Cs w:val="30"/>
          <w:shd w:val="clear" w:color="auto" w:fill="auto"/>
        </w:rPr>
      </w:pPr>
      <w:bookmarkStart w:id="9" w:name="_Toc68703834"/>
      <w:r>
        <w:rPr>
          <w:rFonts w:hint="eastAsia" w:ascii="Times New Roman" w:hAnsi="Times New Roman"/>
          <w:szCs w:val="30"/>
          <w:shd w:val="clear" w:color="auto" w:fill="auto"/>
        </w:rPr>
        <w:t>1</w:t>
      </w:r>
      <w:r>
        <w:rPr>
          <w:rFonts w:hint="eastAsia" w:ascii="Times New Roman" w:hAnsi="Times New Roman"/>
          <w:szCs w:val="30"/>
          <w:shd w:val="clear" w:color="auto" w:fill="auto"/>
          <w:lang w:eastAsia="zh-CN"/>
        </w:rPr>
        <w:t>、</w:t>
      </w:r>
      <w:r>
        <w:rPr>
          <w:rFonts w:hint="eastAsia" w:ascii="Times New Roman" w:hAnsi="Times New Roman"/>
          <w:szCs w:val="30"/>
          <w:shd w:val="clear" w:color="auto" w:fill="auto"/>
        </w:rPr>
        <w:t>前期准备。根据《项目支出绩效评价管理办法》财预〔2020〕10 号）等文件相关要求与规定，确定绩效评价工作小组，正式开始前期准备工作，通过对评价对象前期调研，确定了评价的目的、方法以及评价的原则，根据项目的内容和特征制定了评价指标体系及评价标准。成员构成如下：</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Cs w:val="30"/>
          <w:shd w:val="clear" w:color="auto" w:fill="auto"/>
        </w:rPr>
      </w:pPr>
      <w:r>
        <w:rPr>
          <w:rFonts w:hint="eastAsia"/>
          <w:szCs w:val="30"/>
          <w:shd w:val="clear" w:color="auto" w:fill="auto"/>
          <w:lang w:eastAsia="zh-CN"/>
        </w:rPr>
        <w:t>唐勇</w:t>
      </w:r>
      <w:r>
        <w:rPr>
          <w:rFonts w:hint="eastAsia" w:ascii="Times New Roman" w:hAnsi="Times New Roman"/>
          <w:szCs w:val="30"/>
          <w:shd w:val="clear" w:color="auto" w:fill="auto"/>
        </w:rPr>
        <w:t>任评价组组长，主要负责确定绩效评价模板、总体协调沟通、全盘统筹、总体质量把关等工作。</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Cs w:val="30"/>
          <w:shd w:val="clear" w:color="auto" w:fill="auto"/>
        </w:rPr>
      </w:pPr>
      <w:r>
        <w:rPr>
          <w:rFonts w:hint="eastAsia"/>
          <w:szCs w:val="30"/>
          <w:shd w:val="clear" w:color="auto" w:fill="auto"/>
          <w:lang w:eastAsia="zh-CN"/>
        </w:rPr>
        <w:t>唐敏</w:t>
      </w:r>
      <w:r>
        <w:rPr>
          <w:rFonts w:hint="eastAsia" w:ascii="Times New Roman" w:hAnsi="Times New Roman"/>
          <w:szCs w:val="30"/>
          <w:shd w:val="clear" w:color="auto" w:fill="auto"/>
        </w:rPr>
        <w:t>任评价组副组长，主要负责绩效评价现场督导，对评价组成员的评价检查工作提供技术指导与支持，对实效评价工作质量把关。</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Cs w:val="30"/>
          <w:shd w:val="clear" w:color="auto" w:fill="auto"/>
        </w:rPr>
      </w:pPr>
      <w:r>
        <w:rPr>
          <w:rFonts w:hint="eastAsia"/>
          <w:szCs w:val="30"/>
          <w:shd w:val="clear" w:color="auto" w:fill="auto"/>
          <w:lang w:eastAsia="zh-CN"/>
        </w:rPr>
        <w:t>卢冬梅、帕热扎提</w:t>
      </w:r>
      <w:r>
        <w:rPr>
          <w:rFonts w:hint="eastAsia" w:ascii="Times New Roman" w:hAnsi="Times New Roman"/>
          <w:szCs w:val="30"/>
          <w:shd w:val="clear" w:color="auto" w:fill="auto"/>
        </w:rPr>
        <w:t>任评价组成员，主要负责现场调研工作，完成收集整理资料、审核数据、填报绩效评价内容等工作。</w:t>
      </w:r>
    </w:p>
    <w:p>
      <w:pPr>
        <w:pageBreakBefore w:val="0"/>
        <w:numPr>
          <w:ilvl w:val="0"/>
          <w:numId w:val="2"/>
        </w:numPr>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Cs w:val="30"/>
          <w:shd w:val="clear" w:color="auto" w:fill="auto"/>
        </w:rPr>
      </w:pPr>
      <w:r>
        <w:rPr>
          <w:rFonts w:hint="eastAsia" w:ascii="Times New Roman" w:hAnsi="Times New Roman"/>
          <w:szCs w:val="30"/>
          <w:shd w:val="clear" w:color="auto" w:fill="auto"/>
        </w:rPr>
        <w:t>组织实施。经评价组通过整理单位前期提交的资料，与项目实施负责人沟通，了解资金的内容、操作流程、管理机制、资金使用方向等情况，进行信息采集，了解项目设置背景及资金使用等情况，采用综合分析法对项目的决策、管理、绩效进行综合评价分析。</w:t>
      </w:r>
    </w:p>
    <w:p>
      <w:pPr>
        <w:pageBreakBefore w:val="0"/>
        <w:numPr>
          <w:ilvl w:val="0"/>
          <w:numId w:val="2"/>
        </w:numPr>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Cs w:val="30"/>
          <w:shd w:val="clear" w:color="auto" w:fill="auto"/>
        </w:rPr>
      </w:pPr>
      <w:r>
        <w:rPr>
          <w:rFonts w:hint="eastAsia" w:ascii="Times New Roman" w:hAnsi="Times New Roman"/>
          <w:szCs w:val="30"/>
          <w:shd w:val="clear" w:color="auto" w:fill="auto"/>
        </w:rPr>
        <w:t>分析评价。评价小组按照绩效评价的原则和规范，对取得的资料进行审查核实，对采集的数据进行分析，按照绩效评价指标评分表逐项进行打分、分析，汇总各方评价结果，进行综合分析并形成评价结论。</w:t>
      </w:r>
    </w:p>
    <w:p>
      <w:pPr>
        <w:pStyle w:val="3"/>
        <w:pageBreakBefore w:val="0"/>
        <w:kinsoku/>
        <w:wordWrap/>
        <w:overflowPunct/>
        <w:topLinePunct w:val="0"/>
        <w:autoSpaceDE/>
        <w:autoSpaceDN/>
        <w:bidi w:val="0"/>
        <w:adjustRightInd/>
        <w:snapToGrid/>
        <w:spacing w:before="0" w:after="0" w:line="560" w:lineRule="exact"/>
        <w:ind w:leftChars="0" w:firstLine="643" w:firstLineChars="200"/>
        <w:textAlignment w:val="auto"/>
        <w:rPr>
          <w:rFonts w:ascii="Times New Roman" w:hAnsi="Times New Roman" w:eastAsia="宋体"/>
          <w:sz w:val="32"/>
          <w:szCs w:val="32"/>
          <w:shd w:val="clear" w:color="auto" w:fill="auto"/>
        </w:rPr>
      </w:pPr>
      <w:r>
        <w:rPr>
          <w:rFonts w:hint="eastAsia" w:ascii="Times New Roman" w:hAnsi="Times New Roman" w:eastAsia="宋体"/>
          <w:sz w:val="32"/>
          <w:szCs w:val="32"/>
          <w:shd w:val="clear" w:color="auto" w:fill="auto"/>
        </w:rPr>
        <w:t>三、综合评价情况及评价结论</w:t>
      </w:r>
      <w:bookmarkEnd w:id="9"/>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Times New Roman" w:hAnsi="Times New Roman" w:eastAsia="仿宋_GB2312"/>
          <w:b w:val="0"/>
          <w:bCs w:val="0"/>
          <w:shd w:val="clear" w:color="auto" w:fill="auto"/>
          <w:lang w:eastAsia="zh-CN"/>
        </w:rPr>
      </w:pPr>
      <w:bookmarkStart w:id="10" w:name="_Toc68703835"/>
      <w:r>
        <w:rPr>
          <w:rFonts w:hint="eastAsia" w:ascii="Times New Roman" w:hAnsi="Times New Roman" w:eastAsia="仿宋_GB2312"/>
          <w:b w:val="0"/>
          <w:bCs w:val="0"/>
          <w:shd w:val="clear" w:color="auto" w:fill="auto"/>
        </w:rPr>
        <w:t>（一）综合评价情况</w:t>
      </w:r>
      <w:bookmarkEnd w:id="10"/>
      <w:r>
        <w:rPr>
          <w:rFonts w:hint="eastAsia" w:ascii="Times New Roman" w:hAnsi="Times New Roman" w:eastAsia="仿宋_GB2312"/>
          <w:b w:val="0"/>
          <w:bCs w:val="0"/>
          <w:shd w:val="clear" w:color="auto" w:fill="auto"/>
          <w:lang w:eastAsia="zh-CN"/>
        </w:rPr>
        <w:t>及评价结论</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lang w:val="en-US" w:eastAsia="zh-CN"/>
        </w:rPr>
        <w:t>1、</w:t>
      </w:r>
      <w:r>
        <w:rPr>
          <w:rFonts w:hint="eastAsia" w:ascii="Times New Roman" w:hAnsi="Times New Roman"/>
          <w:sz w:val="30"/>
          <w:szCs w:val="30"/>
          <w:shd w:val="clear" w:color="auto" w:fill="auto"/>
        </w:rPr>
        <w:t>综合评价情况</w:t>
      </w:r>
      <w:r>
        <w:rPr>
          <w:rFonts w:hint="eastAsia" w:ascii="Times New Roman" w:hAnsi="Times New Roman"/>
          <w:sz w:val="30"/>
          <w:szCs w:val="30"/>
          <w:shd w:val="clear" w:color="auto" w:fill="auto"/>
          <w:lang w:eastAsia="zh-CN"/>
        </w:rPr>
        <w:t>：</w:t>
      </w:r>
      <w:r>
        <w:rPr>
          <w:rFonts w:hint="eastAsia" w:ascii="Times New Roman" w:hAnsi="Times New Roman"/>
          <w:sz w:val="30"/>
          <w:szCs w:val="30"/>
          <w:shd w:val="clear" w:color="auto" w:fill="auto"/>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本项目严格按照科学公正、统筹兼顾、激励约束、公开透明的绩效评价原则，采用</w:t>
      </w:r>
      <w:r>
        <w:rPr>
          <w:rFonts w:hint="eastAsia" w:ascii="Times New Roman" w:hAnsi="Times New Roman"/>
          <w:sz w:val="30"/>
          <w:szCs w:val="30"/>
          <w:shd w:val="clear" w:color="auto" w:fill="auto"/>
          <w:lang w:eastAsia="zh-CN"/>
        </w:rPr>
        <w:t>因素分析法</w:t>
      </w:r>
      <w:r>
        <w:rPr>
          <w:rFonts w:hint="eastAsia" w:ascii="Times New Roman" w:hAnsi="Times New Roman"/>
          <w:sz w:val="30"/>
          <w:szCs w:val="30"/>
          <w:shd w:val="clear" w:color="auto" w:fill="auto"/>
        </w:rPr>
        <w:t>，坚持</w:t>
      </w:r>
      <w:r>
        <w:rPr>
          <w:rFonts w:hint="eastAsia" w:ascii="Times New Roman" w:hAnsi="Times New Roman"/>
          <w:sz w:val="30"/>
          <w:szCs w:val="30"/>
          <w:shd w:val="clear" w:color="auto" w:fill="auto"/>
          <w:lang w:eastAsia="zh-CN"/>
        </w:rPr>
        <w:t>计划标准</w:t>
      </w:r>
      <w:r>
        <w:rPr>
          <w:rFonts w:hint="eastAsia" w:ascii="Times New Roman" w:hAnsi="Times New Roman"/>
          <w:sz w:val="30"/>
          <w:szCs w:val="30"/>
          <w:shd w:val="clear" w:color="auto" w:fill="auto"/>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leftChars="0" w:firstLine="600" w:firstLineChars="200"/>
        <w:textAlignment w:val="auto"/>
        <w:rPr>
          <w:rFonts w:hint="eastAsia" w:ascii="Times New Roman" w:hAnsi="Times New Roman" w:eastAsia="仿宋_GB2312"/>
          <w:b w:val="0"/>
          <w:bCs w:val="0"/>
          <w:sz w:val="30"/>
          <w:shd w:val="clear" w:color="auto" w:fill="auto"/>
        </w:rPr>
      </w:pPr>
      <w:bookmarkStart w:id="11" w:name="_Toc68703836"/>
      <w:r>
        <w:rPr>
          <w:rFonts w:hint="eastAsia" w:ascii="Times New Roman" w:hAnsi="Times New Roman" w:eastAsia="仿宋_GB2312"/>
          <w:b w:val="0"/>
          <w:bCs w:val="0"/>
          <w:sz w:val="30"/>
          <w:shd w:val="clear" w:color="auto" w:fill="auto"/>
          <w:lang w:val="en-US" w:eastAsia="zh-CN"/>
        </w:rPr>
        <w:t>2、</w:t>
      </w:r>
      <w:r>
        <w:rPr>
          <w:rFonts w:hint="eastAsia" w:ascii="Times New Roman" w:hAnsi="Times New Roman" w:eastAsia="仿宋_GB2312"/>
          <w:b w:val="0"/>
          <w:bCs w:val="0"/>
          <w:sz w:val="30"/>
          <w:shd w:val="clear" w:color="auto" w:fill="auto"/>
        </w:rPr>
        <w:t>评价结论</w:t>
      </w:r>
      <w:bookmarkEnd w:id="11"/>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zCs w:val="30"/>
          <w:shd w:val="clear" w:color="auto" w:fill="auto"/>
        </w:rPr>
      </w:pPr>
      <w:r>
        <w:rPr>
          <w:rFonts w:hint="eastAsia" w:ascii="Times New Roman" w:hAnsi="Times New Roman"/>
          <w:sz w:val="30"/>
          <w:szCs w:val="30"/>
          <w:shd w:val="clear" w:color="auto" w:fill="auto"/>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20分，得分率为100%。项目过程类指标权重为20分，得分为20分，得分率为100%。项目产出类指标权重为40分，得分为40分，得分率为100%。项目效益类指标权重为20分，得分为20分，得分率为100%。</w:t>
      </w:r>
    </w:p>
    <w:p>
      <w:pPr>
        <w:pageBreakBefore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sz w:val="30"/>
          <w:shd w:val="clear" w:color="auto" w:fill="auto"/>
          <w:lang w:eastAsia="zh-CN"/>
        </w:rPr>
      </w:pPr>
      <w:r>
        <w:rPr>
          <w:rFonts w:hint="eastAsia" w:ascii="Times New Roman" w:hAnsi="Times New Roman"/>
          <w:sz w:val="30"/>
          <w:shd w:val="clear" w:color="auto" w:fill="auto"/>
        </w:rPr>
        <w:t>（</w:t>
      </w:r>
      <w:r>
        <w:rPr>
          <w:rFonts w:hint="eastAsia" w:ascii="Times New Roman" w:hAnsi="Times New Roman"/>
          <w:sz w:val="30"/>
          <w:shd w:val="clear" w:color="auto" w:fill="auto"/>
          <w:lang w:eastAsia="zh-CN"/>
        </w:rPr>
        <w:t>二</w:t>
      </w:r>
      <w:r>
        <w:rPr>
          <w:rFonts w:hint="eastAsia" w:ascii="Times New Roman" w:hAnsi="Times New Roman"/>
          <w:sz w:val="30"/>
          <w:shd w:val="clear" w:color="auto" w:fill="auto"/>
        </w:rPr>
        <w:t>）</w:t>
      </w:r>
      <w:r>
        <w:rPr>
          <w:rFonts w:hint="eastAsia" w:ascii="Times New Roman" w:hAnsi="Times New Roman"/>
          <w:sz w:val="30"/>
          <w:shd w:val="clear" w:color="auto" w:fill="auto"/>
          <w:lang w:eastAsia="zh-CN"/>
        </w:rPr>
        <w:t>相关评分表</w:t>
      </w:r>
    </w:p>
    <w:p>
      <w:pPr>
        <w:pageBreakBefore w:val="0"/>
        <w:kinsoku/>
        <w:wordWrap/>
        <w:overflowPunct/>
        <w:topLinePunct w:val="0"/>
        <w:autoSpaceDE/>
        <w:autoSpaceDN/>
        <w:bidi w:val="0"/>
        <w:adjustRightInd/>
        <w:snapToGrid/>
        <w:spacing w:line="560" w:lineRule="exact"/>
        <w:ind w:leftChars="0" w:firstLine="600" w:firstLineChars="200"/>
        <w:jc w:val="left"/>
        <w:textAlignment w:val="auto"/>
        <w:outlineLvl w:val="0"/>
        <w:rPr>
          <w:rFonts w:hint="eastAsia" w:ascii="Times New Roman" w:hAnsi="Times New Roman" w:eastAsia="仿宋_GB2312" w:cs="仿宋_GB2312"/>
          <w:sz w:val="30"/>
          <w:szCs w:val="30"/>
          <w:shd w:val="clear" w:color="auto" w:fill="auto"/>
          <w:lang w:eastAsia="zh-CN"/>
        </w:rPr>
      </w:pPr>
      <w:r>
        <w:rPr>
          <w:rFonts w:hint="eastAsia" w:ascii="Times New Roman" w:hAnsi="Times New Roman" w:eastAsia="仿宋_GB2312" w:cs="仿宋_GB2312"/>
          <w:sz w:val="30"/>
          <w:szCs w:val="30"/>
          <w:shd w:val="clear" w:color="auto" w:fill="auto"/>
        </w:rPr>
        <w:t>具体打分情况详见：附件1综合评分表</w:t>
      </w:r>
      <w:r>
        <w:rPr>
          <w:rFonts w:hint="eastAsia" w:ascii="Times New Roman" w:hAnsi="Times New Roman" w:eastAsia="仿宋_GB2312" w:cs="仿宋_GB2312"/>
          <w:sz w:val="30"/>
          <w:szCs w:val="30"/>
          <w:shd w:val="clear" w:color="auto" w:fill="auto"/>
          <w:lang w:eastAsia="zh-CN"/>
        </w:rPr>
        <w:t>。</w:t>
      </w:r>
    </w:p>
    <w:p>
      <w:pPr>
        <w:pageBreakBefore w:val="0"/>
        <w:kinsoku/>
        <w:wordWrap/>
        <w:overflowPunct/>
        <w:topLinePunct w:val="0"/>
        <w:autoSpaceDE/>
        <w:autoSpaceDN/>
        <w:bidi w:val="0"/>
        <w:adjustRightInd/>
        <w:snapToGrid/>
        <w:spacing w:line="560" w:lineRule="exact"/>
        <w:ind w:leftChars="0" w:firstLine="600" w:firstLineChars="200"/>
        <w:jc w:val="center"/>
        <w:textAlignment w:val="auto"/>
        <w:outlineLvl w:val="0"/>
        <w:rPr>
          <w:rFonts w:hint="eastAsia" w:ascii="Times New Roman" w:hAnsi="Times New Roman" w:eastAsia="仿宋_GB2312" w:cs="仿宋_GB2312"/>
          <w:sz w:val="30"/>
          <w:szCs w:val="30"/>
          <w:shd w:val="clear" w:color="auto" w:fill="auto"/>
        </w:rPr>
      </w:pPr>
      <w:r>
        <w:rPr>
          <w:rFonts w:hint="eastAsia" w:ascii="Times New Roman" w:hAnsi="Times New Roman" w:eastAsia="仿宋_GB2312" w:cs="仿宋_GB2312"/>
          <w:sz w:val="30"/>
          <w:szCs w:val="30"/>
          <w:shd w:val="clear" w:color="auto" w:fill="auto"/>
        </w:rPr>
        <w:t>202</w:t>
      </w:r>
      <w:r>
        <w:rPr>
          <w:rFonts w:hint="eastAsia" w:ascii="Times New Roman" w:hAnsi="Times New Roman" w:eastAsia="仿宋_GB2312" w:cs="仿宋_GB2312"/>
          <w:sz w:val="30"/>
          <w:szCs w:val="30"/>
          <w:shd w:val="clear" w:color="auto" w:fill="auto"/>
          <w:lang w:val="en-US" w:eastAsia="zh-CN"/>
        </w:rPr>
        <w:t>3</w:t>
      </w:r>
      <w:r>
        <w:rPr>
          <w:rFonts w:hint="eastAsia" w:ascii="Times New Roman" w:hAnsi="Times New Roman" w:eastAsia="仿宋_GB2312" w:cs="仿宋_GB2312"/>
          <w:sz w:val="30"/>
          <w:szCs w:val="30"/>
          <w:shd w:val="clear" w:color="auto" w:fill="auto"/>
        </w:rPr>
        <w:t>年财政机关事业单位基本养老保险</w:t>
      </w:r>
    </w:p>
    <w:p>
      <w:pPr>
        <w:pageBreakBefore w:val="0"/>
        <w:kinsoku/>
        <w:wordWrap/>
        <w:overflowPunct/>
        <w:topLinePunct w:val="0"/>
        <w:autoSpaceDE/>
        <w:autoSpaceDN/>
        <w:bidi w:val="0"/>
        <w:adjustRightInd/>
        <w:snapToGrid/>
        <w:spacing w:line="560" w:lineRule="exact"/>
        <w:ind w:leftChars="0" w:firstLine="600" w:firstLineChars="200"/>
        <w:jc w:val="center"/>
        <w:textAlignment w:val="auto"/>
        <w:outlineLvl w:val="0"/>
        <w:rPr>
          <w:rFonts w:hint="eastAsia" w:ascii="Times New Roman" w:hAnsi="Times New Roman" w:eastAsia="仿宋_GB2312" w:cs="仿宋_GB2312"/>
          <w:sz w:val="30"/>
          <w:szCs w:val="30"/>
          <w:shd w:val="clear" w:color="auto" w:fill="auto"/>
        </w:rPr>
      </w:pPr>
      <w:r>
        <w:rPr>
          <w:rFonts w:hint="eastAsia" w:ascii="Times New Roman" w:hAnsi="Times New Roman" w:eastAsia="仿宋_GB2312" w:cs="仿宋_GB2312"/>
          <w:sz w:val="30"/>
          <w:szCs w:val="30"/>
          <w:shd w:val="clear" w:color="auto" w:fill="auto"/>
        </w:rPr>
        <w:t>补助资金项目评价得分情况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rFonts w:ascii="Times New Roman" w:hAnsi="Times New Roman"/>
                <w:b/>
                <w:bCs/>
                <w:color w:val="000000"/>
                <w:sz w:val="22"/>
                <w:shd w:val="clear" w:color="auto" w:fill="auto"/>
              </w:rPr>
            </w:pPr>
            <w:r>
              <w:rPr>
                <w:rFonts w:hint="eastAsia" w:ascii="Times New Roman" w:hAnsi="Times New Roman"/>
                <w:b/>
                <w:bCs/>
                <w:color w:val="000000"/>
                <w:sz w:val="22"/>
                <w:shd w:val="clear" w:color="auto" w:fill="auto"/>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rFonts w:ascii="Times New Roman" w:hAnsi="Times New Roman"/>
                <w:b/>
                <w:bCs/>
                <w:color w:val="000000"/>
                <w:sz w:val="22"/>
                <w:shd w:val="clear" w:color="auto" w:fill="auto"/>
              </w:rPr>
            </w:pPr>
            <w:r>
              <w:rPr>
                <w:rFonts w:hint="eastAsia" w:ascii="Times New Roman" w:hAnsi="Times New Roman"/>
                <w:b/>
                <w:bCs/>
                <w:color w:val="000000"/>
                <w:sz w:val="22"/>
                <w:shd w:val="clear" w:color="auto" w:fill="auto"/>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rFonts w:ascii="Times New Roman" w:hAnsi="Times New Roman"/>
                <w:b/>
                <w:bCs/>
                <w:color w:val="000000"/>
                <w:sz w:val="22"/>
                <w:shd w:val="clear" w:color="auto" w:fill="auto"/>
              </w:rPr>
            </w:pPr>
            <w:r>
              <w:rPr>
                <w:rFonts w:hint="eastAsia" w:ascii="Times New Roman" w:hAnsi="Times New Roman"/>
                <w:b/>
                <w:bCs/>
                <w:color w:val="000000"/>
                <w:sz w:val="22"/>
                <w:shd w:val="clear" w:color="auto" w:fill="auto"/>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ascii="Times New Roman" w:hAnsi="Times New Roman"/>
                <w:color w:val="000000"/>
                <w:sz w:val="22"/>
                <w:shd w:val="clear" w:color="auto" w:fill="auto"/>
              </w:rPr>
            </w:pPr>
            <w:r>
              <w:rPr>
                <w:rFonts w:hint="eastAsia" w:ascii="Times New Roman" w:hAnsi="Times New Roman"/>
                <w:color w:val="000000"/>
                <w:sz w:val="22"/>
                <w:shd w:val="clear" w:color="auto" w:fill="auto"/>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ascii="Times New Roman" w:hAnsi="Times New Roman"/>
                <w:color w:val="000000"/>
                <w:sz w:val="22"/>
                <w:shd w:val="clear" w:color="auto" w:fill="auto"/>
              </w:rPr>
            </w:pPr>
            <w:r>
              <w:rPr>
                <w:rFonts w:hint="eastAsia" w:ascii="Times New Roman" w:hAnsi="Times New Roman"/>
                <w:color w:val="000000"/>
                <w:sz w:val="22"/>
                <w:shd w:val="clear" w:color="auto" w:fill="auto"/>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ascii="Times New Roman" w:hAnsi="Times New Roman"/>
                <w:color w:val="000000"/>
                <w:sz w:val="22"/>
                <w:shd w:val="clear" w:color="auto" w:fill="auto"/>
              </w:rPr>
            </w:pPr>
            <w:r>
              <w:rPr>
                <w:rFonts w:hint="eastAsia" w:ascii="Times New Roman" w:hAnsi="Times New Roman"/>
                <w:color w:val="000000"/>
                <w:sz w:val="22"/>
                <w:shd w:val="clear" w:color="auto" w:fill="auto"/>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ascii="Times New Roman" w:hAnsi="Times New Roman"/>
                <w:color w:val="000000"/>
                <w:sz w:val="22"/>
                <w:shd w:val="clear" w:color="auto" w:fill="auto"/>
              </w:rPr>
            </w:pPr>
            <w:r>
              <w:rPr>
                <w:rFonts w:hint="eastAsia" w:ascii="Times New Roman" w:hAnsi="Times New Roman"/>
                <w:color w:val="000000"/>
                <w:sz w:val="22"/>
                <w:shd w:val="clear" w:color="auto" w:fill="auto"/>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ascii="Times New Roman" w:hAnsi="Times New Roman"/>
                <w:color w:val="000000"/>
                <w:sz w:val="22"/>
                <w:shd w:val="clear" w:color="auto" w:fill="auto"/>
              </w:rPr>
            </w:pPr>
            <w:r>
              <w:rPr>
                <w:rFonts w:hint="eastAsia" w:ascii="Times New Roman" w:hAnsi="Times New Roman"/>
                <w:color w:val="000000"/>
                <w:sz w:val="22"/>
                <w:shd w:val="clear" w:color="auto" w:fill="auto"/>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ascii="Times New Roman" w:hAnsi="Times New Roman"/>
                <w:color w:val="000000"/>
                <w:sz w:val="22"/>
                <w:shd w:val="clear" w:color="auto" w:fill="auto"/>
              </w:rPr>
            </w:pPr>
            <w:r>
              <w:rPr>
                <w:rFonts w:hint="eastAsia" w:ascii="Times New Roman" w:hAnsi="Times New Roman"/>
                <w:color w:val="000000"/>
                <w:sz w:val="22"/>
                <w:shd w:val="clear" w:color="auto" w:fill="auto"/>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ascii="Times New Roman" w:hAnsi="Times New Roman"/>
                <w:color w:val="000000"/>
                <w:sz w:val="22"/>
                <w:shd w:val="clear" w:color="auto" w:fill="auto"/>
              </w:rPr>
            </w:pPr>
            <w:r>
              <w:rPr>
                <w:rFonts w:hint="eastAsia" w:ascii="Times New Roman" w:hAnsi="Times New Roman"/>
                <w:color w:val="000000"/>
                <w:sz w:val="22"/>
                <w:shd w:val="clear" w:color="auto" w:fill="auto"/>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ascii="Times New Roman" w:hAnsi="Times New Roman"/>
                <w:color w:val="000000"/>
                <w:sz w:val="22"/>
                <w:shd w:val="clear" w:color="auto" w:fill="auto"/>
              </w:rPr>
            </w:pPr>
            <w:r>
              <w:rPr>
                <w:rFonts w:hint="eastAsia" w:ascii="Times New Roman" w:hAnsi="Times New Roman"/>
                <w:color w:val="000000"/>
                <w:sz w:val="22"/>
                <w:shd w:val="clear" w:color="auto" w:fill="auto"/>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ascii="Times New Roman" w:hAnsi="Times New Roman"/>
                <w:color w:val="000000"/>
                <w:sz w:val="22"/>
                <w:shd w:val="clear" w:color="auto" w:fill="auto"/>
              </w:rPr>
            </w:pPr>
            <w:r>
              <w:rPr>
                <w:rFonts w:hint="eastAsia" w:ascii="Times New Roman" w:hAnsi="Times New Roman"/>
                <w:color w:val="000000"/>
                <w:sz w:val="22"/>
                <w:shd w:val="clear" w:color="auto" w:fill="auto"/>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ascii="Times New Roman" w:hAnsi="Times New Roman"/>
                <w:color w:val="000000"/>
                <w:sz w:val="22"/>
                <w:shd w:val="clear" w:color="auto" w:fill="auto"/>
              </w:rPr>
            </w:pPr>
            <w:r>
              <w:rPr>
                <w:rFonts w:hint="eastAsia" w:ascii="Times New Roman" w:hAnsi="Times New Roman"/>
                <w:color w:val="000000"/>
                <w:sz w:val="22"/>
                <w:shd w:val="clear" w:color="auto" w:fill="auto"/>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ascii="Times New Roman" w:hAnsi="Times New Roman"/>
                <w:color w:val="000000"/>
                <w:sz w:val="22"/>
                <w:shd w:val="clear" w:color="auto" w:fill="auto"/>
              </w:rPr>
            </w:pPr>
            <w:r>
              <w:rPr>
                <w:rFonts w:hint="eastAsia" w:ascii="Times New Roman" w:hAnsi="Times New Roman"/>
                <w:color w:val="000000"/>
                <w:sz w:val="22"/>
                <w:shd w:val="clear" w:color="auto" w:fill="auto"/>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ascii="Times New Roman" w:hAnsi="Times New Roman"/>
                <w:color w:val="000000"/>
                <w:sz w:val="22"/>
                <w:shd w:val="clear" w:color="auto" w:fill="auto"/>
              </w:rPr>
            </w:pPr>
            <w:r>
              <w:rPr>
                <w:rFonts w:hint="eastAsia" w:ascii="Times New Roman" w:hAnsi="Times New Roman"/>
                <w:color w:val="000000"/>
                <w:sz w:val="22"/>
                <w:shd w:val="clear" w:color="auto" w:fill="auto"/>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rFonts w:ascii="Times New Roman" w:hAnsi="Times New Roman" w:cs="宋体"/>
                <w:b/>
                <w:bCs/>
                <w:color w:val="000000"/>
                <w:sz w:val="22"/>
                <w:shd w:val="clear" w:color="auto" w:fill="auto"/>
              </w:rPr>
            </w:pPr>
            <w:r>
              <w:rPr>
                <w:rFonts w:hint="eastAsia" w:ascii="Times New Roman" w:hAnsi="Times New Roman" w:cs="宋体"/>
                <w:b/>
                <w:bCs/>
                <w:color w:val="000000"/>
                <w:sz w:val="22"/>
                <w:shd w:val="clear" w:color="auto" w:fill="auto"/>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rFonts w:ascii="Times New Roman" w:hAnsi="Times New Roman"/>
                <w:b/>
                <w:bCs/>
                <w:color w:val="000000"/>
                <w:sz w:val="22"/>
                <w:shd w:val="clear" w:color="auto" w:fill="auto"/>
              </w:rPr>
            </w:pPr>
            <w:r>
              <w:rPr>
                <w:rFonts w:hint="eastAsia" w:ascii="Times New Roman" w:hAnsi="Times New Roman"/>
                <w:b/>
                <w:bCs/>
                <w:color w:val="000000"/>
                <w:sz w:val="22"/>
                <w:shd w:val="clear" w:color="auto" w:fill="auto"/>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rFonts w:ascii="Times New Roman" w:hAnsi="Times New Roman"/>
                <w:b/>
                <w:bCs/>
                <w:color w:val="000000"/>
                <w:sz w:val="22"/>
                <w:shd w:val="clear" w:color="auto" w:fill="auto"/>
              </w:rPr>
            </w:pPr>
            <w:r>
              <w:rPr>
                <w:rFonts w:hint="eastAsia" w:ascii="Times New Roman" w:hAnsi="Times New Roman"/>
                <w:b/>
                <w:bCs/>
                <w:color w:val="000000"/>
                <w:sz w:val="22"/>
                <w:shd w:val="clear" w:color="auto" w:fill="auto"/>
              </w:rPr>
              <w:t>100</w:t>
            </w:r>
          </w:p>
        </w:tc>
      </w:tr>
    </w:tbl>
    <w:p>
      <w:pPr>
        <w:pStyle w:val="2"/>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ascii="Times New Roman" w:hAnsi="Times New Roman"/>
          <w:shd w:val="clear" w:color="auto" w:fill="auto"/>
        </w:rPr>
      </w:pPr>
    </w:p>
    <w:p>
      <w:pPr>
        <w:pStyle w:val="3"/>
        <w:pageBreakBefore w:val="0"/>
        <w:kinsoku/>
        <w:wordWrap/>
        <w:overflowPunct/>
        <w:topLinePunct w:val="0"/>
        <w:autoSpaceDE/>
        <w:autoSpaceDN/>
        <w:bidi w:val="0"/>
        <w:adjustRightInd/>
        <w:snapToGrid/>
        <w:spacing w:before="0" w:after="0" w:line="560" w:lineRule="exact"/>
        <w:ind w:leftChars="0" w:firstLine="643" w:firstLineChars="200"/>
        <w:textAlignment w:val="auto"/>
        <w:rPr>
          <w:rFonts w:ascii="Times New Roman" w:hAnsi="Times New Roman" w:eastAsia="宋体"/>
          <w:sz w:val="32"/>
          <w:szCs w:val="32"/>
          <w:shd w:val="clear" w:color="auto" w:fill="auto"/>
        </w:rPr>
      </w:pPr>
      <w:bookmarkStart w:id="12" w:name="_Toc68703837"/>
      <w:r>
        <w:rPr>
          <w:rFonts w:hint="eastAsia" w:ascii="Times New Roman" w:hAnsi="Times New Roman" w:eastAsia="宋体"/>
          <w:sz w:val="32"/>
          <w:szCs w:val="32"/>
          <w:shd w:val="clear" w:color="auto" w:fill="auto"/>
        </w:rPr>
        <w:t>四、绩效评价指标分析</w:t>
      </w:r>
      <w:bookmarkEnd w:id="12"/>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Times New Roman" w:hAnsi="Times New Roman" w:eastAsia="仿宋_GB2312"/>
          <w:b w:val="0"/>
          <w:bCs w:val="0"/>
          <w:shd w:val="clear" w:color="auto" w:fill="auto"/>
        </w:rPr>
      </w:pPr>
      <w:bookmarkStart w:id="13" w:name="_Toc68703838"/>
      <w:r>
        <w:rPr>
          <w:rFonts w:hint="eastAsia" w:ascii="Times New Roman" w:hAnsi="Times New Roman" w:eastAsia="仿宋_GB2312"/>
          <w:b w:val="0"/>
          <w:bCs w:val="0"/>
          <w:shd w:val="clear" w:color="auto" w:fill="auto"/>
        </w:rPr>
        <w:t>（一）项目决策情况。</w:t>
      </w:r>
      <w:bookmarkEnd w:id="13"/>
    </w:p>
    <w:p>
      <w:pPr>
        <w:keepNext w:val="0"/>
        <w:keepLines w:val="0"/>
        <w:pageBreakBefore w:val="0"/>
        <w:kinsoku/>
        <w:wordWrap/>
        <w:overflowPunct/>
        <w:topLinePunct w:val="0"/>
        <w:autoSpaceDE/>
        <w:autoSpaceDN/>
        <w:bidi w:val="0"/>
        <w:adjustRightInd/>
        <w:snapToGrid/>
        <w:spacing w:line="560" w:lineRule="exact"/>
        <w:ind w:leftChars="0" w:firstLine="600" w:firstLineChars="200"/>
        <w:jc w:val="left"/>
        <w:textAlignment w:val="auto"/>
        <w:rPr>
          <w:rFonts w:hint="eastAsia" w:ascii="Times New Roman" w:hAnsi="Times New Roman" w:eastAsia="仿宋_GB2312"/>
          <w:b w:val="0"/>
          <w:bCs w:val="0"/>
          <w:sz w:val="30"/>
          <w:szCs w:val="30"/>
          <w:shd w:val="clear" w:color="auto" w:fill="auto"/>
        </w:rPr>
      </w:pPr>
      <w:r>
        <w:rPr>
          <w:rFonts w:hint="eastAsia" w:ascii="Times New Roman" w:hAnsi="Times New Roman" w:eastAsia="仿宋_GB2312"/>
          <w:b w:val="0"/>
          <w:bCs w:val="0"/>
          <w:sz w:val="30"/>
          <w:szCs w:val="30"/>
          <w:shd w:val="clear" w:color="auto" w:fill="auto"/>
        </w:rPr>
        <w:t>1</w:t>
      </w:r>
      <w:r>
        <w:rPr>
          <w:rFonts w:hint="eastAsia" w:ascii="Times New Roman" w:hAnsi="Times New Roman"/>
          <w:b w:val="0"/>
          <w:bCs w:val="0"/>
          <w:sz w:val="30"/>
          <w:szCs w:val="30"/>
          <w:shd w:val="clear" w:color="auto" w:fill="auto"/>
          <w:lang w:val="en-US" w:eastAsia="zh-CN"/>
        </w:rPr>
        <w:t>、</w:t>
      </w:r>
      <w:r>
        <w:rPr>
          <w:rFonts w:hint="eastAsia" w:ascii="Times New Roman" w:hAnsi="Times New Roman" w:eastAsia="仿宋_GB2312"/>
          <w:b w:val="0"/>
          <w:bCs w:val="0"/>
          <w:sz w:val="30"/>
          <w:szCs w:val="30"/>
          <w:shd w:val="clear" w:color="auto" w:fill="auto"/>
        </w:rPr>
        <w:t>立项依据充分性</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该项目立项符合《自治区人民政府关于自治区机关事业单位工作人员养老保险制度改革的表实施意见》（新政办发[2015]105号）精神等国家相关法律法规及发展政策，符合行业规划要求，围绕本年度工作重点和工作计划制定资金预算，属于公共财政支持范围。本项目与部门内部其他相关项目不重复。部门发展规划及职能文件等归档完整。</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default"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此项权重分3分，得分3分。</w:t>
      </w:r>
    </w:p>
    <w:p>
      <w:pPr>
        <w:keepNext w:val="0"/>
        <w:keepLines w:val="0"/>
        <w:pageBreakBefore w:val="0"/>
        <w:kinsoku/>
        <w:wordWrap/>
        <w:overflowPunct/>
        <w:topLinePunct w:val="0"/>
        <w:autoSpaceDE/>
        <w:autoSpaceDN/>
        <w:bidi w:val="0"/>
        <w:adjustRightInd/>
        <w:snapToGrid/>
        <w:spacing w:line="560" w:lineRule="exact"/>
        <w:ind w:leftChars="0" w:firstLine="600" w:firstLineChars="200"/>
        <w:jc w:val="left"/>
        <w:textAlignment w:val="auto"/>
        <w:rPr>
          <w:rFonts w:hint="eastAsia" w:ascii="Times New Roman" w:hAnsi="Times New Roman" w:eastAsia="仿宋_GB2312"/>
          <w:b w:val="0"/>
          <w:bCs w:val="0"/>
          <w:sz w:val="30"/>
          <w:szCs w:val="30"/>
          <w:shd w:val="clear" w:color="auto" w:fill="auto"/>
        </w:rPr>
      </w:pPr>
      <w:r>
        <w:rPr>
          <w:rFonts w:hint="eastAsia" w:ascii="Times New Roman" w:hAnsi="Times New Roman" w:eastAsia="仿宋_GB2312"/>
          <w:b w:val="0"/>
          <w:bCs w:val="0"/>
          <w:sz w:val="30"/>
          <w:szCs w:val="30"/>
          <w:shd w:val="clear" w:color="auto" w:fill="auto"/>
        </w:rPr>
        <w:t>2</w:t>
      </w:r>
      <w:r>
        <w:rPr>
          <w:rFonts w:hint="eastAsia" w:ascii="Times New Roman" w:hAnsi="Times New Roman"/>
          <w:b w:val="0"/>
          <w:bCs w:val="0"/>
          <w:sz w:val="30"/>
          <w:szCs w:val="30"/>
          <w:shd w:val="clear" w:color="auto" w:fill="auto"/>
          <w:lang w:val="en-US" w:eastAsia="zh-CN"/>
        </w:rPr>
        <w:t>、</w:t>
      </w:r>
      <w:r>
        <w:rPr>
          <w:rFonts w:hint="eastAsia" w:ascii="Times New Roman" w:hAnsi="Times New Roman" w:eastAsia="仿宋_GB2312"/>
          <w:b w:val="0"/>
          <w:bCs w:val="0"/>
          <w:sz w:val="30"/>
          <w:szCs w:val="30"/>
          <w:shd w:val="clear" w:color="auto" w:fill="auto"/>
        </w:rPr>
        <w:t>立项程序规范性</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项目按照规定的《国务院关于机机关事业单位工作人员养老保险制度改革的决定》（国发〔2015〕2 号和《关于自治区机关事业单位工作人员养老保险制度改革的实施意见》（新政发〔2015〕106 号）文件程序申请设立</w:t>
      </w:r>
      <w:r>
        <w:rPr>
          <w:rFonts w:hint="eastAsia" w:ascii="Times New Roman" w:hAnsi="Times New Roman" w:eastAsia="仿宋_GB2312" w:cs="仿宋_GB2312"/>
          <w:sz w:val="30"/>
          <w:szCs w:val="30"/>
          <w:shd w:val="clear" w:color="auto" w:fill="auto"/>
          <w:lang w:val="en-US" w:eastAsia="zh-Hans"/>
        </w:rPr>
        <w:t>；202</w:t>
      </w:r>
      <w:r>
        <w:rPr>
          <w:rFonts w:hint="eastAsia" w:ascii="Times New Roman" w:hAnsi="Times New Roman" w:eastAsia="仿宋_GB2312" w:cs="仿宋_GB2312"/>
          <w:sz w:val="30"/>
          <w:szCs w:val="30"/>
          <w:shd w:val="clear" w:color="auto" w:fill="auto"/>
          <w:lang w:val="en-US" w:eastAsia="zh-CN"/>
        </w:rPr>
        <w:t>3</w:t>
      </w:r>
      <w:r>
        <w:rPr>
          <w:rFonts w:hint="eastAsia" w:ascii="Times New Roman" w:hAnsi="Times New Roman" w:eastAsia="仿宋_GB2312" w:cs="仿宋_GB2312"/>
          <w:sz w:val="30"/>
          <w:szCs w:val="30"/>
          <w:shd w:val="clear" w:color="auto" w:fill="auto"/>
          <w:lang w:val="en-US" w:eastAsia="zh-Hans"/>
        </w:rPr>
        <w:t xml:space="preserve">年中央财政机关事业单位养老保险制度改革补助经费符合发放补贴要求；补助机关事业单位基本养老保险领取待遇人数大于或等于 </w:t>
      </w:r>
      <w:r>
        <w:rPr>
          <w:rFonts w:hint="eastAsia" w:ascii="Times New Roman" w:hAnsi="Times New Roman" w:eastAsia="仿宋_GB2312" w:cs="仿宋_GB2312"/>
          <w:sz w:val="30"/>
          <w:szCs w:val="30"/>
          <w:shd w:val="clear" w:color="auto" w:fill="auto"/>
          <w:lang w:val="en-US" w:eastAsia="zh-CN"/>
        </w:rPr>
        <w:t>7772</w:t>
      </w:r>
      <w:r>
        <w:rPr>
          <w:rFonts w:hint="eastAsia" w:ascii="Times New Roman" w:hAnsi="Times New Roman" w:eastAsia="仿宋_GB2312" w:cs="仿宋_GB2312"/>
          <w:sz w:val="30"/>
          <w:szCs w:val="30"/>
          <w:shd w:val="clear" w:color="auto" w:fill="auto"/>
          <w:lang w:val="en-US" w:eastAsia="zh-Hans"/>
        </w:rPr>
        <w:t>人目前已超额完成为</w:t>
      </w:r>
      <w:r>
        <w:rPr>
          <w:rFonts w:hint="eastAsia" w:ascii="Times New Roman" w:hAnsi="Times New Roman" w:eastAsia="仿宋_GB2312" w:cs="仿宋_GB2312"/>
          <w:sz w:val="30"/>
          <w:szCs w:val="30"/>
          <w:shd w:val="clear" w:color="auto" w:fill="auto"/>
          <w:lang w:val="en-US" w:eastAsia="zh-CN"/>
        </w:rPr>
        <w:t>7800</w:t>
      </w:r>
      <w:r>
        <w:rPr>
          <w:rFonts w:hint="eastAsia" w:ascii="Times New Roman" w:hAnsi="Times New Roman" w:eastAsia="仿宋_GB2312" w:cs="仿宋_GB2312"/>
          <w:sz w:val="30"/>
          <w:szCs w:val="30"/>
          <w:shd w:val="clear" w:color="auto" w:fill="auto"/>
          <w:lang w:val="en-US" w:eastAsia="zh-Hans"/>
        </w:rPr>
        <w:t xml:space="preserve"> 人，且完全符合</w:t>
      </w:r>
      <w:r>
        <w:rPr>
          <w:rFonts w:hint="eastAsia" w:ascii="Times New Roman" w:hAnsi="Times New Roman" w:eastAsia="仿宋_GB2312" w:cs="仿宋_GB2312"/>
          <w:sz w:val="30"/>
          <w:szCs w:val="30"/>
          <w:shd w:val="clear" w:color="auto" w:fill="auto"/>
          <w:lang w:val="en-US" w:eastAsia="zh-CN"/>
        </w:rPr>
        <w:t>《</w:t>
      </w:r>
      <w:r>
        <w:rPr>
          <w:rFonts w:hint="eastAsia" w:ascii="Times New Roman" w:hAnsi="Times New Roman" w:eastAsia="仿宋_GB2312" w:cs="仿宋_GB2312"/>
          <w:sz w:val="30"/>
          <w:szCs w:val="30"/>
          <w:shd w:val="clear" w:color="auto" w:fill="auto"/>
          <w:lang w:val="en-US" w:eastAsia="zh-Hans"/>
        </w:rPr>
        <w:t>关于提前下达2023年中央和自治区财政机关事业单位基本养老保险补助资金的通知》（新财社[2022]254号）文件精神</w:t>
      </w:r>
      <w:r>
        <w:rPr>
          <w:rFonts w:hint="eastAsia" w:ascii="Times New Roman" w:hAnsi="Times New Roman" w:eastAsia="仿宋_GB2312" w:cs="仿宋_GB2312"/>
          <w:sz w:val="30"/>
          <w:szCs w:val="30"/>
          <w:shd w:val="clear" w:color="auto" w:fill="auto"/>
          <w:lang w:val="en-US" w:eastAsia="zh-CN"/>
        </w:rPr>
        <w:t>。项目的审批文件、材料符合相关要求，项目事前经过必要的可行性研究、风险评估、绩效评估、集体决策，保障了程序的规范性。</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default"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此项权重分3分，得分3分。</w:t>
      </w:r>
    </w:p>
    <w:p>
      <w:pPr>
        <w:keepNext w:val="0"/>
        <w:keepLines w:val="0"/>
        <w:pageBreakBefore w:val="0"/>
        <w:kinsoku/>
        <w:wordWrap/>
        <w:overflowPunct/>
        <w:topLinePunct w:val="0"/>
        <w:autoSpaceDE/>
        <w:autoSpaceDN/>
        <w:bidi w:val="0"/>
        <w:adjustRightInd/>
        <w:snapToGrid/>
        <w:spacing w:line="560" w:lineRule="exact"/>
        <w:ind w:leftChars="0" w:firstLine="600" w:firstLineChars="200"/>
        <w:jc w:val="left"/>
        <w:textAlignment w:val="auto"/>
        <w:rPr>
          <w:rFonts w:hint="eastAsia" w:ascii="Times New Roman" w:hAnsi="Times New Roman" w:eastAsia="仿宋_GB2312"/>
          <w:b w:val="0"/>
          <w:bCs w:val="0"/>
          <w:sz w:val="30"/>
          <w:szCs w:val="30"/>
          <w:shd w:val="clear" w:color="auto" w:fill="auto"/>
        </w:rPr>
      </w:pPr>
      <w:r>
        <w:rPr>
          <w:rFonts w:hint="eastAsia" w:ascii="Times New Roman" w:hAnsi="Times New Roman" w:eastAsia="仿宋_GB2312"/>
          <w:b w:val="0"/>
          <w:bCs w:val="0"/>
          <w:sz w:val="30"/>
          <w:szCs w:val="30"/>
          <w:shd w:val="clear" w:color="auto" w:fill="auto"/>
        </w:rPr>
        <w:t>3</w:t>
      </w:r>
      <w:r>
        <w:rPr>
          <w:rFonts w:hint="eastAsia" w:ascii="Times New Roman" w:hAnsi="Times New Roman"/>
          <w:b w:val="0"/>
          <w:bCs w:val="0"/>
          <w:sz w:val="30"/>
          <w:szCs w:val="30"/>
          <w:shd w:val="clear" w:color="auto" w:fill="auto"/>
          <w:lang w:val="en-US" w:eastAsia="zh-CN"/>
        </w:rPr>
        <w:t>、</w:t>
      </w:r>
      <w:r>
        <w:rPr>
          <w:rFonts w:hint="eastAsia" w:ascii="Times New Roman" w:hAnsi="Times New Roman" w:eastAsia="仿宋_GB2312"/>
          <w:b w:val="0"/>
          <w:bCs w:val="0"/>
          <w:sz w:val="30"/>
          <w:szCs w:val="30"/>
          <w:shd w:val="clear" w:color="auto" w:fill="auto"/>
        </w:rPr>
        <w:t>绩效目标合理性</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该项目已设置年度绩效目标对符合条件的机关事业单位退休人员按时发放基本养老金。绩效目标与实际工作内容一致，两者具有相关性。该项目按照绩效目标完成数量指标、质量指标、时效指标、成本指标，有效保障了中央财政机关事业单位退休人员能够享受到基本的生活保障，年度绩效目标完成，预期产出效益和效果符合正常的业绩水平。该项目的预算金额为 34906万元，与设定目标里的预算项目资金投资额相匹配。</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rPr>
      </w:pPr>
      <w:r>
        <w:rPr>
          <w:rFonts w:hint="eastAsia" w:ascii="Times New Roman" w:hAnsi="Times New Roman" w:eastAsia="仿宋_GB2312" w:cs="仿宋_GB2312"/>
          <w:sz w:val="30"/>
          <w:szCs w:val="30"/>
          <w:shd w:val="clear" w:color="auto" w:fill="auto"/>
          <w:lang w:val="en-US" w:eastAsia="zh-CN"/>
        </w:rPr>
        <w:t>此项权重分3分，得分3分。</w:t>
      </w:r>
    </w:p>
    <w:p>
      <w:pPr>
        <w:keepNext w:val="0"/>
        <w:keepLines w:val="0"/>
        <w:pageBreakBefore w:val="0"/>
        <w:kinsoku/>
        <w:wordWrap/>
        <w:overflowPunct/>
        <w:topLinePunct w:val="0"/>
        <w:autoSpaceDE/>
        <w:autoSpaceDN/>
        <w:bidi w:val="0"/>
        <w:adjustRightInd/>
        <w:snapToGrid/>
        <w:spacing w:line="560" w:lineRule="exact"/>
        <w:ind w:leftChars="0" w:firstLine="600" w:firstLineChars="200"/>
        <w:jc w:val="left"/>
        <w:textAlignment w:val="auto"/>
        <w:rPr>
          <w:rFonts w:hint="eastAsia" w:ascii="Times New Roman" w:hAnsi="Times New Roman" w:eastAsia="仿宋_GB2312"/>
          <w:b w:val="0"/>
          <w:bCs w:val="0"/>
          <w:sz w:val="30"/>
          <w:szCs w:val="30"/>
          <w:shd w:val="clear" w:color="auto" w:fill="auto"/>
        </w:rPr>
      </w:pPr>
      <w:r>
        <w:rPr>
          <w:rFonts w:hint="eastAsia" w:ascii="Times New Roman" w:hAnsi="Times New Roman" w:eastAsia="仿宋_GB2312"/>
          <w:b w:val="0"/>
          <w:bCs w:val="0"/>
          <w:sz w:val="30"/>
          <w:szCs w:val="30"/>
          <w:shd w:val="clear" w:color="auto" w:fill="auto"/>
        </w:rPr>
        <w:t>4</w:t>
      </w:r>
      <w:r>
        <w:rPr>
          <w:rFonts w:hint="eastAsia" w:ascii="Times New Roman" w:hAnsi="Times New Roman"/>
          <w:b w:val="0"/>
          <w:bCs w:val="0"/>
          <w:sz w:val="30"/>
          <w:szCs w:val="30"/>
          <w:shd w:val="clear" w:color="auto" w:fill="auto"/>
          <w:lang w:val="en-US" w:eastAsia="zh-CN"/>
        </w:rPr>
        <w:t>、</w:t>
      </w:r>
      <w:r>
        <w:rPr>
          <w:rFonts w:hint="eastAsia" w:ascii="Times New Roman" w:hAnsi="Times New Roman" w:eastAsia="仿宋_GB2312"/>
          <w:b w:val="0"/>
          <w:bCs w:val="0"/>
          <w:sz w:val="30"/>
          <w:szCs w:val="30"/>
          <w:shd w:val="clear" w:color="auto" w:fill="auto"/>
        </w:rPr>
        <w:t>绩效指标明确性</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bookmarkStart w:id="14" w:name="_Hlk68699917"/>
      <w:r>
        <w:rPr>
          <w:rFonts w:hint="eastAsia" w:ascii="Times New Roman" w:hAnsi="Times New Roman" w:eastAsia="仿宋_GB2312" w:cs="仿宋_GB2312"/>
          <w:sz w:val="30"/>
          <w:szCs w:val="30"/>
          <w:shd w:val="clear" w:color="auto" w:fill="auto"/>
          <w:lang w:val="en-US" w:eastAsia="zh-CN"/>
        </w:rPr>
        <w:t>2023年财政机关事业单位基本养老保险补助资金项目将项目绩效目标细化分解为具体的绩效指标，一级指标共4条，二级指标共6条，三级指标共10条，其中量化指标条数共9条，所有绩效指标均通过清晰、可衡量的指标值予以体现，并且做到了与项目目标任务数或计划数相对应。</w:t>
      </w:r>
      <w:bookmarkEnd w:id="14"/>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rPr>
      </w:pPr>
      <w:r>
        <w:rPr>
          <w:rFonts w:hint="eastAsia" w:ascii="Times New Roman" w:hAnsi="Times New Roman" w:eastAsia="仿宋_GB2312" w:cs="仿宋_GB2312"/>
          <w:sz w:val="30"/>
          <w:szCs w:val="30"/>
          <w:shd w:val="clear" w:color="auto" w:fill="auto"/>
          <w:lang w:val="en-US" w:eastAsia="zh-CN"/>
        </w:rPr>
        <w:t>此项权重分3分，得分3分。</w:t>
      </w:r>
    </w:p>
    <w:p>
      <w:pPr>
        <w:keepNext w:val="0"/>
        <w:keepLines w:val="0"/>
        <w:pageBreakBefore w:val="0"/>
        <w:kinsoku/>
        <w:wordWrap/>
        <w:overflowPunct/>
        <w:topLinePunct w:val="0"/>
        <w:autoSpaceDE/>
        <w:autoSpaceDN/>
        <w:bidi w:val="0"/>
        <w:adjustRightInd/>
        <w:snapToGrid/>
        <w:spacing w:line="560" w:lineRule="exact"/>
        <w:ind w:leftChars="0" w:firstLine="600" w:firstLineChars="200"/>
        <w:jc w:val="left"/>
        <w:textAlignment w:val="auto"/>
        <w:rPr>
          <w:rFonts w:hint="eastAsia" w:ascii="Times New Roman" w:hAnsi="Times New Roman" w:eastAsia="仿宋_GB2312"/>
          <w:b w:val="0"/>
          <w:bCs w:val="0"/>
          <w:sz w:val="30"/>
          <w:szCs w:val="30"/>
          <w:shd w:val="clear" w:color="auto" w:fill="auto"/>
        </w:rPr>
      </w:pPr>
      <w:r>
        <w:rPr>
          <w:rFonts w:hint="eastAsia" w:ascii="Times New Roman" w:hAnsi="Times New Roman" w:eastAsia="仿宋_GB2312"/>
          <w:b w:val="0"/>
          <w:bCs w:val="0"/>
          <w:sz w:val="30"/>
          <w:szCs w:val="30"/>
          <w:shd w:val="clear" w:color="auto" w:fill="auto"/>
        </w:rPr>
        <w:t>5</w:t>
      </w:r>
      <w:r>
        <w:rPr>
          <w:rFonts w:hint="eastAsia" w:ascii="Times New Roman" w:hAnsi="Times New Roman"/>
          <w:b w:val="0"/>
          <w:bCs w:val="0"/>
          <w:sz w:val="30"/>
          <w:szCs w:val="30"/>
          <w:shd w:val="clear" w:color="auto" w:fill="auto"/>
          <w:lang w:val="en-US" w:eastAsia="zh-CN"/>
        </w:rPr>
        <w:t>、</w:t>
      </w:r>
      <w:r>
        <w:rPr>
          <w:rFonts w:hint="eastAsia" w:ascii="Times New Roman" w:hAnsi="Times New Roman" w:eastAsia="仿宋_GB2312"/>
          <w:b w:val="0"/>
          <w:bCs w:val="0"/>
          <w:sz w:val="30"/>
          <w:szCs w:val="30"/>
          <w:shd w:val="clear" w:color="auto" w:fill="auto"/>
        </w:rPr>
        <w:t>预算编制科学性</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Times New Roman"/>
          <w:b w:val="0"/>
          <w:bCs w:val="0"/>
          <w:kern w:val="2"/>
          <w:sz w:val="30"/>
          <w:szCs w:val="30"/>
          <w:shd w:val="clear" w:color="auto" w:fill="auto"/>
          <w:lang w:val="en-US" w:eastAsia="zh-CN" w:bidi="ar-SA"/>
        </w:rPr>
        <w:t>按</w:t>
      </w:r>
      <w:r>
        <w:rPr>
          <w:rFonts w:hint="eastAsia" w:ascii="Times New Roman" w:hAnsi="Times New Roman" w:eastAsia="仿宋_GB2312" w:cs="仿宋_GB2312"/>
          <w:sz w:val="30"/>
          <w:szCs w:val="30"/>
          <w:shd w:val="clear" w:color="auto" w:fill="auto"/>
          <w:lang w:val="en-US" w:eastAsia="zh-CN"/>
        </w:rPr>
        <w:t>照《自治区人民政府关于自治区机关事业单位工作人员养老保险制度改革的表实施意见》（新政办发[2015]105号）精神，此次预算编制经过科学论证，按照文件与实际标准编制，提供充分的测算依据佐证材料，预算内容与项目内容相匹配。预算确定的项目资金量与工作任务相匹配。</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此项权重分4分，得分4分。</w:t>
      </w:r>
    </w:p>
    <w:p>
      <w:pPr>
        <w:keepNext w:val="0"/>
        <w:keepLines w:val="0"/>
        <w:pageBreakBefore w:val="0"/>
        <w:kinsoku/>
        <w:wordWrap/>
        <w:overflowPunct/>
        <w:topLinePunct w:val="0"/>
        <w:autoSpaceDE/>
        <w:autoSpaceDN/>
        <w:bidi w:val="0"/>
        <w:adjustRightInd/>
        <w:snapToGrid/>
        <w:spacing w:line="560" w:lineRule="exact"/>
        <w:ind w:leftChars="0" w:firstLine="600" w:firstLineChars="200"/>
        <w:jc w:val="left"/>
        <w:textAlignment w:val="auto"/>
        <w:rPr>
          <w:rFonts w:hint="eastAsia" w:ascii="Times New Roman" w:hAnsi="Times New Roman" w:eastAsia="仿宋_GB2312"/>
          <w:b w:val="0"/>
          <w:bCs w:val="0"/>
          <w:sz w:val="30"/>
          <w:szCs w:val="30"/>
          <w:shd w:val="clear" w:color="auto" w:fill="auto"/>
        </w:rPr>
      </w:pPr>
      <w:r>
        <w:rPr>
          <w:rFonts w:hint="eastAsia" w:ascii="Times New Roman" w:hAnsi="Times New Roman" w:eastAsia="仿宋_GB2312"/>
          <w:b w:val="0"/>
          <w:bCs w:val="0"/>
          <w:sz w:val="30"/>
          <w:szCs w:val="30"/>
          <w:shd w:val="clear" w:color="auto" w:fill="auto"/>
        </w:rPr>
        <w:t>6</w:t>
      </w:r>
      <w:r>
        <w:rPr>
          <w:rFonts w:hint="eastAsia" w:ascii="Times New Roman" w:hAnsi="Times New Roman"/>
          <w:b w:val="0"/>
          <w:bCs w:val="0"/>
          <w:sz w:val="30"/>
          <w:szCs w:val="30"/>
          <w:shd w:val="clear" w:color="auto" w:fill="auto"/>
          <w:lang w:val="en-US" w:eastAsia="zh-CN"/>
        </w:rPr>
        <w:t>、</w:t>
      </w:r>
      <w:r>
        <w:rPr>
          <w:rFonts w:hint="eastAsia" w:ascii="Times New Roman" w:hAnsi="Times New Roman" w:eastAsia="仿宋_GB2312"/>
          <w:b w:val="0"/>
          <w:bCs w:val="0"/>
          <w:sz w:val="30"/>
          <w:szCs w:val="30"/>
          <w:shd w:val="clear" w:color="auto" w:fill="auto"/>
        </w:rPr>
        <w:t>资金分配合理性</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该项目实际分配资金以《</w:t>
      </w:r>
      <w:r>
        <w:rPr>
          <w:rFonts w:hint="eastAsia" w:ascii="Times New Roman" w:hAnsi="Times New Roman" w:eastAsia="仿宋_GB2312" w:cs="仿宋_GB2312"/>
          <w:sz w:val="30"/>
          <w:szCs w:val="30"/>
          <w:shd w:val="clear" w:color="auto" w:fill="auto"/>
          <w:lang w:val="en-US" w:eastAsia="zh-Hans"/>
        </w:rPr>
        <w:t>关于提前下达2023年中央和自治区财政机关事业单位基本养老保险补助资金的通知》（新财社[2022]254号）文件</w:t>
      </w:r>
      <w:r>
        <w:rPr>
          <w:rFonts w:hint="eastAsia" w:ascii="Times New Roman" w:hAnsi="Times New Roman" w:eastAsia="仿宋_GB2312" w:cs="仿宋_GB2312"/>
          <w:sz w:val="30"/>
          <w:szCs w:val="30"/>
          <w:shd w:val="clear" w:color="auto" w:fill="auto"/>
          <w:lang w:val="en-US" w:eastAsia="zh-CN"/>
        </w:rPr>
        <w:t>为依据进行资金分配，预算资金分配依据充分。资金分配额度共计34906万元与项目单位实际工作内</w:t>
      </w:r>
      <w:bookmarkStart w:id="21" w:name="_GoBack"/>
      <w:bookmarkEnd w:id="21"/>
      <w:r>
        <w:rPr>
          <w:rFonts w:hint="eastAsia" w:ascii="Times New Roman" w:hAnsi="Times New Roman" w:eastAsia="仿宋_GB2312" w:cs="仿宋_GB2312"/>
          <w:sz w:val="30"/>
          <w:szCs w:val="30"/>
          <w:shd w:val="clear" w:color="auto" w:fill="auto"/>
          <w:lang w:val="en-US" w:eastAsia="zh-CN"/>
        </w:rPr>
        <w:t>容相适应，实际分配资金与我单位提交申请的资金额度一致，资金分配额度合理，与我单位实际需求相适应。</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此项权重分4分，得分4分。</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Times New Roman" w:hAnsi="Times New Roman" w:eastAsia="仿宋_GB2312"/>
          <w:b w:val="0"/>
          <w:bCs w:val="0"/>
          <w:shd w:val="clear" w:color="auto" w:fill="auto"/>
        </w:rPr>
      </w:pPr>
      <w:bookmarkStart w:id="15" w:name="_Toc68703839"/>
      <w:r>
        <w:rPr>
          <w:rFonts w:hint="eastAsia" w:ascii="Times New Roman" w:hAnsi="Times New Roman" w:eastAsia="仿宋_GB2312"/>
          <w:b w:val="0"/>
          <w:bCs w:val="0"/>
          <w:shd w:val="clear" w:color="auto" w:fill="auto"/>
        </w:rPr>
        <w:t>（二）项目过程情况。</w:t>
      </w:r>
      <w:bookmarkEnd w:id="15"/>
    </w:p>
    <w:p>
      <w:pPr>
        <w:keepNext w:val="0"/>
        <w:keepLines w:val="0"/>
        <w:pageBreakBefore w:val="0"/>
        <w:kinsoku/>
        <w:wordWrap/>
        <w:overflowPunct/>
        <w:topLinePunct w:val="0"/>
        <w:autoSpaceDE/>
        <w:autoSpaceDN/>
        <w:bidi w:val="0"/>
        <w:adjustRightInd/>
        <w:snapToGrid/>
        <w:spacing w:line="560" w:lineRule="exact"/>
        <w:ind w:leftChars="0" w:firstLine="600" w:firstLineChars="200"/>
        <w:jc w:val="left"/>
        <w:textAlignment w:val="auto"/>
        <w:rPr>
          <w:rFonts w:hint="eastAsia" w:ascii="Times New Roman" w:hAnsi="Times New Roman" w:cs="Times New Roman"/>
          <w:sz w:val="30"/>
          <w:szCs w:val="30"/>
          <w:shd w:val="clear" w:color="auto" w:fill="auto"/>
        </w:rPr>
      </w:pPr>
      <w:r>
        <w:rPr>
          <w:rFonts w:hint="eastAsia" w:ascii="Times New Roman" w:hAnsi="Times New Roman" w:cs="Times New Roman"/>
          <w:sz w:val="30"/>
          <w:szCs w:val="30"/>
          <w:shd w:val="clear" w:color="auto" w:fill="auto"/>
        </w:rPr>
        <w:t>1</w:t>
      </w:r>
      <w:r>
        <w:rPr>
          <w:rFonts w:hint="eastAsia" w:ascii="Times New Roman" w:hAnsi="Times New Roman" w:cs="Times New Roman"/>
          <w:sz w:val="30"/>
          <w:szCs w:val="30"/>
          <w:shd w:val="clear" w:color="auto" w:fill="auto"/>
          <w:lang w:val="en-US" w:eastAsia="zh-CN"/>
        </w:rPr>
        <w:t>、</w:t>
      </w:r>
      <w:r>
        <w:rPr>
          <w:rFonts w:hint="eastAsia" w:ascii="Times New Roman" w:hAnsi="Times New Roman" w:cs="Times New Roman"/>
          <w:sz w:val="30"/>
          <w:szCs w:val="30"/>
          <w:shd w:val="clear" w:color="auto" w:fill="auto"/>
        </w:rPr>
        <w:t>资金到位率：</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预算资金34906万元，实际到位资金34906万元，资金到位率100%。</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此项权重分4分，得分4分。</w:t>
      </w:r>
    </w:p>
    <w:p>
      <w:pPr>
        <w:keepNext w:val="0"/>
        <w:keepLines w:val="0"/>
        <w:pageBreakBefore w:val="0"/>
        <w:kinsoku/>
        <w:wordWrap/>
        <w:overflowPunct/>
        <w:topLinePunct w:val="0"/>
        <w:autoSpaceDE/>
        <w:autoSpaceDN/>
        <w:bidi w:val="0"/>
        <w:adjustRightInd/>
        <w:snapToGrid/>
        <w:spacing w:line="560" w:lineRule="exact"/>
        <w:ind w:leftChars="0" w:firstLine="600" w:firstLineChars="200"/>
        <w:jc w:val="left"/>
        <w:textAlignment w:val="auto"/>
        <w:rPr>
          <w:rFonts w:hint="eastAsia" w:ascii="Times New Roman" w:hAnsi="Times New Roman" w:cs="Times New Roman"/>
          <w:sz w:val="30"/>
          <w:szCs w:val="30"/>
          <w:shd w:val="clear" w:color="auto" w:fill="auto"/>
        </w:rPr>
      </w:pPr>
      <w:r>
        <w:rPr>
          <w:rFonts w:hint="eastAsia" w:ascii="Times New Roman" w:hAnsi="Times New Roman" w:cs="Times New Roman"/>
          <w:sz w:val="30"/>
          <w:szCs w:val="30"/>
          <w:shd w:val="clear" w:color="auto" w:fill="auto"/>
        </w:rPr>
        <w:t>2</w:t>
      </w:r>
      <w:r>
        <w:rPr>
          <w:rFonts w:hint="eastAsia" w:ascii="Times New Roman" w:hAnsi="Times New Roman" w:cs="Times New Roman"/>
          <w:sz w:val="30"/>
          <w:szCs w:val="30"/>
          <w:shd w:val="clear" w:color="auto" w:fill="auto"/>
          <w:lang w:val="en-US" w:eastAsia="zh-CN"/>
        </w:rPr>
        <w:t>、</w:t>
      </w:r>
      <w:r>
        <w:rPr>
          <w:rFonts w:hint="eastAsia" w:ascii="Times New Roman" w:hAnsi="Times New Roman" w:cs="Times New Roman"/>
          <w:sz w:val="30"/>
          <w:szCs w:val="30"/>
          <w:shd w:val="clear" w:color="auto" w:fill="auto"/>
        </w:rPr>
        <w:t>预算执行率</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年初预算数33883万元，全年预算数34906万元，全年执行数34906万元，预算执行率为100%。</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此项权重分4分，得分4分。</w:t>
      </w:r>
    </w:p>
    <w:p>
      <w:pPr>
        <w:keepNext w:val="0"/>
        <w:keepLines w:val="0"/>
        <w:pageBreakBefore w:val="0"/>
        <w:kinsoku/>
        <w:wordWrap/>
        <w:overflowPunct/>
        <w:topLinePunct w:val="0"/>
        <w:autoSpaceDE/>
        <w:autoSpaceDN/>
        <w:bidi w:val="0"/>
        <w:adjustRightInd/>
        <w:snapToGrid/>
        <w:spacing w:line="560" w:lineRule="exact"/>
        <w:ind w:leftChars="0" w:firstLine="600" w:firstLineChars="200"/>
        <w:jc w:val="left"/>
        <w:textAlignment w:val="auto"/>
        <w:rPr>
          <w:rFonts w:hint="eastAsia" w:ascii="Times New Roman" w:hAnsi="Times New Roman" w:cs="Times New Roman"/>
          <w:sz w:val="30"/>
          <w:szCs w:val="30"/>
          <w:shd w:val="clear" w:color="auto" w:fill="auto"/>
        </w:rPr>
      </w:pPr>
      <w:r>
        <w:rPr>
          <w:rFonts w:hint="eastAsia" w:ascii="Times New Roman" w:hAnsi="Times New Roman" w:cs="Times New Roman"/>
          <w:sz w:val="30"/>
          <w:szCs w:val="30"/>
          <w:shd w:val="clear" w:color="auto" w:fill="auto"/>
        </w:rPr>
        <w:t>3</w:t>
      </w:r>
      <w:r>
        <w:rPr>
          <w:rFonts w:hint="eastAsia" w:ascii="Times New Roman" w:hAnsi="Times New Roman" w:cs="Times New Roman"/>
          <w:sz w:val="30"/>
          <w:szCs w:val="30"/>
          <w:shd w:val="clear" w:color="auto" w:fill="auto"/>
          <w:lang w:val="en-US" w:eastAsia="zh-CN"/>
        </w:rPr>
        <w:t>、</w:t>
      </w:r>
      <w:r>
        <w:rPr>
          <w:rFonts w:hint="eastAsia" w:ascii="Times New Roman" w:hAnsi="Times New Roman" w:cs="Times New Roman"/>
          <w:sz w:val="30"/>
          <w:szCs w:val="30"/>
          <w:shd w:val="clear" w:color="auto" w:fill="auto"/>
        </w:rPr>
        <w:t>资金使用合规性</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项目严格按照预期绩效目标执行预算资金。该项目资金使用符合国家财经法规、《社会保险基金会计制度》以及《社会保险基金财务制度》，资金的拨付有完整的审批程序和手续，资金实际使用方向与预算批复用途一致，不存在截留、挤占、挪用、虚列支出的情况。</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此项权重分4分，得分4分。</w:t>
      </w:r>
    </w:p>
    <w:p>
      <w:pPr>
        <w:keepNext w:val="0"/>
        <w:keepLines w:val="0"/>
        <w:pageBreakBefore w:val="0"/>
        <w:kinsoku/>
        <w:wordWrap/>
        <w:overflowPunct/>
        <w:topLinePunct w:val="0"/>
        <w:autoSpaceDE/>
        <w:autoSpaceDN/>
        <w:bidi w:val="0"/>
        <w:adjustRightInd/>
        <w:snapToGrid/>
        <w:spacing w:line="560" w:lineRule="exact"/>
        <w:ind w:leftChars="0" w:firstLine="600" w:firstLineChars="200"/>
        <w:jc w:val="left"/>
        <w:textAlignment w:val="auto"/>
        <w:rPr>
          <w:rFonts w:hint="eastAsia" w:ascii="Times New Roman" w:hAnsi="Times New Roman" w:cs="Times New Roman"/>
          <w:sz w:val="30"/>
          <w:szCs w:val="30"/>
          <w:shd w:val="clear" w:color="auto" w:fill="auto"/>
        </w:rPr>
      </w:pPr>
      <w:r>
        <w:rPr>
          <w:rFonts w:hint="eastAsia" w:ascii="Times New Roman" w:hAnsi="Times New Roman" w:cs="Times New Roman"/>
          <w:sz w:val="30"/>
          <w:szCs w:val="30"/>
          <w:shd w:val="clear" w:color="auto" w:fill="auto"/>
        </w:rPr>
        <w:t>4</w:t>
      </w:r>
      <w:r>
        <w:rPr>
          <w:rFonts w:hint="eastAsia" w:ascii="Times New Roman" w:hAnsi="Times New Roman" w:cs="Times New Roman"/>
          <w:sz w:val="30"/>
          <w:szCs w:val="30"/>
          <w:shd w:val="clear" w:color="auto" w:fill="auto"/>
          <w:lang w:val="en-US" w:eastAsia="zh-CN"/>
        </w:rPr>
        <w:t>、</w:t>
      </w:r>
      <w:r>
        <w:rPr>
          <w:rFonts w:hint="eastAsia" w:ascii="Times New Roman" w:hAnsi="Times New Roman" w:cs="Times New Roman"/>
          <w:sz w:val="30"/>
          <w:szCs w:val="30"/>
          <w:shd w:val="clear" w:color="auto" w:fill="auto"/>
        </w:rPr>
        <w:t>管理制度健全性</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制定了单位内部内控制度，上述已建立的制度均符合行政事业单位内控管理要求，财务和业务管理制度合法、合规、完整，该项目执行符合上述制度规定。</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此项权重分4分，得分4分。</w:t>
      </w:r>
    </w:p>
    <w:p>
      <w:pPr>
        <w:keepNext w:val="0"/>
        <w:keepLines w:val="0"/>
        <w:pageBreakBefore w:val="0"/>
        <w:kinsoku/>
        <w:wordWrap/>
        <w:overflowPunct/>
        <w:topLinePunct w:val="0"/>
        <w:autoSpaceDE/>
        <w:autoSpaceDN/>
        <w:bidi w:val="0"/>
        <w:adjustRightInd/>
        <w:snapToGrid/>
        <w:spacing w:line="560" w:lineRule="exact"/>
        <w:ind w:leftChars="0" w:firstLine="600" w:firstLineChars="200"/>
        <w:jc w:val="left"/>
        <w:textAlignment w:val="auto"/>
        <w:rPr>
          <w:rFonts w:hint="eastAsia" w:ascii="Times New Roman" w:hAnsi="Times New Roman" w:cs="Times New Roman"/>
          <w:sz w:val="30"/>
          <w:szCs w:val="30"/>
          <w:shd w:val="clear" w:color="auto" w:fill="auto"/>
        </w:rPr>
      </w:pPr>
      <w:r>
        <w:rPr>
          <w:rFonts w:hint="eastAsia" w:ascii="Times New Roman" w:hAnsi="Times New Roman" w:cs="Times New Roman"/>
          <w:sz w:val="30"/>
          <w:szCs w:val="30"/>
          <w:shd w:val="clear" w:color="auto" w:fill="auto"/>
        </w:rPr>
        <w:t>5</w:t>
      </w:r>
      <w:r>
        <w:rPr>
          <w:rFonts w:hint="eastAsia" w:ascii="Times New Roman" w:hAnsi="Times New Roman" w:cs="Times New Roman"/>
          <w:sz w:val="30"/>
          <w:szCs w:val="30"/>
          <w:shd w:val="clear" w:color="auto" w:fill="auto"/>
          <w:lang w:val="en-US" w:eastAsia="zh-CN"/>
        </w:rPr>
        <w:t>、</w:t>
      </w:r>
      <w:r>
        <w:rPr>
          <w:rFonts w:hint="eastAsia" w:ascii="Times New Roman" w:hAnsi="Times New Roman" w:cs="Times New Roman"/>
          <w:sz w:val="30"/>
          <w:szCs w:val="30"/>
          <w:shd w:val="clear" w:color="auto" w:fill="auto"/>
        </w:rPr>
        <w:t>制度执行有效性</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该项目的实施符合《巴州社会保险基金财务科内部控制制度》、等相关法律法规及管理规定，项目具备完整规范的立项程序；经查证项目实施过程资料，验收等过程均按照相关制度执行，基本完成既定目标；经查证项目资金支付审批表、记账凭证等资金拨付流程资料，项目资金拨付流程完整、手续齐全。综上分析，项目执行遵守相关法律法规和相关管理规定。项目财务支付凭证等资料齐全并及时归档。《</w:t>
      </w:r>
      <w:r>
        <w:rPr>
          <w:rFonts w:hint="eastAsia" w:ascii="Times New Roman" w:hAnsi="Times New Roman" w:eastAsia="仿宋_GB2312" w:cs="仿宋_GB2312"/>
          <w:sz w:val="30"/>
          <w:szCs w:val="30"/>
          <w:shd w:val="clear" w:color="auto" w:fill="auto"/>
          <w:lang w:val="en-US" w:eastAsia="zh-Hans"/>
        </w:rPr>
        <w:t>关于提前下达2023年中央和自治区财政机关事业单位基本养老保险补助资金的通知》（新财社[2022]254号）</w:t>
      </w:r>
      <w:r>
        <w:rPr>
          <w:rFonts w:hint="eastAsia" w:ascii="Times New Roman" w:hAnsi="Times New Roman" w:eastAsia="仿宋_GB2312" w:cs="仿宋_GB2312"/>
          <w:sz w:val="30"/>
          <w:szCs w:val="30"/>
          <w:shd w:val="clear" w:color="auto" w:fill="auto"/>
          <w:lang w:val="en-US" w:eastAsia="zh-CN"/>
        </w:rPr>
        <w:t>每月按社保平台退休人数核定当月实际发放金额汇总报基金财务科申请资金，在由基金财务到财政申请财政专项资金，财政按申请划拨资金至社保基金专户，由社保出纳全程电子化发放至待遇领取人社保卡内。本项目全程由社保系统电子化发放。发放过程实行三级审核。该项目实施过程中不存在调整事项。该项目主要使用自治区社保专社保三版专用网实施所需要的项目内容，全程为电子化操作。具体涉及内容包括：为确保项目的顺利实施我单位有专人专岗负责操作退休人员待遇发放工作，能够做到项目实施无偏差。</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rPr>
      </w:pPr>
      <w:r>
        <w:rPr>
          <w:rFonts w:hint="eastAsia" w:ascii="Times New Roman" w:hAnsi="Times New Roman" w:eastAsia="仿宋_GB2312" w:cs="仿宋_GB2312"/>
          <w:sz w:val="30"/>
          <w:szCs w:val="30"/>
          <w:shd w:val="clear" w:color="auto" w:fill="auto"/>
          <w:lang w:val="en-US" w:eastAsia="zh-CN"/>
        </w:rPr>
        <w:t>此项权重分4分，得分4分。</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heme="majorBidi"/>
          <w:b w:val="0"/>
          <w:bCs w:val="0"/>
          <w:kern w:val="2"/>
          <w:sz w:val="32"/>
          <w:szCs w:val="32"/>
          <w:shd w:val="clear" w:color="auto" w:fill="auto"/>
          <w:lang w:val="en-US" w:eastAsia="zh-CN" w:bidi="ar-SA"/>
        </w:rPr>
      </w:pPr>
      <w:bookmarkStart w:id="16" w:name="_Toc68703840"/>
      <w:r>
        <w:rPr>
          <w:rFonts w:hint="eastAsia" w:ascii="Times New Roman" w:hAnsi="Times New Roman" w:eastAsia="仿宋_GB2312" w:cstheme="majorBidi"/>
          <w:b w:val="0"/>
          <w:bCs w:val="0"/>
          <w:kern w:val="2"/>
          <w:sz w:val="32"/>
          <w:szCs w:val="32"/>
          <w:shd w:val="clear" w:color="auto" w:fill="auto"/>
          <w:lang w:val="en-US" w:eastAsia="zh-CN" w:bidi="ar-SA"/>
        </w:rPr>
        <w:t>（三）项目产出情况。</w:t>
      </w:r>
      <w:bookmarkEnd w:id="16"/>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1、数量指标完成情况：</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指标1：基本养老保险金发放次数，指标值：12次，实际完成值：12次，指标完成率100%，偏差原因：无偏差</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指标2：补助机关事业单位基本养老保险领取待遇人数，指标值：7772人，实际完成值：7800人，指标完成率100.36%，偏差原因：年底有新增退休人员。</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default"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此项权重分10分，得分10分。</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2、质量指标完成情况：</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指标1：符合机关事业单位养老保险待遇发放政策范围补助率，指标值：100%，实际完成值：100%，指标完成率100%。偏差原因：无偏差。</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指标2：养老金首次发放准确率，指标值：100%，实际完成值：100%，指标完成率100%。偏差原因：无偏差。</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指标3：保障机关事业单位退休人员覆盖率，指标值：100%，实际完成值：100%，指标完成率100%。偏差原因：无偏差。</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此项权重分10分，得分16分。</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eastAsia="zh-CN"/>
        </w:rPr>
      </w:pPr>
      <w:r>
        <w:rPr>
          <w:rFonts w:hint="eastAsia" w:ascii="Times New Roman" w:hAnsi="Times New Roman" w:eastAsia="仿宋_GB2312" w:cs="仿宋_GB2312"/>
          <w:sz w:val="30"/>
          <w:szCs w:val="30"/>
          <w:shd w:val="clear" w:color="auto" w:fill="auto"/>
          <w:lang w:val="en-US" w:eastAsia="zh-CN"/>
        </w:rPr>
        <w:t>3、</w:t>
      </w:r>
      <w:r>
        <w:rPr>
          <w:rFonts w:hint="eastAsia" w:ascii="Times New Roman" w:hAnsi="Times New Roman" w:eastAsia="仿宋_GB2312" w:cs="仿宋_GB2312"/>
          <w:sz w:val="30"/>
          <w:szCs w:val="30"/>
          <w:shd w:val="clear" w:color="auto" w:fill="auto"/>
        </w:rPr>
        <w:t>时效指标</w:t>
      </w:r>
      <w:r>
        <w:rPr>
          <w:rFonts w:hint="eastAsia" w:ascii="Times New Roman" w:hAnsi="Times New Roman" w:eastAsia="仿宋_GB2312" w:cs="仿宋_GB2312"/>
          <w:sz w:val="30"/>
          <w:szCs w:val="30"/>
          <w:shd w:val="clear" w:color="auto" w:fill="auto"/>
          <w:lang w:eastAsia="zh-CN"/>
        </w:rPr>
        <w:t>完成情况</w:t>
      </w:r>
      <w:r>
        <w:rPr>
          <w:rFonts w:hint="eastAsia" w:ascii="Times New Roman" w:hAnsi="Times New Roman" w:eastAsia="仿宋_GB2312" w:cs="仿宋_GB2312"/>
          <w:sz w:val="30"/>
          <w:szCs w:val="30"/>
          <w:shd w:val="clear" w:color="auto" w:fill="auto"/>
        </w:rPr>
        <w:t>：</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指标1：在规定时限内拨付补助资金率，指标值：100%，实际完成值：100%，指标完成率100%。偏差原因：无偏差。</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指标2：基础养老金待遇发放及时率，指标值：100%，实际完成值100%，指标完成率100%。偏差原因：无偏差。</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此项权重分10分，得分10分。</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eastAsia="zh-CN"/>
        </w:rPr>
      </w:pPr>
      <w:r>
        <w:rPr>
          <w:rFonts w:hint="eastAsia" w:ascii="Times New Roman" w:hAnsi="Times New Roman" w:eastAsia="仿宋_GB2312" w:cs="仿宋_GB2312"/>
          <w:sz w:val="30"/>
          <w:szCs w:val="30"/>
          <w:shd w:val="clear" w:color="auto" w:fill="auto"/>
          <w:lang w:val="en-US" w:eastAsia="zh-CN"/>
        </w:rPr>
        <w:t>4、经济成本指标完成情况</w:t>
      </w:r>
      <w:r>
        <w:rPr>
          <w:rFonts w:hint="eastAsia" w:ascii="Times New Roman" w:hAnsi="Times New Roman" w:eastAsia="仿宋_GB2312" w:cs="仿宋_GB2312"/>
          <w:sz w:val="30"/>
          <w:szCs w:val="30"/>
          <w:shd w:val="clear" w:color="auto" w:fill="auto"/>
          <w:lang w:eastAsia="zh-CN"/>
        </w:rPr>
        <w:t>：</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平均每次发放金额，指标值：&lt;=2908.83万元，实际完成值2908.83万元，指标完成率100%。偏差原因：无偏差。</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val="en-US" w:eastAsia="zh-CN"/>
        </w:rPr>
      </w:pPr>
      <w:r>
        <w:rPr>
          <w:rFonts w:hint="eastAsia" w:ascii="Times New Roman" w:hAnsi="Times New Roman" w:eastAsia="仿宋_GB2312" w:cs="仿宋_GB2312"/>
          <w:sz w:val="30"/>
          <w:szCs w:val="30"/>
          <w:shd w:val="clear" w:color="auto" w:fill="auto"/>
          <w:lang w:val="en-US" w:eastAsia="zh-CN"/>
        </w:rPr>
        <w:t>此项权重分10分，得分10分。</w:t>
      </w:r>
    </w:p>
    <w:p>
      <w:pPr>
        <w:pageBreakBefore w:val="0"/>
        <w:numPr>
          <w:ilvl w:val="0"/>
          <w:numId w:val="3"/>
        </w:numPr>
        <w:kinsoku/>
        <w:wordWrap/>
        <w:overflowPunct/>
        <w:topLinePunct w:val="0"/>
        <w:autoSpaceDE/>
        <w:autoSpaceDN/>
        <w:bidi w:val="0"/>
        <w:adjustRightInd/>
        <w:snapToGrid/>
        <w:spacing w:line="560" w:lineRule="exact"/>
        <w:ind w:leftChars="0" w:firstLine="640" w:firstLineChars="200"/>
        <w:textAlignment w:val="auto"/>
        <w:outlineLvl w:val="0"/>
        <w:rPr>
          <w:rFonts w:hint="eastAsia" w:ascii="Times New Roman" w:hAnsi="Times New Roman" w:eastAsia="仿宋_GB2312"/>
          <w:b w:val="0"/>
          <w:bCs w:val="0"/>
          <w:color w:val="auto"/>
          <w:sz w:val="32"/>
          <w:szCs w:val="28"/>
          <w:highlight w:val="none"/>
          <w:shd w:val="clear" w:color="auto" w:fill="auto"/>
        </w:rPr>
      </w:pPr>
      <w:bookmarkStart w:id="17" w:name="_Toc68703841"/>
      <w:r>
        <w:rPr>
          <w:rFonts w:hint="eastAsia" w:ascii="Times New Roman" w:hAnsi="Times New Roman" w:eastAsia="仿宋_GB2312"/>
          <w:b w:val="0"/>
          <w:bCs w:val="0"/>
          <w:color w:val="auto"/>
          <w:sz w:val="32"/>
          <w:szCs w:val="28"/>
          <w:highlight w:val="none"/>
          <w:shd w:val="clear" w:color="auto" w:fill="auto"/>
        </w:rPr>
        <w:t>项目效益情况。</w:t>
      </w:r>
      <w:bookmarkEnd w:id="17"/>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rPr>
      </w:pPr>
      <w:r>
        <w:rPr>
          <w:rFonts w:hint="eastAsia" w:ascii="Times New Roman" w:hAnsi="Times New Roman" w:eastAsia="仿宋_GB2312" w:cs="仿宋_GB2312"/>
          <w:sz w:val="30"/>
          <w:szCs w:val="30"/>
          <w:shd w:val="clear" w:color="auto" w:fill="auto"/>
          <w:lang w:val="en-US" w:eastAsia="zh-CN"/>
        </w:rPr>
        <w:t>1、</w:t>
      </w:r>
      <w:r>
        <w:rPr>
          <w:rFonts w:hint="eastAsia" w:ascii="Times New Roman" w:hAnsi="Times New Roman" w:eastAsia="仿宋_GB2312" w:cs="仿宋_GB2312"/>
          <w:sz w:val="30"/>
          <w:szCs w:val="30"/>
          <w:shd w:val="clear" w:color="auto" w:fill="auto"/>
        </w:rPr>
        <w:t>社会效益指标</w:t>
      </w:r>
      <w:r>
        <w:rPr>
          <w:rFonts w:hint="eastAsia" w:ascii="Times New Roman" w:hAnsi="Times New Roman" w:eastAsia="仿宋_GB2312" w:cs="仿宋_GB2312"/>
          <w:sz w:val="30"/>
          <w:szCs w:val="30"/>
          <w:shd w:val="clear" w:color="auto" w:fill="auto"/>
          <w:lang w:eastAsia="zh-CN"/>
        </w:rPr>
        <w:t>完成情况</w:t>
      </w:r>
      <w:r>
        <w:rPr>
          <w:rFonts w:hint="eastAsia" w:ascii="Times New Roman" w:hAnsi="Times New Roman" w:eastAsia="仿宋_GB2312" w:cs="仿宋_GB2312"/>
          <w:sz w:val="30"/>
          <w:szCs w:val="30"/>
          <w:shd w:val="clear" w:color="auto" w:fill="auto"/>
        </w:rPr>
        <w:t>：保障机关事业单位退休人员基本养老金待遇，指标值：有效</w:t>
      </w:r>
      <w:r>
        <w:rPr>
          <w:rFonts w:hint="eastAsia" w:ascii="Times New Roman" w:hAnsi="Times New Roman" w:eastAsia="仿宋_GB2312" w:cs="仿宋_GB2312"/>
          <w:sz w:val="30"/>
          <w:szCs w:val="30"/>
          <w:shd w:val="clear" w:color="auto" w:fill="auto"/>
          <w:lang w:eastAsia="zh-CN"/>
        </w:rPr>
        <w:t>保障</w:t>
      </w:r>
      <w:r>
        <w:rPr>
          <w:rFonts w:hint="eastAsia" w:ascii="Times New Roman" w:hAnsi="Times New Roman" w:eastAsia="仿宋_GB2312" w:cs="仿宋_GB2312"/>
          <w:sz w:val="30"/>
          <w:szCs w:val="30"/>
          <w:shd w:val="clear" w:color="auto" w:fill="auto"/>
        </w:rPr>
        <w:t>，实际完成值：达成目标，指标完成率：100%。偏差原因：无偏差</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rPr>
      </w:pPr>
      <w:r>
        <w:rPr>
          <w:rFonts w:hint="eastAsia" w:ascii="Times New Roman" w:hAnsi="Times New Roman" w:eastAsia="仿宋_GB2312" w:cs="仿宋_GB2312"/>
          <w:sz w:val="30"/>
          <w:szCs w:val="30"/>
          <w:shd w:val="clear" w:color="auto" w:fill="auto"/>
          <w:lang w:val="en-US" w:eastAsia="zh-CN"/>
        </w:rPr>
        <w:t>此项权重分10分，得分10分。</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rPr>
      </w:pPr>
      <w:r>
        <w:rPr>
          <w:rFonts w:hint="eastAsia" w:ascii="Times New Roman" w:hAnsi="Times New Roman" w:eastAsia="仿宋_GB2312" w:cs="仿宋_GB2312"/>
          <w:sz w:val="30"/>
          <w:szCs w:val="30"/>
          <w:shd w:val="clear" w:color="auto" w:fill="auto"/>
          <w:lang w:val="en-US" w:eastAsia="zh-CN"/>
        </w:rPr>
        <w:t>2、</w:t>
      </w:r>
      <w:r>
        <w:rPr>
          <w:rFonts w:hint="eastAsia" w:ascii="Times New Roman" w:hAnsi="Times New Roman" w:eastAsia="仿宋_GB2312" w:cs="仿宋_GB2312"/>
          <w:sz w:val="30"/>
          <w:szCs w:val="30"/>
          <w:shd w:val="clear" w:color="auto" w:fill="auto"/>
        </w:rPr>
        <w:t>满意度指标</w:t>
      </w:r>
      <w:r>
        <w:rPr>
          <w:rFonts w:hint="eastAsia" w:ascii="Times New Roman" w:hAnsi="Times New Roman" w:eastAsia="仿宋_GB2312" w:cs="仿宋_GB2312"/>
          <w:sz w:val="30"/>
          <w:szCs w:val="30"/>
          <w:shd w:val="clear" w:color="auto" w:fill="auto"/>
          <w:lang w:eastAsia="zh-CN"/>
        </w:rPr>
        <w:t>完成情况分析</w:t>
      </w:r>
      <w:r>
        <w:rPr>
          <w:rFonts w:hint="eastAsia" w:ascii="Times New Roman" w:hAnsi="Times New Roman" w:eastAsia="仿宋_GB2312" w:cs="仿宋_GB2312"/>
          <w:sz w:val="30"/>
          <w:szCs w:val="30"/>
          <w:shd w:val="clear" w:color="auto" w:fill="auto"/>
        </w:rPr>
        <w:t>：满意度指标：机关事业单位退休人员满意度，指标值：&gt;=95%，实际完成值：95%，指标完成率：100%。偏差原因：无偏差。</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rPr>
      </w:pPr>
      <w:r>
        <w:rPr>
          <w:rFonts w:hint="eastAsia" w:ascii="Times New Roman" w:hAnsi="Times New Roman" w:eastAsia="仿宋_GB2312" w:cs="仿宋_GB2312"/>
          <w:sz w:val="30"/>
          <w:szCs w:val="30"/>
          <w:shd w:val="clear" w:color="auto" w:fill="auto"/>
          <w:lang w:val="en-US" w:eastAsia="zh-CN"/>
        </w:rPr>
        <w:t>此项权重分10分，得分10分。</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黑体" w:cs="Times New Roman"/>
          <w:sz w:val="32"/>
          <w:szCs w:val="32"/>
          <w:shd w:val="clear" w:color="auto" w:fill="auto"/>
          <w:lang w:eastAsia="zh-Hans"/>
        </w:rPr>
      </w:pPr>
      <w:bookmarkStart w:id="18" w:name="_Toc68703842"/>
      <w:r>
        <w:rPr>
          <w:rFonts w:hint="eastAsia" w:ascii="Times New Roman" w:hAnsi="Times New Roman" w:eastAsia="黑体" w:cs="Times New Roman"/>
          <w:sz w:val="32"/>
          <w:szCs w:val="32"/>
          <w:shd w:val="clear" w:color="auto" w:fill="auto"/>
          <w:lang w:eastAsia="zh-Hans"/>
        </w:rPr>
        <w:t>五、预算执行进度与绩效指标总体完成率偏差</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rPr>
      </w:pPr>
      <w:r>
        <w:rPr>
          <w:rFonts w:hint="eastAsia" w:ascii="Times New Roman" w:hAnsi="Times New Roman" w:eastAsia="仿宋_GB2312" w:cs="仿宋_GB2312"/>
          <w:sz w:val="30"/>
          <w:szCs w:val="30"/>
          <w:shd w:val="clear" w:color="auto" w:fill="auto"/>
        </w:rPr>
        <w:t>202</w:t>
      </w:r>
      <w:r>
        <w:rPr>
          <w:rFonts w:hint="eastAsia" w:cs="仿宋_GB2312"/>
          <w:sz w:val="30"/>
          <w:szCs w:val="30"/>
          <w:shd w:val="clear" w:color="auto" w:fill="auto"/>
          <w:lang w:val="en-US" w:eastAsia="zh-CN"/>
        </w:rPr>
        <w:t>3</w:t>
      </w:r>
      <w:r>
        <w:rPr>
          <w:rFonts w:hint="eastAsia" w:ascii="Times New Roman" w:hAnsi="Times New Roman" w:eastAsia="仿宋_GB2312" w:cs="仿宋_GB2312"/>
          <w:sz w:val="30"/>
          <w:szCs w:val="30"/>
          <w:shd w:val="clear" w:color="auto" w:fill="auto"/>
        </w:rPr>
        <w:t>年财政机关事业单位基本养老保险补助资金项目年初预算</w:t>
      </w:r>
      <w:r>
        <w:rPr>
          <w:rFonts w:hint="eastAsia" w:ascii="Times New Roman" w:hAnsi="Times New Roman" w:eastAsia="仿宋_GB2312" w:cs="仿宋_GB2312"/>
          <w:sz w:val="30"/>
          <w:szCs w:val="30"/>
          <w:shd w:val="clear" w:color="auto" w:fill="auto"/>
          <w:lang w:val="en-US" w:eastAsia="zh-CN"/>
        </w:rPr>
        <w:t>33833</w:t>
      </w:r>
      <w:r>
        <w:rPr>
          <w:rFonts w:hint="eastAsia" w:ascii="Times New Roman" w:hAnsi="Times New Roman" w:eastAsia="仿宋_GB2312" w:cs="仿宋_GB2312"/>
          <w:sz w:val="30"/>
          <w:szCs w:val="30"/>
          <w:shd w:val="clear" w:color="auto" w:fill="auto"/>
        </w:rPr>
        <w:t>万元，全年预算</w:t>
      </w:r>
      <w:r>
        <w:rPr>
          <w:rFonts w:hint="eastAsia" w:ascii="Times New Roman" w:hAnsi="Times New Roman" w:eastAsia="仿宋_GB2312" w:cs="仿宋_GB2312"/>
          <w:sz w:val="30"/>
          <w:szCs w:val="30"/>
          <w:shd w:val="clear" w:color="auto" w:fill="auto"/>
          <w:lang w:val="en-US" w:eastAsia="zh-CN"/>
        </w:rPr>
        <w:t>34906</w:t>
      </w:r>
      <w:r>
        <w:rPr>
          <w:rFonts w:hint="eastAsia" w:ascii="Times New Roman" w:hAnsi="Times New Roman" w:eastAsia="仿宋_GB2312" w:cs="仿宋_GB2312"/>
          <w:sz w:val="30"/>
          <w:szCs w:val="30"/>
          <w:shd w:val="clear" w:color="auto" w:fill="auto"/>
        </w:rPr>
        <w:t>万元，实际支出</w:t>
      </w:r>
      <w:r>
        <w:rPr>
          <w:rFonts w:hint="eastAsia" w:ascii="Times New Roman" w:hAnsi="Times New Roman" w:eastAsia="仿宋_GB2312" w:cs="仿宋_GB2312"/>
          <w:sz w:val="30"/>
          <w:szCs w:val="30"/>
          <w:shd w:val="clear" w:color="auto" w:fill="auto"/>
          <w:lang w:val="en-US" w:eastAsia="zh-CN"/>
        </w:rPr>
        <w:t>34906</w:t>
      </w:r>
      <w:r>
        <w:rPr>
          <w:rFonts w:hint="eastAsia" w:ascii="Times New Roman" w:hAnsi="Times New Roman" w:eastAsia="仿宋_GB2312" w:cs="仿宋_GB2312"/>
          <w:sz w:val="30"/>
          <w:szCs w:val="30"/>
          <w:shd w:val="clear" w:color="auto" w:fill="auto"/>
        </w:rPr>
        <w:t>万元，预算执行率为100%，项目绩效指标总体完成率为</w:t>
      </w:r>
      <w:r>
        <w:rPr>
          <w:rFonts w:hint="eastAsia" w:ascii="Times New Roman" w:hAnsi="Times New Roman" w:eastAsia="仿宋_GB2312" w:cs="仿宋_GB2312"/>
          <w:sz w:val="30"/>
          <w:szCs w:val="30"/>
          <w:shd w:val="clear" w:color="auto" w:fill="auto"/>
          <w:lang w:val="en-US" w:eastAsia="zh-CN"/>
        </w:rPr>
        <w:t>100.04</w:t>
      </w:r>
      <w:r>
        <w:rPr>
          <w:rFonts w:hint="eastAsia" w:ascii="Times New Roman" w:hAnsi="Times New Roman" w:eastAsia="仿宋_GB2312" w:cs="仿宋_GB2312"/>
          <w:sz w:val="30"/>
          <w:szCs w:val="30"/>
          <w:shd w:val="clear" w:color="auto" w:fill="auto"/>
        </w:rPr>
        <w:t>%，</w:t>
      </w:r>
      <w:r>
        <w:rPr>
          <w:rFonts w:hint="eastAsia" w:ascii="Times New Roman" w:hAnsi="Times New Roman" w:eastAsia="仿宋_GB2312" w:cs="仿宋_GB2312"/>
          <w:sz w:val="30"/>
          <w:szCs w:val="30"/>
          <w:shd w:val="clear" w:color="auto" w:fill="auto"/>
          <w:lang w:eastAsia="zh-Hans"/>
        </w:rPr>
        <w:t>总体</w:t>
      </w:r>
      <w:r>
        <w:rPr>
          <w:rFonts w:hint="eastAsia" w:ascii="Times New Roman" w:hAnsi="Times New Roman" w:eastAsia="仿宋_GB2312" w:cs="仿宋_GB2312"/>
          <w:sz w:val="30"/>
          <w:szCs w:val="30"/>
          <w:shd w:val="clear" w:color="auto" w:fill="auto"/>
        </w:rPr>
        <w:t>偏差率为</w:t>
      </w:r>
      <w:r>
        <w:rPr>
          <w:rFonts w:hint="eastAsia" w:ascii="Times New Roman" w:hAnsi="Times New Roman" w:eastAsia="仿宋_GB2312" w:cs="仿宋_GB2312"/>
          <w:sz w:val="30"/>
          <w:szCs w:val="30"/>
          <w:shd w:val="clear" w:color="auto" w:fill="auto"/>
          <w:lang w:val="en-US" w:eastAsia="zh-CN"/>
        </w:rPr>
        <w:t>0.04</w:t>
      </w:r>
      <w:r>
        <w:rPr>
          <w:rFonts w:hint="eastAsia" w:ascii="Times New Roman" w:hAnsi="Times New Roman" w:eastAsia="仿宋_GB2312" w:cs="仿宋_GB2312"/>
          <w:sz w:val="30"/>
          <w:szCs w:val="30"/>
          <w:shd w:val="clear" w:color="auto" w:fill="auto"/>
        </w:rPr>
        <w:t>%,</w:t>
      </w:r>
      <w:r>
        <w:rPr>
          <w:rFonts w:hint="eastAsia" w:ascii="Times New Roman" w:hAnsi="Times New Roman" w:eastAsia="仿宋_GB2312" w:cs="仿宋_GB2312"/>
          <w:sz w:val="30"/>
          <w:szCs w:val="30"/>
          <w:shd w:val="clear" w:color="auto" w:fill="auto"/>
          <w:lang w:eastAsia="zh-Hans"/>
        </w:rPr>
        <w:t>偏差</w:t>
      </w:r>
      <w:r>
        <w:rPr>
          <w:rFonts w:hint="eastAsia" w:ascii="Times New Roman" w:hAnsi="Times New Roman" w:eastAsia="仿宋_GB2312" w:cs="仿宋_GB2312"/>
          <w:sz w:val="30"/>
          <w:szCs w:val="30"/>
          <w:shd w:val="clear" w:color="auto" w:fill="auto"/>
        </w:rPr>
        <w:t>原因年底有新增退休人员，</w:t>
      </w:r>
      <w:r>
        <w:rPr>
          <w:rFonts w:hint="eastAsia" w:ascii="Times New Roman" w:hAnsi="Times New Roman" w:eastAsia="仿宋_GB2312" w:cs="仿宋_GB2312"/>
          <w:sz w:val="30"/>
          <w:szCs w:val="30"/>
          <w:shd w:val="clear" w:color="auto" w:fill="auto"/>
          <w:lang w:eastAsia="zh-Hans"/>
        </w:rPr>
        <w:t>改进</w:t>
      </w:r>
      <w:r>
        <w:rPr>
          <w:rFonts w:hint="eastAsia" w:ascii="Times New Roman" w:hAnsi="Times New Roman" w:eastAsia="仿宋_GB2312" w:cs="仿宋_GB2312"/>
          <w:sz w:val="30"/>
          <w:szCs w:val="30"/>
          <w:shd w:val="clear" w:color="auto" w:fill="auto"/>
        </w:rPr>
        <w:t>措施加大对巴州本级机关事业单位退休、即将退休人员数量的摸排。</w:t>
      </w:r>
    </w:p>
    <w:p>
      <w:pPr>
        <w:pStyle w:val="3"/>
        <w:pageBreakBefore w:val="0"/>
        <w:kinsoku/>
        <w:wordWrap/>
        <w:overflowPunct/>
        <w:topLinePunct w:val="0"/>
        <w:autoSpaceDE/>
        <w:autoSpaceDN/>
        <w:bidi w:val="0"/>
        <w:adjustRightInd/>
        <w:snapToGrid/>
        <w:spacing w:before="0" w:after="0" w:line="560" w:lineRule="exact"/>
        <w:ind w:leftChars="0" w:firstLine="643" w:firstLineChars="200"/>
        <w:textAlignment w:val="auto"/>
        <w:rPr>
          <w:rFonts w:ascii="Times New Roman" w:hAnsi="Times New Roman" w:eastAsia="宋体"/>
          <w:sz w:val="32"/>
          <w:szCs w:val="32"/>
          <w:shd w:val="clear" w:color="auto" w:fill="auto"/>
        </w:rPr>
      </w:pPr>
      <w:r>
        <w:rPr>
          <w:rFonts w:hint="eastAsia" w:ascii="Times New Roman" w:hAnsi="Times New Roman" w:eastAsia="宋体"/>
          <w:sz w:val="32"/>
          <w:szCs w:val="32"/>
          <w:shd w:val="clear" w:color="auto" w:fill="auto"/>
          <w:lang w:val="en-US" w:eastAsia="zh-CN"/>
        </w:rPr>
        <w:t>六</w:t>
      </w:r>
      <w:r>
        <w:rPr>
          <w:rFonts w:hint="eastAsia" w:ascii="Times New Roman" w:hAnsi="Times New Roman" w:eastAsia="宋体"/>
          <w:sz w:val="32"/>
          <w:szCs w:val="32"/>
          <w:shd w:val="clear" w:color="auto" w:fill="auto"/>
        </w:rPr>
        <w:t>、主要经验及做法、存在的问题及原因分析</w:t>
      </w:r>
      <w:bookmarkEnd w:id="18"/>
    </w:p>
    <w:p>
      <w:pPr>
        <w:pageBreakBefore w:val="0"/>
        <w:kinsoku/>
        <w:wordWrap/>
        <w:overflowPunct/>
        <w:topLinePunct w:val="0"/>
        <w:autoSpaceDE/>
        <w:autoSpaceDN/>
        <w:bidi w:val="0"/>
        <w:adjustRightInd/>
        <w:snapToGrid/>
        <w:spacing w:line="560" w:lineRule="exact"/>
        <w:ind w:leftChars="0" w:firstLine="627" w:firstLineChars="200"/>
        <w:textAlignment w:val="auto"/>
        <w:rPr>
          <w:rFonts w:ascii="Times New Roman" w:hAnsi="Times New Roman" w:eastAsia="楷体"/>
          <w:b/>
          <w:color w:val="0000FF"/>
          <w:spacing w:val="-4"/>
          <w:sz w:val="32"/>
          <w:szCs w:val="32"/>
          <w:shd w:val="clear" w:color="auto" w:fill="auto"/>
        </w:rPr>
      </w:pPr>
      <w:bookmarkStart w:id="19" w:name="_Toc68703845"/>
      <w:r>
        <w:rPr>
          <w:rFonts w:ascii="Times New Roman" w:hAnsi="Times New Roman" w:eastAsia="楷体"/>
          <w:b/>
          <w:spacing w:val="-4"/>
          <w:sz w:val="32"/>
          <w:szCs w:val="32"/>
          <w:shd w:val="clear" w:color="auto" w:fill="auto"/>
        </w:rPr>
        <w:t>（一）主要经验及做法</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rPr>
      </w:pPr>
      <w:r>
        <w:rPr>
          <w:rFonts w:hint="eastAsia" w:ascii="Times New Roman" w:hAnsi="Times New Roman" w:eastAsia="仿宋_GB2312" w:cs="仿宋_GB2312"/>
          <w:sz w:val="30"/>
          <w:szCs w:val="30"/>
          <w:shd w:val="clear" w:color="auto" w:fill="auto"/>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rPr>
      </w:pPr>
      <w:r>
        <w:rPr>
          <w:rFonts w:hint="eastAsia" w:ascii="Times New Roman" w:hAnsi="Times New Roman" w:eastAsia="仿宋_GB2312" w:cs="仿宋_GB2312"/>
          <w:sz w:val="30"/>
          <w:szCs w:val="30"/>
          <w:shd w:val="clear" w:color="auto" w:fill="auto"/>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pageBreakBefore w:val="0"/>
        <w:numPr>
          <w:ilvl w:val="0"/>
          <w:numId w:val="4"/>
        </w:numPr>
        <w:kinsoku/>
        <w:wordWrap/>
        <w:overflowPunct/>
        <w:topLinePunct w:val="0"/>
        <w:autoSpaceDE/>
        <w:autoSpaceDN/>
        <w:bidi w:val="0"/>
        <w:adjustRightInd/>
        <w:snapToGrid/>
        <w:spacing w:line="560" w:lineRule="exact"/>
        <w:ind w:leftChars="0" w:firstLine="643" w:firstLineChars="200"/>
        <w:textAlignment w:val="auto"/>
        <w:rPr>
          <w:rFonts w:ascii="Times New Roman" w:hAnsi="Times New Roman" w:eastAsia="仿宋_GB2312" w:cs="仿宋_GB2312"/>
          <w:color w:val="0000FF"/>
          <w:sz w:val="32"/>
          <w:szCs w:val="32"/>
          <w:shd w:val="clear" w:color="auto" w:fill="auto"/>
        </w:rPr>
      </w:pPr>
      <w:r>
        <w:rPr>
          <w:rFonts w:ascii="Times New Roman" w:hAnsi="Times New Roman" w:eastAsia="楷体_GB2312"/>
          <w:b/>
          <w:bCs/>
          <w:sz w:val="32"/>
          <w:szCs w:val="32"/>
          <w:shd w:val="clear" w:color="auto" w:fill="auto"/>
        </w:rPr>
        <w:t>存在的问题及原因分析</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rPr>
      </w:pPr>
      <w:r>
        <w:rPr>
          <w:rFonts w:hint="eastAsia" w:ascii="Times New Roman" w:hAnsi="Times New Roman" w:eastAsia="仿宋_GB2312" w:cs="仿宋_GB2312"/>
          <w:sz w:val="30"/>
          <w:szCs w:val="30"/>
          <w:shd w:val="clear" w:color="auto" w:fill="auto"/>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rPr>
      </w:pPr>
      <w:r>
        <w:rPr>
          <w:rFonts w:hint="eastAsia" w:ascii="Times New Roman" w:hAnsi="Times New Roman" w:eastAsia="仿宋_GB2312" w:cs="仿宋_GB2312"/>
          <w:sz w:val="30"/>
          <w:szCs w:val="30"/>
          <w:shd w:val="clear" w:color="auto" w:fill="auto"/>
        </w:rPr>
        <w:t>2.社保经办机构工作人员岗位变动频繁，普遍存在经办服务能力不足的问题，造成了工作衔接不到位的情况。</w:t>
      </w:r>
    </w:p>
    <w:p>
      <w:pPr>
        <w:pageBreakBefore w:val="0"/>
        <w:kinsoku/>
        <w:wordWrap/>
        <w:overflowPunct/>
        <w:topLinePunct w:val="0"/>
        <w:autoSpaceDE/>
        <w:autoSpaceDN/>
        <w:bidi w:val="0"/>
        <w:adjustRightInd/>
        <w:snapToGrid/>
        <w:spacing w:line="560" w:lineRule="exact"/>
        <w:ind w:leftChars="0" w:firstLine="643" w:firstLineChars="200"/>
        <w:textAlignment w:val="auto"/>
        <w:outlineLvl w:val="0"/>
        <w:rPr>
          <w:rFonts w:hint="eastAsia" w:ascii="Times New Roman" w:hAnsi="Times New Roman" w:eastAsia="宋体" w:cs="Times New Roman"/>
          <w:b/>
          <w:bCs/>
          <w:kern w:val="44"/>
          <w:sz w:val="32"/>
          <w:szCs w:val="32"/>
          <w:shd w:val="clear" w:color="auto" w:fill="auto"/>
          <w:lang w:val="en-US" w:eastAsia="zh-CN" w:bidi="ar-SA"/>
        </w:rPr>
      </w:pPr>
      <w:r>
        <w:rPr>
          <w:rFonts w:hint="eastAsia" w:ascii="Times New Roman" w:hAnsi="Times New Roman" w:eastAsia="宋体" w:cs="Times New Roman"/>
          <w:b/>
          <w:bCs/>
          <w:kern w:val="44"/>
          <w:sz w:val="32"/>
          <w:szCs w:val="32"/>
          <w:shd w:val="clear" w:color="auto" w:fill="auto"/>
          <w:lang w:val="en-US" w:eastAsia="zh-CN" w:bidi="ar-SA"/>
        </w:rPr>
        <w:t>七、有关建议</w:t>
      </w:r>
      <w:bookmarkEnd w:id="19"/>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rPr>
      </w:pPr>
      <w:r>
        <w:rPr>
          <w:rFonts w:hint="eastAsia" w:ascii="Times New Roman" w:hAnsi="Times New Roman" w:eastAsia="仿宋_GB2312" w:cs="仿宋_GB2312"/>
          <w:sz w:val="30"/>
          <w:szCs w:val="30"/>
          <w:shd w:val="clear" w:color="auto" w:fill="auto"/>
        </w:rPr>
        <w:t>1.多进行有关绩效管理工作方面的培训。积极组织第三方开展绩效管理工作培训，进一步夯实业务基础，提高我单位绩效人员水平。</w:t>
      </w:r>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color w:val="0000FF"/>
          <w:sz w:val="30"/>
          <w:szCs w:val="32"/>
          <w:highlight w:val="none"/>
          <w:shd w:val="clear" w:color="auto" w:fill="auto"/>
          <w:lang w:val="en-US" w:eastAsia="zh-CN"/>
        </w:rPr>
      </w:pPr>
      <w:r>
        <w:rPr>
          <w:rFonts w:hint="eastAsia" w:cs="仿宋_GB2312"/>
          <w:sz w:val="30"/>
          <w:szCs w:val="30"/>
          <w:shd w:val="clear" w:color="auto" w:fill="auto"/>
          <w:lang w:val="en-US" w:eastAsia="zh-CN"/>
        </w:rPr>
        <w:t>2</w:t>
      </w:r>
      <w:r>
        <w:rPr>
          <w:rFonts w:hint="eastAsia" w:ascii="Times New Roman" w:hAnsi="Times New Roman" w:eastAsia="仿宋_GB2312" w:cs="仿宋_GB2312"/>
          <w:sz w:val="30"/>
          <w:szCs w:val="30"/>
          <w:shd w:val="clear" w:color="auto" w:fill="auto"/>
        </w:rPr>
        <w:t>.进一步加强对绩效管理工作的组织领导，提高对预算绩效管理工作重要性的认识，总结经验查找问题，抓紧研究制定更全面更完善的绩效评价管理办法。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leftChars="0" w:firstLine="643" w:firstLineChars="200"/>
        <w:textAlignment w:val="auto"/>
        <w:rPr>
          <w:rFonts w:ascii="Times New Roman" w:hAnsi="Times New Roman" w:eastAsia="宋体"/>
          <w:sz w:val="32"/>
          <w:szCs w:val="32"/>
          <w:shd w:val="clear" w:color="auto" w:fill="auto"/>
        </w:rPr>
      </w:pPr>
      <w:bookmarkStart w:id="20" w:name="_Toc68703846"/>
      <w:r>
        <w:rPr>
          <w:rFonts w:hint="eastAsia" w:ascii="Times New Roman" w:hAnsi="Times New Roman" w:eastAsia="宋体"/>
          <w:sz w:val="32"/>
          <w:szCs w:val="32"/>
          <w:shd w:val="clear" w:color="auto" w:fill="auto"/>
          <w:lang w:val="en-US" w:eastAsia="zh-CN"/>
        </w:rPr>
        <w:t>八</w:t>
      </w:r>
      <w:r>
        <w:rPr>
          <w:rFonts w:hint="eastAsia" w:ascii="Times New Roman" w:hAnsi="Times New Roman" w:eastAsia="宋体"/>
          <w:sz w:val="32"/>
          <w:szCs w:val="32"/>
          <w:shd w:val="clear" w:color="auto" w:fill="auto"/>
        </w:rPr>
        <w:t>、其他需要说明的问题</w:t>
      </w:r>
      <w:bookmarkEnd w:id="20"/>
    </w:p>
    <w:p>
      <w:pPr>
        <w:pageBreakBefore w:val="0"/>
        <w:kinsoku/>
        <w:wordWrap/>
        <w:overflowPunct/>
        <w:topLinePunct w:val="0"/>
        <w:autoSpaceDE/>
        <w:autoSpaceDN/>
        <w:bidi w:val="0"/>
        <w:adjustRightInd/>
        <w:snapToGrid/>
        <w:spacing w:line="560" w:lineRule="exact"/>
        <w:ind w:leftChars="0" w:firstLine="600" w:firstLineChars="200"/>
        <w:textAlignment w:val="auto"/>
        <w:outlineLvl w:val="0"/>
        <w:rPr>
          <w:rFonts w:hint="eastAsia" w:ascii="Times New Roman" w:hAnsi="Times New Roman" w:eastAsia="仿宋_GB2312" w:cs="仿宋_GB2312"/>
          <w:sz w:val="30"/>
          <w:szCs w:val="30"/>
          <w:shd w:val="clear" w:color="auto" w:fill="auto"/>
          <w:lang w:eastAsia="zh-CN"/>
        </w:rPr>
      </w:pPr>
      <w:r>
        <w:rPr>
          <w:rFonts w:hint="eastAsia" w:ascii="Times New Roman" w:hAnsi="Times New Roman" w:eastAsia="仿宋_GB2312" w:cs="仿宋_GB2312"/>
          <w:sz w:val="30"/>
          <w:szCs w:val="30"/>
          <w:shd w:val="clear" w:color="auto" w:fill="auto"/>
          <w:lang w:eastAsia="zh-CN"/>
        </w:rPr>
        <w:t>无</w:t>
      </w:r>
    </w:p>
    <w:p>
      <w:pPr>
        <w:pageBreakBefore w:val="0"/>
        <w:kinsoku/>
        <w:wordWrap/>
        <w:overflowPunct/>
        <w:topLinePunct w:val="0"/>
        <w:autoSpaceDE/>
        <w:autoSpaceDN/>
        <w:bidi w:val="0"/>
        <w:adjustRightInd/>
        <w:snapToGrid/>
        <w:spacing w:line="560" w:lineRule="exact"/>
        <w:ind w:leftChars="0" w:firstLine="600" w:firstLineChars="200"/>
        <w:textAlignment w:val="auto"/>
      </w:pPr>
    </w:p>
    <w:sectPr>
      <w:footerReference r:id="rId3" w:type="default"/>
      <w:pgSz w:w="11906" w:h="16838"/>
      <w:pgMar w:top="1928" w:right="1531" w:bottom="1701" w:left="1531" w:header="737" w:footer="851" w:gutter="0"/>
      <w:pgNumType w:fmt="decimal"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195ABA"/>
    <w:multiLevelType w:val="singleLevel"/>
    <w:tmpl w:val="A3195ABA"/>
    <w:lvl w:ilvl="0" w:tentative="0">
      <w:start w:val="2"/>
      <w:numFmt w:val="decimal"/>
      <w:suff w:val="nothing"/>
      <w:lvlText w:val="%1、"/>
      <w:lvlJc w:val="left"/>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color w:val="auto"/>
      </w:rPr>
    </w:lvl>
  </w:abstractNum>
  <w:abstractNum w:abstractNumId="3">
    <w:nsid w:val="04002BFF"/>
    <w:multiLevelType w:val="singleLevel"/>
    <w:tmpl w:val="04002BFF"/>
    <w:lvl w:ilvl="0" w:tentative="0">
      <w:start w:val="4"/>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7D49C5"/>
    <w:rsid w:val="000D63FA"/>
    <w:rsid w:val="003C2D4A"/>
    <w:rsid w:val="005B64E8"/>
    <w:rsid w:val="00614288"/>
    <w:rsid w:val="00792CFE"/>
    <w:rsid w:val="007D49C5"/>
    <w:rsid w:val="008175E0"/>
    <w:rsid w:val="008C631D"/>
    <w:rsid w:val="00A114ED"/>
    <w:rsid w:val="00B24331"/>
    <w:rsid w:val="00EB3433"/>
    <w:rsid w:val="031A7868"/>
    <w:rsid w:val="05227DA5"/>
    <w:rsid w:val="05803682"/>
    <w:rsid w:val="088626C4"/>
    <w:rsid w:val="08D20D13"/>
    <w:rsid w:val="0AFE71EE"/>
    <w:rsid w:val="0C4D0F1B"/>
    <w:rsid w:val="0F2A6BF7"/>
    <w:rsid w:val="128E5BF5"/>
    <w:rsid w:val="1BCF1770"/>
    <w:rsid w:val="1D723F37"/>
    <w:rsid w:val="1D785367"/>
    <w:rsid w:val="23D91701"/>
    <w:rsid w:val="32AE0DEC"/>
    <w:rsid w:val="343D05EA"/>
    <w:rsid w:val="36B72533"/>
    <w:rsid w:val="377E2F33"/>
    <w:rsid w:val="39AD5370"/>
    <w:rsid w:val="4057649F"/>
    <w:rsid w:val="43182414"/>
    <w:rsid w:val="46507BB3"/>
    <w:rsid w:val="4A7C25BE"/>
    <w:rsid w:val="4C22332E"/>
    <w:rsid w:val="4D151C78"/>
    <w:rsid w:val="56420DF0"/>
    <w:rsid w:val="56796849"/>
    <w:rsid w:val="5DA95371"/>
    <w:rsid w:val="5F4E0EFC"/>
    <w:rsid w:val="5FA6184E"/>
    <w:rsid w:val="647C3843"/>
    <w:rsid w:val="68F11999"/>
    <w:rsid w:val="763A0251"/>
    <w:rsid w:val="7C4E3E5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17</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cp:lastPrinted>2024-05-10T06:26:00Z</cp:lastPrinted>
  <dcterms:modified xsi:type="dcterms:W3CDTF">2024-05-10T07:10:16Z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