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项目名称：巴州人民医院自营收入项目</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实施单位（公章）：巴州人民医院</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主管部门（公章）：巴州卫生健康委</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项目负责人（签章）：史松</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w:t>
      </w:r>
      <w:r>
        <w:rPr>
          <w:rFonts w:hint="eastAsia" w:ascii="宋体" w:hAnsi="宋体" w:eastAsia="宋体" w:cs="仿宋_GB2312"/>
          <w:color w:val="000000"/>
          <w:kern w:val="0"/>
          <w:sz w:val="32"/>
          <w:szCs w:val="32"/>
          <w:lang w:val="en-US" w:eastAsia="zh-CN"/>
        </w:rPr>
        <w:t>24</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30</w:t>
      </w:r>
      <w:r>
        <w:rPr>
          <w:rFonts w:hint="eastAsia" w:ascii="宋体" w:hAnsi="宋体" w:eastAsia="宋体" w:cs="仿宋_GB2312"/>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both"/>
        <w:textAlignment w:val="auto"/>
        <w:rPr>
          <w:rFonts w:ascii="仿宋_GB2312"/>
        </w:rPr>
      </w:pP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pPr>
        <w:pageBreakBefore w:val="0"/>
        <w:kinsoku/>
        <w:wordWrap/>
        <w:overflowPunct/>
        <w:topLinePunct w:val="0"/>
        <w:autoSpaceDE/>
        <w:autoSpaceDN/>
        <w:bidi w:val="0"/>
        <w:adjustRightInd/>
        <w:snapToGrid/>
        <w:spacing w:line="560" w:lineRule="exact"/>
        <w:ind w:firstLine="600"/>
        <w:textAlignment w:val="auto"/>
        <w:rPr>
          <w:rFonts w:hint="eastAsia" w:ascii="仿宋_GB2312"/>
          <w:highlight w:val="none"/>
          <w:lang w:val="en-US" w:eastAsia="zh-CN"/>
        </w:rPr>
      </w:pPr>
      <w:r>
        <w:rPr>
          <w:rFonts w:hint="eastAsia" w:ascii="仿宋_GB2312"/>
          <w:highlight w:val="none"/>
          <w:lang w:val="en-US" w:eastAsia="zh-CN"/>
        </w:rPr>
        <w:t>巴州人民医院是综合性公立医院，属于差额单位，除财政拨款外，166843.67万元为自筹资金，以满足人力、药品、卫生材料、办公、固定资产、在建工程等经费的正常开支。</w:t>
      </w:r>
    </w:p>
    <w:p>
      <w:pPr>
        <w:pageBreakBefore w:val="0"/>
        <w:kinsoku/>
        <w:wordWrap/>
        <w:overflowPunct/>
        <w:topLinePunct w:val="0"/>
        <w:autoSpaceDE/>
        <w:autoSpaceDN/>
        <w:bidi w:val="0"/>
        <w:adjustRightInd/>
        <w:snapToGrid/>
        <w:spacing w:line="560" w:lineRule="exact"/>
        <w:ind w:firstLine="6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rPr>
      </w:pPr>
      <w:r>
        <w:rPr>
          <w:rFonts w:hint="eastAsia" w:ascii="仿宋_GB2312"/>
          <w:highlight w:val="none"/>
        </w:rPr>
        <w:t>主要内容：</w:t>
      </w:r>
      <w:r>
        <w:rPr>
          <w:rFonts w:hint="eastAsia" w:ascii="仿宋_GB2312"/>
          <w:color w:val="auto"/>
          <w:highlight w:val="none"/>
        </w:rPr>
        <w:t>我院是综合性公立医院，属于差额单位，除财政拨款外，166843.67万元的自筹资金为：①人员成本5.83亿元；②药品成本3.10亿元；</w:t>
      </w:r>
      <w:r>
        <w:rPr>
          <w:rFonts w:hint="eastAsia" w:ascii="仿宋_GB2312"/>
          <w:color w:val="auto"/>
          <w:highlight w:val="none"/>
        </w:rPr>
        <w:sym w:font="Wingdings" w:char="F083"/>
      </w:r>
      <w:r>
        <w:rPr>
          <w:rFonts w:hint="eastAsia" w:ascii="仿宋_GB2312"/>
          <w:color w:val="auto"/>
          <w:highlight w:val="none"/>
        </w:rPr>
        <w:t>卫生材料成本3.08亿元；④固定资产折旧5573.95万元；⑤医疗风险金190.84万元；⑥其他商品与服务支出8515.77万元；⑦固定资产购置11792万元；⑧在建工程（含ppp项目）2.08亿元，用于医院的正常运转经费。</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auto"/>
          <w:highlight w:val="none"/>
        </w:rPr>
      </w:pPr>
      <w:r>
        <w:rPr>
          <w:rFonts w:hint="eastAsia" w:ascii="仿宋_GB2312"/>
          <w:color w:val="auto"/>
          <w:highlight w:val="none"/>
        </w:rPr>
        <w:t>实施情况：2023年医院接待门诊患者130.49万人，接待住院患者8.34万人，医疗收入增幅51.71%，门诊收入4.90医院，住院收入9.73亿元，提升了医疗诊治能力；在职职工人数2449人，保障了医院人员配置；购置设备677台，在建工程项目6个，保障了医院正常运转。2023年医院高质量推进公立医院党的建设，全面从严治党向纵深发展；创新发展理念，建立现代医院管理制度；适应医改发展新趋势，拓宽服务的内涵与外延，深化医疗服务体系建设，基本完成年初目标。</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color w:val="auto"/>
        </w:rPr>
        <w:t>该项目年初预算数166843.67万元，全年预算数166843.67万元，实际总投入166843.67万元，该项目资金已全部落实到位，资金来源为医院自营资金。</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eastAsia="zh-CN"/>
        </w:rPr>
        <w:t>（</w:t>
      </w:r>
      <w:r>
        <w:rPr>
          <w:rFonts w:hint="eastAsia"/>
          <w:color w:val="auto"/>
          <w:lang w:val="en-US" w:eastAsia="zh-CN"/>
        </w:rPr>
        <w:t>2</w:t>
      </w:r>
      <w:r>
        <w:rPr>
          <w:rFonts w:hint="eastAsia"/>
          <w:color w:val="auto"/>
          <w:lang w:eastAsia="zh-CN"/>
        </w:rPr>
        <w:t>）</w:t>
      </w:r>
      <w:r>
        <w:rPr>
          <w:rFonts w:hint="eastAsia"/>
          <w:color w:val="auto"/>
        </w:rPr>
        <w:t>资金使用情况：</w:t>
      </w:r>
      <w:bookmarkStart w:id="2" w:name="_Toc68703829"/>
      <w:r>
        <w:rPr>
          <w:rFonts w:hint="eastAsia"/>
          <w:color w:val="auto"/>
        </w:rPr>
        <w:t>该项目年初预算数166843.67万元，全年预算数166843.67万元，全年执行数166843.67万元，预算执行率为100%，主要用于：①人员成本5.83亿元；②药品成本3.10亿元；卫生材料成本3.08亿元；④固定资产折旧5573.95万元；⑤医疗风险金190.84万元；⑥其他商品与服务支出8515.77万元；⑦固定资产购置11792万元；⑧在建工程（含ppp项目）2.08亿元，用于医院的正常运转经费。</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color w:val="auto"/>
          <w:lang w:val="en-US" w:eastAsia="zh-CN"/>
        </w:rPr>
      </w:pPr>
      <w:r>
        <w:rPr>
          <w:rFonts w:hint="eastAsia" w:ascii="仿宋_GB2312" w:eastAsia="仿宋_GB2312"/>
          <w:b w:val="0"/>
          <w:bCs w:val="0"/>
          <w:color w:val="auto"/>
        </w:rPr>
        <w:t>（二）项目绩效目标</w:t>
      </w:r>
      <w:bookmarkEnd w:id="2"/>
      <w:r>
        <w:rPr>
          <w:rFonts w:hint="eastAsia" w:ascii="仿宋_GB2312" w:eastAsia="仿宋_GB2312"/>
          <w:b w:val="0"/>
          <w:bCs w:val="0"/>
          <w:color w:val="auto"/>
          <w:lang w:eastAsia="zh-CN"/>
        </w:rPr>
        <w:t>，</w:t>
      </w:r>
      <w:r>
        <w:rPr>
          <w:rFonts w:hint="eastAsia"/>
          <w:color w:val="auto"/>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rPr>
        <w:t>1</w:t>
      </w:r>
      <w:r>
        <w:rPr>
          <w:rFonts w:hint="eastAsia"/>
          <w:lang w:val="en-US" w:eastAsia="zh-CN"/>
        </w:rPr>
        <w:t>.</w:t>
      </w:r>
      <w:r>
        <w:rPr>
          <w:rFonts w:hint="eastAsia"/>
        </w:rPr>
        <w:t>总体目标：</w:t>
      </w:r>
      <w:r>
        <w:rPr>
          <w:rFonts w:hint="eastAsia"/>
          <w:color w:val="auto"/>
        </w:rPr>
        <w:t>高质量推进公立医院党的建设，全面从严治党向纵深发展；创新发展理念，建立现代医院管理制度；适应医改发展新趋势，拓宽服务的内涵与外延，深化医疗服务体系建设；以学科为主线，凝练学科方向，优化专业结构，在专业细分上精耕细作，提升核心竞争力；贯彻落实“人才强院”战略，打造医院新优势；建立适应医疗行业特点的公立医院薪酬制度，健全激励约束机制；大力推进医学科研，培育新兴特色技术，增强医院创新实力；以信息化促进服务效能，建设互联网和智慧型医院；推进医院精细化管理，促进医疗质量与管理、优质服务、成本管理高质量发展。</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t>2</w:t>
      </w:r>
      <w:r>
        <w:rPr>
          <w:rFonts w:hint="eastAsia"/>
          <w:lang w:val="en-US" w:eastAsia="zh-CN"/>
        </w:rPr>
        <w:t>.</w:t>
      </w:r>
      <w:r>
        <w:rPr>
          <w:rFonts w:hint="eastAsia"/>
        </w:rPr>
        <w:t>阶段性目标：</w:t>
      </w:r>
      <w:r>
        <w:rPr>
          <w:rFonts w:hint="eastAsia"/>
          <w:lang w:eastAsia="zh-CN"/>
        </w:rPr>
        <w:t>半年完成预算数</w:t>
      </w:r>
      <w:r>
        <w:rPr>
          <w:rFonts w:hint="eastAsia"/>
          <w:lang w:val="en-US" w:eastAsia="zh-CN"/>
        </w:rPr>
        <w:t>83422万元，</w:t>
      </w:r>
      <w:r>
        <w:rPr>
          <w:rFonts w:hint="eastAsia"/>
          <w:color w:val="auto"/>
        </w:rPr>
        <w:t>主要用于：①人员成本</w:t>
      </w:r>
      <w:r>
        <w:rPr>
          <w:rFonts w:hint="eastAsia"/>
          <w:color w:val="auto"/>
          <w:lang w:val="en-US" w:eastAsia="zh-CN"/>
        </w:rPr>
        <w:t>2.92</w:t>
      </w:r>
      <w:r>
        <w:rPr>
          <w:rFonts w:hint="eastAsia"/>
          <w:color w:val="auto"/>
        </w:rPr>
        <w:t>亿元；②药品成本</w:t>
      </w:r>
      <w:r>
        <w:rPr>
          <w:rFonts w:hint="eastAsia"/>
          <w:color w:val="auto"/>
          <w:lang w:val="en-US" w:eastAsia="zh-CN"/>
        </w:rPr>
        <w:t>1.55</w:t>
      </w:r>
      <w:r>
        <w:rPr>
          <w:rFonts w:hint="eastAsia"/>
          <w:color w:val="auto"/>
        </w:rPr>
        <w:t>亿元；卫生材料成本</w:t>
      </w:r>
      <w:r>
        <w:rPr>
          <w:rFonts w:hint="eastAsia"/>
          <w:color w:val="auto"/>
          <w:lang w:val="en-US" w:eastAsia="zh-CN"/>
        </w:rPr>
        <w:t>1.54</w:t>
      </w:r>
      <w:r>
        <w:rPr>
          <w:rFonts w:hint="eastAsia"/>
          <w:color w:val="auto"/>
        </w:rPr>
        <w:t>亿元；④固定资产折旧</w:t>
      </w:r>
      <w:r>
        <w:rPr>
          <w:rFonts w:hint="eastAsia"/>
          <w:color w:val="auto"/>
          <w:lang w:val="en-US" w:eastAsia="zh-CN"/>
        </w:rPr>
        <w:t>2787</w:t>
      </w:r>
      <w:r>
        <w:rPr>
          <w:rFonts w:hint="eastAsia"/>
          <w:color w:val="auto"/>
        </w:rPr>
        <w:t>万元；⑤医疗风险金190.84万元；⑥其他商品与服务支出</w:t>
      </w:r>
      <w:r>
        <w:rPr>
          <w:rFonts w:hint="eastAsia"/>
          <w:color w:val="auto"/>
          <w:lang w:val="en-US" w:eastAsia="zh-CN"/>
        </w:rPr>
        <w:t>4258</w:t>
      </w:r>
      <w:r>
        <w:rPr>
          <w:rFonts w:hint="eastAsia"/>
          <w:color w:val="auto"/>
        </w:rPr>
        <w:t>万元；⑦固定资产购置</w:t>
      </w:r>
      <w:r>
        <w:rPr>
          <w:rFonts w:hint="eastAsia"/>
          <w:color w:val="auto"/>
          <w:lang w:val="en-US" w:eastAsia="zh-CN"/>
        </w:rPr>
        <w:t>5896</w:t>
      </w:r>
      <w:r>
        <w:rPr>
          <w:rFonts w:hint="eastAsia"/>
          <w:color w:val="auto"/>
        </w:rPr>
        <w:t>万元；⑧在建工程（含ppp项目）</w:t>
      </w:r>
      <w:r>
        <w:rPr>
          <w:rFonts w:hint="eastAsia"/>
          <w:color w:val="auto"/>
          <w:lang w:val="en-US" w:eastAsia="zh-CN"/>
        </w:rPr>
        <w:t>1.04</w:t>
      </w:r>
      <w:r>
        <w:rPr>
          <w:rFonts w:hint="eastAsia"/>
          <w:color w:val="auto"/>
        </w:rPr>
        <w:t>亿元，用于医院的正常运转经费。</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pPr>
        <w:spacing w:line="700" w:lineRule="exact"/>
        <w:jc w:val="left"/>
        <w:rPr>
          <w:rFonts w:hint="eastAsia" w:ascii="仿宋_GB2312"/>
          <w:bCs/>
          <w:color w:val="auto"/>
          <w:sz w:val="30"/>
          <w:szCs w:val="30"/>
        </w:rPr>
      </w:pPr>
      <w:r>
        <w:rPr>
          <w:rFonts w:hint="eastAsia" w:ascii="仿宋_GB2312"/>
          <w:bCs/>
          <w:color w:val="FF0000"/>
          <w:sz w:val="32"/>
          <w:szCs w:val="32"/>
          <w:lang w:val="en-US" w:eastAsia="zh-CN"/>
        </w:rPr>
        <w:t xml:space="preserve">    </w:t>
      </w:r>
      <w:r>
        <w:rPr>
          <w:rFonts w:hint="eastAsia" w:ascii="仿宋_GB2312"/>
          <w:bCs/>
          <w:color w:val="auto"/>
          <w:sz w:val="30"/>
          <w:szCs w:val="30"/>
        </w:rPr>
        <w:t>通过绩效评价，客观地评判项目的管理绩效，了解和掌握巴州人民医院自营收入项目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auto"/>
          <w:sz w:val="30"/>
          <w:szCs w:val="30"/>
          <w:lang w:val="en-US" w:eastAsia="zh-CN"/>
        </w:rPr>
        <w:t>单位</w:t>
      </w:r>
      <w:r>
        <w:rPr>
          <w:rFonts w:hint="eastAsia" w:ascii="仿宋_GB2312"/>
          <w:bCs/>
          <w:color w:val="auto"/>
          <w:sz w:val="30"/>
          <w:szCs w:val="30"/>
        </w:rPr>
        <w:t>根据绩效评价中发现的问题，认真加以整改，及时调整和完善单位的工作计划并加强项目</w:t>
      </w:r>
      <w:r>
        <w:rPr>
          <w:rFonts w:hint="eastAsia" w:ascii="仿宋_GB2312"/>
          <w:bCs/>
          <w:color w:val="auto"/>
          <w:sz w:val="30"/>
          <w:szCs w:val="30"/>
          <w:lang w:val="en-US" w:eastAsia="zh-CN"/>
        </w:rPr>
        <w:t>绩效</w:t>
      </w:r>
      <w:r>
        <w:rPr>
          <w:rFonts w:hint="eastAsia" w:ascii="仿宋_GB2312"/>
          <w:bCs/>
          <w:color w:val="auto"/>
          <w:sz w:val="30"/>
          <w:szCs w:val="30"/>
        </w:rPr>
        <w:t>管理，同时为项目后续资金投入、分配和管理提供决策依据。</w:t>
      </w:r>
    </w:p>
    <w:p>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巴州人民医院自营收入项目</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巴州人民医院自营收入项目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（一）科学公正。本次项目支出绩效评价运用科学合理的方法，按照规范的程序，对项目绩效进行客观、公正的反映。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（二）统筹兼顾。本次项目支出绩效评价由本单位自主实施，即“谁支出、谁自评”。</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（三）激励约束。本次项目支出绩效评价结果与预算安排、政策调整、改进管理实质性挂钩，体现奖优罚劣和激励相容导向，有效要安排、低效要压减、无效要问责。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40" w:firstLineChars="200"/>
        <w:textAlignment w:val="auto"/>
        <w:rPr>
          <w:color w:val="auto"/>
        </w:rPr>
      </w:pPr>
      <w:r>
        <w:rPr>
          <w:rFonts w:hint="eastAsia" w:ascii="仿宋_GB2312"/>
          <w:bCs/>
          <w:color w:val="auto"/>
          <w:sz w:val="32"/>
          <w:szCs w:val="32"/>
        </w:rPr>
        <w:t>（四）公开透明。本次项目支出绩效评价结果已依法依规公开在</w:t>
      </w:r>
      <w:r>
        <w:rPr>
          <w:rFonts w:hint="eastAsia" w:ascii="仿宋_GB2312"/>
          <w:bCs/>
          <w:color w:val="auto"/>
          <w:sz w:val="32"/>
          <w:szCs w:val="32"/>
          <w:lang w:eastAsia="zh-CN"/>
        </w:rPr>
        <w:t>巴州人民政府</w:t>
      </w:r>
      <w:r>
        <w:rPr>
          <w:rFonts w:hint="eastAsia" w:ascii="仿宋_GB2312"/>
          <w:bCs/>
          <w:color w:val="auto"/>
          <w:sz w:val="32"/>
          <w:szCs w:val="32"/>
        </w:rPr>
        <w:t>网站上，并自觉接受社会监督。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000000"/>
          <w:spacing w:val="17"/>
          <w:sz w:val="32"/>
          <w:szCs w:val="32"/>
        </w:rPr>
        <w:t>确定各个指标相对于项目总体绩效的权重分值。在绩效评价指标体系中，</w:t>
      </w:r>
      <w:r>
        <w:rPr>
          <w:rFonts w:eastAsia="仿宋_GB2312"/>
          <w:color w:val="auto"/>
          <w:spacing w:val="17"/>
          <w:sz w:val="32"/>
          <w:szCs w:val="32"/>
        </w:rPr>
        <w:t>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68" w:firstLineChars="200"/>
        <w:jc w:val="left"/>
        <w:textAlignment w:val="auto"/>
        <w:rPr>
          <w:rFonts w:hint="eastAsia"/>
          <w:b w:val="0"/>
          <w:bCs w:val="0"/>
          <w:color w:val="auto"/>
          <w:spacing w:val="17"/>
          <w:lang w:val="en-US" w:eastAsia="zh-CN"/>
        </w:rPr>
      </w:pPr>
      <w:r>
        <w:rPr>
          <w:rFonts w:hint="eastAsia"/>
          <w:b w:val="0"/>
          <w:bCs w:val="0"/>
          <w:color w:val="auto"/>
          <w:spacing w:val="17"/>
          <w:lang w:val="en-US" w:eastAsia="zh-CN"/>
        </w:rPr>
        <w:t>具体评价指标体系详情见附件1。</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bCs/>
          <w:color w:val="auto"/>
          <w:sz w:val="32"/>
          <w:szCs w:val="32"/>
        </w:rPr>
      </w:pPr>
      <w:r>
        <w:rPr>
          <w:rFonts w:hint="eastAsia"/>
        </w:rPr>
        <w:t>3、评价方法</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FF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lang w:val="en-US" w:eastAsia="zh-CN"/>
        </w:rPr>
      </w:pPr>
      <w:r>
        <w:rPr>
          <w:rFonts w:hint="eastAsia" w:eastAsia="仿宋_GB2312"/>
          <w:color w:val="000000"/>
          <w:spacing w:val="17"/>
          <w:sz w:val="32"/>
          <w:szCs w:val="32"/>
          <w:lang w:val="en-US" w:eastAsia="zh-CN"/>
        </w:rPr>
        <w:t>（</w:t>
      </w:r>
      <w:r>
        <w:rPr>
          <w:rFonts w:hint="eastAsia"/>
          <w:color w:val="000000"/>
          <w:spacing w:val="17"/>
          <w:sz w:val="32"/>
          <w:szCs w:val="32"/>
          <w:lang w:val="en-US" w:eastAsia="zh-CN"/>
        </w:rPr>
        <w:t>一</w:t>
      </w:r>
      <w:r>
        <w:rPr>
          <w:rFonts w:hint="eastAsia" w:eastAsia="仿宋_GB2312"/>
          <w:color w:val="000000"/>
          <w:spacing w:val="17"/>
          <w:sz w:val="32"/>
          <w:szCs w:val="32"/>
          <w:lang w:val="en-US" w:eastAsia="zh-CN"/>
        </w:rPr>
        <w:t>）比较法。是指将实施情况与绩效目标、历史情况、不同部门和地区同类支出情况进行比较的方法。通过对绩效目标与实施效果、历史与当期情况，综合分析绩效目标实现程度。对项目最终验收情况与年度绩效目标对比、预算资金执行情况等相关因素进行比较。</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lang w:val="en-US" w:eastAsia="zh-CN"/>
        </w:rPr>
      </w:pPr>
      <w:r>
        <w:rPr>
          <w:rFonts w:hint="eastAsia" w:eastAsia="仿宋_GB2312"/>
          <w:color w:val="000000"/>
          <w:spacing w:val="17"/>
          <w:sz w:val="32"/>
          <w:szCs w:val="32"/>
          <w:lang w:val="en-US" w:eastAsia="zh-CN"/>
        </w:rPr>
        <w:t>（</w:t>
      </w:r>
      <w:r>
        <w:rPr>
          <w:rFonts w:hint="eastAsia"/>
          <w:color w:val="000000"/>
          <w:spacing w:val="17"/>
          <w:sz w:val="32"/>
          <w:szCs w:val="32"/>
          <w:lang w:val="en-US" w:eastAsia="zh-CN"/>
        </w:rPr>
        <w:t>二</w:t>
      </w:r>
      <w:r>
        <w:rPr>
          <w:rFonts w:hint="eastAsia" w:eastAsia="仿宋_GB2312"/>
          <w:color w:val="000000"/>
          <w:spacing w:val="17"/>
          <w:sz w:val="32"/>
          <w:szCs w:val="32"/>
          <w:lang w:val="en-US" w:eastAsia="zh-CN"/>
        </w:rPr>
        <w:t>）因素分析法。是指综合分析影响绩效目标实现、实施效果的内外部因素的方法。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w:t>
      </w:r>
      <w:r>
        <w:rPr>
          <w:rFonts w:hint="eastAsia" w:eastAsia="仿宋_GB2312"/>
          <w:color w:val="000000"/>
          <w:spacing w:val="17"/>
          <w:sz w:val="32"/>
          <w:szCs w:val="32"/>
          <w:lang w:val="en-US" w:eastAsia="zh-CN"/>
        </w:rPr>
        <w:t>计划标准</w:t>
      </w:r>
      <w:r>
        <w:rPr>
          <w:rFonts w:hint="eastAsia" w:eastAsia="仿宋_GB2312"/>
          <w:color w:val="000000"/>
          <w:spacing w:val="17"/>
          <w:sz w:val="32"/>
          <w:szCs w:val="32"/>
        </w:rPr>
        <w:t>。</w:t>
      </w:r>
    </w:p>
    <w:p>
      <w:pPr>
        <w:pageBreakBefore w:val="0"/>
        <w:numPr>
          <w:ilvl w:val="0"/>
          <w:numId w:val="0"/>
        </w:numPr>
        <w:kinsoku/>
        <w:wordWrap/>
        <w:overflowPunct/>
        <w:topLinePunct w:val="0"/>
        <w:autoSpaceDE/>
        <w:autoSpaceDN/>
        <w:bidi w:val="0"/>
        <w:adjustRightInd/>
        <w:snapToGrid/>
        <w:spacing w:line="560" w:lineRule="exact"/>
        <w:textAlignment w:val="auto"/>
        <w:rPr>
          <w:rFonts w:hint="eastAsia"/>
        </w:rPr>
      </w:pPr>
      <w:r>
        <w:rPr>
          <w:rFonts w:hint="eastAsia"/>
          <w:color w:val="000000"/>
          <w:spacing w:val="17"/>
          <w:sz w:val="32"/>
          <w:szCs w:val="32"/>
          <w:lang w:val="en-US" w:eastAsia="zh-CN"/>
        </w:rPr>
        <w:t xml:space="preserve">    </w:t>
      </w:r>
      <w:r>
        <w:rPr>
          <w:rFonts w:hint="eastAsia" w:eastAsia="仿宋_GB2312"/>
          <w:color w:val="000000"/>
          <w:spacing w:val="17"/>
          <w:sz w:val="32"/>
          <w:szCs w:val="32"/>
        </w:rPr>
        <w:t>计划标准。指以预先制定的目标、计划、预算、定额等作为评价标准。</w:t>
      </w:r>
    </w:p>
    <w:p>
      <w:pPr>
        <w:pageBreakBefore w:val="0"/>
        <w:numPr>
          <w:ilvl w:val="0"/>
          <w:numId w:val="0"/>
        </w:numPr>
        <w:kinsoku/>
        <w:wordWrap/>
        <w:overflowPunct/>
        <w:topLinePunct w:val="0"/>
        <w:autoSpaceDE/>
        <w:autoSpaceDN/>
        <w:bidi w:val="0"/>
        <w:adjustRightInd/>
        <w:snapToGrid/>
        <w:spacing w:line="560" w:lineRule="exact"/>
        <w:textAlignment w:val="auto"/>
        <w:rPr>
          <w:rFonts w:hint="eastAsia" w:eastAsia="仿宋_GB2312"/>
          <w:color w:val="000000"/>
          <w:spacing w:val="17"/>
          <w:sz w:val="32"/>
          <w:szCs w:val="32"/>
        </w:rPr>
      </w:pPr>
      <w:r>
        <w:rPr>
          <w:rFonts w:hint="eastAsia"/>
          <w:color w:val="000000"/>
          <w:spacing w:val="17"/>
          <w:sz w:val="32"/>
          <w:szCs w:val="32"/>
          <w:lang w:val="en-US" w:eastAsia="zh-CN"/>
        </w:rPr>
        <w:t xml:space="preserve">    </w:t>
      </w:r>
      <w:r>
        <w:rPr>
          <w:rFonts w:hint="eastAsia" w:eastAsia="仿宋_GB2312"/>
          <w:color w:val="000000"/>
          <w:spacing w:val="17"/>
          <w:sz w:val="32"/>
          <w:szCs w:val="32"/>
        </w:rPr>
        <w:t>本项目按照项目计划预先制定了绩效目标，根据实际完成情况对绩效指标完成情况做出了分析评价。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bookmarkStart w:id="7" w:name="_Toc68703834"/>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本项目严格按照</w:t>
      </w:r>
      <w:r>
        <w:rPr>
          <w:rFonts w:hint="eastAsia" w:ascii="仿宋_GB2312"/>
          <w:bCs/>
          <w:color w:val="auto"/>
          <w:kern w:val="0"/>
          <w:sz w:val="32"/>
          <w:szCs w:val="32"/>
        </w:rPr>
        <w:t>科学公正、统筹兼顾、激励约束、公开透明的</w:t>
      </w:r>
      <w:r>
        <w:rPr>
          <w:rFonts w:hint="eastAsia"/>
          <w:color w:val="auto"/>
        </w:rPr>
        <w:t>绩效评价原则，采用</w:t>
      </w:r>
      <w:r>
        <w:rPr>
          <w:rFonts w:hint="eastAsia"/>
          <w:color w:val="auto"/>
          <w:lang w:eastAsia="zh-CN"/>
        </w:rPr>
        <w:t>比较法、因素分析法</w:t>
      </w:r>
      <w:r>
        <w:rPr>
          <w:rFonts w:hint="eastAsia"/>
          <w:color w:val="auto"/>
        </w:rPr>
        <w:t>，坚持</w:t>
      </w:r>
      <w:r>
        <w:rPr>
          <w:rFonts w:hint="eastAsia"/>
          <w:color w:val="auto"/>
          <w:lang w:eastAsia="zh-CN"/>
        </w:rPr>
        <w:t>计划标准</w:t>
      </w:r>
      <w:r>
        <w:rPr>
          <w:rFonts w:hint="eastAsia"/>
          <w:color w:val="auto"/>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highlight w:val="none"/>
        </w:rPr>
        <w:t xml:space="preserve">总得分为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 xml:space="preserve">分，属于“优”。其中，项目决策类指标权重为20分，得分为 </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%。项目产出类指标权重为40分，得分为</w:t>
      </w:r>
      <w:r>
        <w:rPr>
          <w:rFonts w:hint="eastAsia"/>
          <w:b w:val="0"/>
          <w:bCs w:val="0"/>
          <w:color w:val="auto"/>
          <w:highlight w:val="none"/>
          <w:lang w:val="en-US" w:eastAsia="zh-CN"/>
        </w:rPr>
        <w:t>40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%。项目效益类指标权重为20分，得分为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rPr>
        <w:t>巴州人民医院自营收入项目评价得分情况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eastAsia"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eastAsia" w:eastAsia="仿宋_GB2312"/>
                <w:b/>
                <w:bCs/>
                <w:color w:val="000000"/>
                <w:sz w:val="22"/>
                <w:lang w:val="en-US" w:eastAsia="zh-CN"/>
              </w:rPr>
            </w:pPr>
            <w:r>
              <w:rPr>
                <w:rFonts w:hint="eastAsia"/>
                <w:b/>
                <w:bCs/>
                <w:color w:val="000000"/>
                <w:sz w:val="22"/>
                <w:lang w:val="en-US" w:eastAsia="zh-CN"/>
              </w:rPr>
              <w:t>100</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pageBreakBefore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color w:val="auto"/>
          <w:lang w:eastAsia="zh-CN"/>
        </w:rPr>
        <w:t>该</w:t>
      </w:r>
      <w:r>
        <w:rPr>
          <w:rFonts w:hint="eastAsia"/>
          <w:color w:val="auto"/>
        </w:rPr>
        <w:t>项目立项符合国家法律法规、国民经济发展规划和相关政策</w:t>
      </w:r>
      <w:r>
        <w:rPr>
          <w:rFonts w:hint="eastAsia"/>
          <w:color w:val="auto"/>
          <w:lang w:eastAsia="zh-CN"/>
        </w:rPr>
        <w:t>。</w:t>
      </w:r>
      <w:r>
        <w:rPr>
          <w:rFonts w:hint="eastAsia"/>
          <w:color w:val="auto"/>
        </w:rPr>
        <w:t>项目立项符合行业发展规划和政策要求</w:t>
      </w:r>
      <w:r>
        <w:rPr>
          <w:rFonts w:hint="eastAsia"/>
          <w:color w:val="auto"/>
          <w:lang w:eastAsia="zh-CN"/>
        </w:rPr>
        <w:t>。</w:t>
      </w:r>
      <w:r>
        <w:rPr>
          <w:rFonts w:hint="eastAsia"/>
          <w:color w:val="auto"/>
        </w:rPr>
        <w:t>项目立项与部门职责范围相符，属于部门履职所需</w:t>
      </w:r>
      <w:r>
        <w:rPr>
          <w:rFonts w:hint="eastAsia"/>
          <w:color w:val="auto"/>
          <w:lang w:eastAsia="zh-CN"/>
        </w:rPr>
        <w:t>。</w:t>
      </w:r>
      <w:r>
        <w:rPr>
          <w:rFonts w:hint="eastAsia"/>
          <w:color w:val="auto"/>
        </w:rPr>
        <w:t>项目属于</w:t>
      </w:r>
      <w:r>
        <w:rPr>
          <w:rFonts w:hint="eastAsia"/>
          <w:color w:val="auto"/>
          <w:lang w:eastAsia="zh-CN"/>
        </w:rPr>
        <w:t>医院自营项目</w:t>
      </w:r>
      <w:r>
        <w:rPr>
          <w:rFonts w:hint="eastAsia"/>
          <w:color w:val="auto"/>
        </w:rPr>
        <w:t>支持范围，符合中央、地方事权支出责任划分原则</w:t>
      </w:r>
      <w:r>
        <w:rPr>
          <w:rFonts w:hint="eastAsia"/>
          <w:color w:val="auto"/>
          <w:lang w:eastAsia="zh-CN"/>
        </w:rPr>
        <w:t>。</w:t>
      </w:r>
      <w:r>
        <w:rPr>
          <w:rFonts w:hint="eastAsia"/>
          <w:color w:val="auto"/>
        </w:rPr>
        <w:t>项目与相关部门同类项目或部门内部相关项目</w:t>
      </w:r>
      <w:r>
        <w:rPr>
          <w:rFonts w:hint="eastAsia"/>
          <w:color w:val="auto"/>
          <w:lang w:eastAsia="zh-CN"/>
        </w:rPr>
        <w:t>不</w:t>
      </w:r>
      <w:r>
        <w:rPr>
          <w:rFonts w:hint="eastAsia"/>
          <w:color w:val="auto"/>
        </w:rPr>
        <w:t>重复。</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此项权重分2.5分，得分2.5分。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FF0000"/>
        </w:rPr>
      </w:pPr>
      <w:r>
        <w:rPr>
          <w:rFonts w:hint="eastAsia"/>
        </w:rPr>
        <w:t>2</w:t>
      </w:r>
      <w:r>
        <w:rPr>
          <w:rFonts w:hint="eastAsia"/>
          <w:lang w:val="en-US" w:eastAsia="zh-CN"/>
        </w:rPr>
        <w:t>.</w:t>
      </w:r>
      <w:r>
        <w:rPr>
          <w:rFonts w:hint="eastAsia"/>
        </w:rPr>
        <w:t>立项程序规范性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项目申请、设立过程符合相关要求，</w:t>
      </w:r>
      <w:r>
        <w:rPr>
          <w:rFonts w:hint="eastAsia" w:ascii="仿宋_GB2312" w:hAnsi="仿宋_GB2312" w:eastAsia="仿宋_GB2312" w:cs="仿宋_GB2312"/>
          <w:b w:val="0"/>
          <w:bCs w:val="0"/>
          <w:color w:val="auto"/>
          <w:sz w:val="30"/>
          <w:szCs w:val="30"/>
          <w:lang w:val="en-US" w:eastAsia="zh-Hans"/>
        </w:rPr>
        <w:t>严格按照审批流程准备符合要求的文件、材料</w:t>
      </w:r>
      <w:r>
        <w:rPr>
          <w:rFonts w:hint="eastAsia" w:ascii="仿宋_GB2312" w:hAnsi="仿宋_GB2312" w:eastAsia="仿宋_GB2312" w:cs="仿宋_GB2312"/>
          <w:b w:val="0"/>
          <w:bCs w:val="0"/>
          <w:color w:val="auto"/>
          <w:sz w:val="30"/>
          <w:szCs w:val="30"/>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此项权重分2.5分，得分2.5分。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巴州人民医院自营收入项目设立了项目绩效目标，与</w:t>
      </w:r>
      <w:r>
        <w:rPr>
          <w:rFonts w:hint="eastAsia"/>
          <w:color w:val="auto"/>
          <w:lang w:eastAsia="zh-CN"/>
        </w:rPr>
        <w:t>医院自营收支实际工作内容</w:t>
      </w:r>
      <w:r>
        <w:rPr>
          <w:rFonts w:hint="eastAsia"/>
          <w:color w:val="auto"/>
        </w:rPr>
        <w:t>具有相关性，项目的预期产出效益和效果也均能符合正常的业绩水平，并且与预算确定的项目投资额或资金量相匹配。</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color w:val="FF0000"/>
        </w:rPr>
      </w:pPr>
      <w:r>
        <w:rPr>
          <w:rFonts w:hint="eastAsia"/>
        </w:rPr>
        <w:t>4</w:t>
      </w:r>
      <w:r>
        <w:rPr>
          <w:rFonts w:hint="eastAsia"/>
          <w:lang w:val="en-US" w:eastAsia="zh-CN"/>
        </w:rPr>
        <w:t>.</w:t>
      </w:r>
      <w:r>
        <w:rPr>
          <w:rFonts w:hint="eastAsia"/>
        </w:rPr>
        <w:t>绩效指标明确性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bookmarkStart w:id="12" w:name="_Hlk68699917"/>
      <w:r>
        <w:rPr>
          <w:rFonts w:hint="eastAsia"/>
          <w:color w:val="auto"/>
        </w:rPr>
        <w:t>巴州人民医院自营收入项目将项目绩效目标细化分解为具体的绩效指标，一级指标共</w:t>
      </w:r>
      <w:r>
        <w:rPr>
          <w:rFonts w:hint="eastAsia"/>
          <w:color w:val="auto"/>
          <w:lang w:val="en-US" w:eastAsia="zh-CN"/>
        </w:rPr>
        <w:t>4</w:t>
      </w:r>
      <w:r>
        <w:rPr>
          <w:rFonts w:hint="eastAsia"/>
          <w:color w:val="auto"/>
        </w:rPr>
        <w:t>条，二级指标共</w:t>
      </w:r>
      <w:r>
        <w:rPr>
          <w:rFonts w:hint="eastAsia"/>
          <w:color w:val="auto"/>
          <w:lang w:val="en-US" w:eastAsia="zh-CN"/>
        </w:rPr>
        <w:t>7</w:t>
      </w:r>
      <w:r>
        <w:rPr>
          <w:rFonts w:hint="eastAsia"/>
          <w:color w:val="auto"/>
        </w:rPr>
        <w:t>条，三级指标共</w:t>
      </w:r>
      <w:r>
        <w:rPr>
          <w:rFonts w:hint="eastAsia"/>
          <w:color w:val="auto"/>
          <w:lang w:val="en-US" w:eastAsia="zh-CN"/>
        </w:rPr>
        <w:t>25</w:t>
      </w:r>
      <w:r>
        <w:rPr>
          <w:rFonts w:hint="eastAsia"/>
          <w:color w:val="auto"/>
        </w:rPr>
        <w:t>条，其中量化指标条数共</w:t>
      </w:r>
      <w:r>
        <w:rPr>
          <w:rFonts w:hint="eastAsia"/>
          <w:color w:val="auto"/>
          <w:lang w:val="en-US" w:eastAsia="zh-CN"/>
        </w:rPr>
        <w:t>25</w:t>
      </w:r>
      <w:r>
        <w:rPr>
          <w:rFonts w:hint="eastAsia"/>
          <w:color w:val="auto"/>
        </w:rPr>
        <w:t>条，所有绩效指标均通过清晰、可衡量的指标值予以体现，并且做到了与项目目标任务数或计划数相对应。</w:t>
      </w:r>
      <w:bookmarkEnd w:id="12"/>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预算编制经过科学论证</w:t>
      </w:r>
      <w:r>
        <w:rPr>
          <w:rFonts w:hint="eastAsia"/>
          <w:color w:val="auto"/>
          <w:lang w:eastAsia="zh-CN"/>
        </w:rPr>
        <w:t>，</w:t>
      </w:r>
      <w:r>
        <w:rPr>
          <w:rFonts w:hint="eastAsia"/>
          <w:color w:val="auto"/>
        </w:rPr>
        <w:t>预算内容与项目内容匹配</w:t>
      </w:r>
      <w:r>
        <w:rPr>
          <w:rFonts w:hint="eastAsia"/>
          <w:color w:val="auto"/>
          <w:lang w:eastAsia="zh-CN"/>
        </w:rPr>
        <w:t>，</w:t>
      </w:r>
      <w:r>
        <w:rPr>
          <w:rFonts w:hint="eastAsia"/>
          <w:color w:val="auto"/>
        </w:rPr>
        <w:t>预算额度测算依据充分，按照标准编制</w:t>
      </w:r>
      <w:r>
        <w:rPr>
          <w:rFonts w:hint="eastAsia"/>
          <w:color w:val="auto"/>
          <w:lang w:eastAsia="zh-CN"/>
        </w:rPr>
        <w:t>，</w:t>
      </w:r>
      <w:r>
        <w:rPr>
          <w:rFonts w:hint="eastAsia"/>
          <w:color w:val="auto"/>
        </w:rPr>
        <w:t>预算确定的项目投资额或资金量与工作任务相匹配。</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此项权重分2.5分，得分2.5分。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预算资金分配依据充分</w:t>
      </w:r>
      <w:r>
        <w:rPr>
          <w:rFonts w:hint="eastAsia"/>
          <w:color w:val="auto"/>
          <w:lang w:eastAsia="zh-CN"/>
        </w:rPr>
        <w:t>，</w:t>
      </w:r>
      <w:r>
        <w:rPr>
          <w:rFonts w:hint="eastAsia"/>
          <w:color w:val="auto"/>
        </w:rPr>
        <w:t>资金分配额度合理，与项目单位或地方实际相适应。</w:t>
      </w:r>
      <w:r>
        <w:rPr>
          <w:rFonts w:hint="eastAsia"/>
          <w:color w:val="auto"/>
          <w:lang w:eastAsia="zh-CN"/>
        </w:rPr>
        <w:t>根据医院战略规划和经营目标，确定资金和资源的分配比例，医院的经营目标包括长期和短期目标，分别考虑资金和资源的分配比例。依据预算计划，制定预算执行方案，加强对预算执行的监管和控制。</w:t>
      </w:r>
      <w:bookmarkStart w:id="21" w:name="_GoBack"/>
      <w:bookmarkEnd w:id="21"/>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此项权重分2.5分，得分2.5分。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预算资金</w:t>
      </w:r>
      <w:r>
        <w:rPr>
          <w:rFonts w:hint="eastAsia"/>
          <w:color w:val="auto"/>
          <w:lang w:val="en-US" w:eastAsia="zh-CN"/>
        </w:rPr>
        <w:t>166843.67</w:t>
      </w:r>
      <w:r>
        <w:rPr>
          <w:rFonts w:hint="eastAsia"/>
          <w:color w:val="auto"/>
        </w:rPr>
        <w:t>万元，实际到位资金166843.67万元，资金到位率</w:t>
      </w:r>
      <w:r>
        <w:rPr>
          <w:rFonts w:hint="eastAsia"/>
          <w:color w:val="auto"/>
          <w:lang w:val="en-US" w:eastAsia="zh-CN"/>
        </w:rPr>
        <w:t>100.00</w:t>
      </w:r>
      <w:r>
        <w:rPr>
          <w:rFonts w:hint="eastAsia"/>
          <w:color w:val="auto"/>
        </w:rPr>
        <w:t>%。</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此项权重分2.5分，得分2.5分。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年初预算数</w:t>
      </w:r>
      <w:r>
        <w:rPr>
          <w:rFonts w:hint="eastAsia"/>
          <w:color w:val="auto"/>
          <w:lang w:val="en-US" w:eastAsia="zh-CN"/>
        </w:rPr>
        <w:t>166843.67</w:t>
      </w:r>
      <w:r>
        <w:rPr>
          <w:rFonts w:hint="eastAsia"/>
          <w:color w:val="auto"/>
        </w:rPr>
        <w:t>万元，全年预算数</w:t>
      </w:r>
      <w:r>
        <w:rPr>
          <w:rFonts w:hint="eastAsia"/>
          <w:color w:val="auto"/>
          <w:lang w:val="en-US" w:eastAsia="zh-CN"/>
        </w:rPr>
        <w:t>166843.67</w:t>
      </w:r>
      <w:r>
        <w:rPr>
          <w:rFonts w:hint="eastAsia"/>
          <w:color w:val="auto"/>
        </w:rPr>
        <w:t>万元，全年执行数166843.67万元，预算执行率为</w:t>
      </w:r>
      <w:r>
        <w:rPr>
          <w:rFonts w:hint="eastAsia"/>
          <w:color w:val="auto"/>
          <w:lang w:val="en-US" w:eastAsia="zh-CN"/>
        </w:rPr>
        <w:t>100.00</w:t>
      </w:r>
      <w:r>
        <w:rPr>
          <w:rFonts w:hint="eastAsia"/>
          <w:color w:val="auto"/>
        </w:rPr>
        <w:t>%</w:t>
      </w:r>
      <w:r>
        <w:rPr>
          <w:rFonts w:hint="eastAsia"/>
          <w:color w:val="auto"/>
          <w:lang w:eastAsia="zh-CN"/>
        </w:rPr>
        <w:t>。</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此项权重分2.5分，得分2.5分。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制定了相关管理办法，对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ind w:firstLine="600" w:firstLineChars="200"/>
        <w:jc w:val="left"/>
        <w:rPr>
          <w:rFonts w:hint="eastAsia"/>
          <w:lang w:val="en-US" w:eastAsia="zh-CN"/>
        </w:rPr>
      </w:pPr>
      <w:r>
        <w:rPr>
          <w:rFonts w:hint="eastAsia" w:ascii="Times New Roman" w:hAnsi="Times New Roman" w:eastAsia="仿宋_GB2312" w:cs="Times New Roman"/>
          <w:b w:val="0"/>
          <w:bCs w:val="0"/>
          <w:color w:val="auto"/>
          <w:kern w:val="2"/>
          <w:sz w:val="30"/>
          <w:szCs w:val="30"/>
          <w:lang w:val="en-US" w:eastAsia="zh-CN" w:bidi="ar-SA"/>
        </w:rPr>
        <w:t>此项</w:t>
      </w:r>
      <w:r>
        <w:rPr>
          <w:rFonts w:hint="eastAsia" w:ascii="Times New Roman" w:hAnsi="Times New Roman" w:eastAsia="仿宋_GB2312" w:cs="Times New Roman"/>
          <w:b w:val="0"/>
          <w:bCs w:val="0"/>
          <w:kern w:val="2"/>
          <w:sz w:val="30"/>
          <w:szCs w:val="24"/>
          <w:lang w:val="en-US" w:eastAsia="zh-CN" w:bidi="ar-SA"/>
        </w:rPr>
        <w:t>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遵守相关法律法规和相关管理规定；项目调整及支出调整手续完备；项目合同书、验收报告、技术鉴定等资料齐全并及时归档；项目实施的人员条件、场地设备、信息支撑等</w:t>
      </w:r>
      <w:r>
        <w:rPr>
          <w:rFonts w:hint="eastAsia"/>
          <w:color w:val="auto"/>
          <w:lang w:eastAsia="zh-CN"/>
        </w:rPr>
        <w:t>均</w:t>
      </w:r>
      <w:r>
        <w:rPr>
          <w:rFonts w:hint="eastAsia"/>
          <w:color w:val="auto"/>
        </w:rPr>
        <w:t>落实到位。</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bookmarkStart w:id="14" w:name="_Toc68703840"/>
      <w:r>
        <w:rPr>
          <w:rFonts w:hint="eastAsia"/>
          <w:color w:val="auto"/>
          <w:highlight w:val="none"/>
          <w:lang w:val="en-US" w:eastAsia="zh-CN"/>
        </w:rPr>
        <w:t>（三）</w:t>
      </w:r>
      <w:r>
        <w:rPr>
          <w:rFonts w:hint="eastAsia" w:ascii="仿宋_GB2312" w:eastAsia="仿宋_GB2312"/>
          <w:b w:val="0"/>
          <w:bCs w:val="0"/>
          <w:highlight w:val="none"/>
        </w:rPr>
        <w:t>项目产出情况。</w:t>
      </w:r>
      <w:bookmarkEnd w:id="14"/>
    </w:p>
    <w:p>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数量指标</w:t>
      </w:r>
      <w:r>
        <w:rPr>
          <w:rFonts w:hint="eastAsia"/>
          <w:color w:val="auto"/>
          <w:lang w:eastAsia="zh-CN"/>
        </w:rPr>
        <w:t>完成情况</w:t>
      </w:r>
      <w:r>
        <w:rPr>
          <w:rFonts w:hint="eastAsia"/>
          <w:color w:val="auto"/>
        </w:rPr>
        <w:t>：</w:t>
      </w:r>
    </w:p>
    <w:p>
      <w:pPr>
        <w:pageBreakBefore w:val="0"/>
        <w:numPr>
          <w:ilvl w:val="0"/>
          <w:numId w:val="0"/>
        </w:numPr>
        <w:kinsoku/>
        <w:wordWrap/>
        <w:overflowPunct/>
        <w:topLinePunct w:val="0"/>
        <w:autoSpaceDE/>
        <w:autoSpaceDN/>
        <w:bidi w:val="0"/>
        <w:adjustRightInd/>
        <w:snapToGrid/>
        <w:spacing w:line="560" w:lineRule="exact"/>
        <w:ind w:firstLine="600"/>
        <w:textAlignment w:val="auto"/>
        <w:rPr>
          <w:rFonts w:hint="eastAsia"/>
          <w:color w:val="auto"/>
        </w:rPr>
      </w:pPr>
      <w:r>
        <w:rPr>
          <w:rFonts w:hint="eastAsia"/>
          <w:color w:val="auto"/>
        </w:rPr>
        <w:t>指标1：门诊患者人次</w:t>
      </w:r>
      <w:r>
        <w:rPr>
          <w:rFonts w:hint="eastAsia"/>
          <w:color w:val="auto"/>
          <w:lang w:eastAsia="zh-CN"/>
        </w:rPr>
        <w:t>，</w:t>
      </w:r>
      <w:r>
        <w:rPr>
          <w:rFonts w:hint="eastAsia"/>
          <w:color w:val="auto"/>
        </w:rPr>
        <w:t>指标值：&gt;=126万人，实际完成值130.49万人，指标完成率</w:t>
      </w:r>
      <w:r>
        <w:rPr>
          <w:rFonts w:hint="eastAsia"/>
          <w:color w:val="auto"/>
          <w:lang w:val="en-US" w:eastAsia="zh-CN"/>
        </w:rPr>
        <w:t>103.56</w:t>
      </w:r>
      <w:r>
        <w:rPr>
          <w:rFonts w:hint="eastAsia"/>
          <w:color w:val="auto"/>
        </w:rPr>
        <w:t>%</w:t>
      </w:r>
      <w:r>
        <w:rPr>
          <w:rFonts w:hint="eastAsia"/>
          <w:color w:val="auto"/>
          <w:lang w:eastAsia="zh-CN"/>
        </w:rPr>
        <w:t>。偏差原因：2023年未受新冠疫情影响，门诊人次增加，医疗收入较2022年增幅较大。</w:t>
      </w:r>
    </w:p>
    <w:p>
      <w:pPr>
        <w:pageBreakBefore w:val="0"/>
        <w:numPr>
          <w:ilvl w:val="0"/>
          <w:numId w:val="0"/>
        </w:numPr>
        <w:kinsoku/>
        <w:wordWrap/>
        <w:overflowPunct/>
        <w:topLinePunct w:val="0"/>
        <w:autoSpaceDE/>
        <w:autoSpaceDN/>
        <w:bidi w:val="0"/>
        <w:adjustRightInd/>
        <w:snapToGrid/>
        <w:spacing w:line="560" w:lineRule="exact"/>
        <w:ind w:firstLine="600"/>
        <w:textAlignment w:val="auto"/>
        <w:rPr>
          <w:rFonts w:hint="eastAsia"/>
          <w:color w:val="auto"/>
          <w:lang w:eastAsia="zh-CN"/>
        </w:rPr>
      </w:pPr>
      <w:r>
        <w:rPr>
          <w:rFonts w:hint="eastAsia"/>
          <w:color w:val="auto"/>
        </w:rPr>
        <w:t>指标2：出院患者人次，指标值：&gt;=8.34万人，实际完成值</w:t>
      </w:r>
      <w:r>
        <w:rPr>
          <w:rFonts w:hint="eastAsia"/>
          <w:color w:val="auto"/>
          <w:lang w:val="en-US" w:eastAsia="zh-CN"/>
        </w:rPr>
        <w:t>8.34万人</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pageBreakBefore w:val="0"/>
        <w:numPr>
          <w:ilvl w:val="0"/>
          <w:numId w:val="0"/>
        </w:numPr>
        <w:kinsoku/>
        <w:wordWrap/>
        <w:overflowPunct/>
        <w:topLinePunct w:val="0"/>
        <w:autoSpaceDE/>
        <w:autoSpaceDN/>
        <w:bidi w:val="0"/>
        <w:adjustRightInd/>
        <w:snapToGrid/>
        <w:spacing w:line="560" w:lineRule="exact"/>
        <w:ind w:firstLine="600"/>
        <w:textAlignment w:val="auto"/>
        <w:rPr>
          <w:rFonts w:hint="eastAsia"/>
          <w:color w:val="auto"/>
          <w:lang w:eastAsia="zh-CN"/>
        </w:rPr>
      </w:pPr>
      <w:r>
        <w:rPr>
          <w:rFonts w:hint="eastAsia"/>
          <w:color w:val="auto"/>
        </w:rPr>
        <w:t>指标</w:t>
      </w:r>
      <w:r>
        <w:rPr>
          <w:rFonts w:hint="eastAsia"/>
          <w:color w:val="auto"/>
          <w:lang w:val="en-US" w:eastAsia="zh-CN"/>
        </w:rPr>
        <w:t>3</w:t>
      </w:r>
      <w:r>
        <w:rPr>
          <w:rFonts w:hint="eastAsia"/>
          <w:color w:val="auto"/>
        </w:rPr>
        <w:t>：在职职工人数，指标值：&gt;=2329人，实际完成值</w:t>
      </w:r>
      <w:r>
        <w:rPr>
          <w:rFonts w:hint="eastAsia"/>
          <w:color w:val="auto"/>
          <w:lang w:val="en-US" w:eastAsia="zh-CN"/>
        </w:rPr>
        <w:t>2449人</w:t>
      </w:r>
      <w:r>
        <w:rPr>
          <w:rFonts w:hint="eastAsia"/>
          <w:color w:val="auto"/>
        </w:rPr>
        <w:t>，指标完成率</w:t>
      </w:r>
      <w:r>
        <w:rPr>
          <w:rFonts w:hint="eastAsia"/>
          <w:color w:val="auto"/>
          <w:lang w:val="en-US" w:eastAsia="zh-CN"/>
        </w:rPr>
        <w:t>105.15</w:t>
      </w:r>
      <w:r>
        <w:rPr>
          <w:rFonts w:hint="eastAsia"/>
          <w:color w:val="auto"/>
        </w:rPr>
        <w:t>%</w:t>
      </w:r>
      <w:r>
        <w:rPr>
          <w:rFonts w:hint="eastAsia"/>
          <w:color w:val="auto"/>
          <w:lang w:eastAsia="zh-CN"/>
        </w:rPr>
        <w:t>。偏差原因：2023年未受新冠疫情影响，门诊人次、住院人次、医疗收入较2022年增幅较大，相应的人员增加，人员经费支出费用增加。</w:t>
      </w:r>
    </w:p>
    <w:p>
      <w:pPr>
        <w:pageBreakBefore w:val="0"/>
        <w:numPr>
          <w:ilvl w:val="0"/>
          <w:numId w:val="0"/>
        </w:numPr>
        <w:kinsoku/>
        <w:wordWrap/>
        <w:overflowPunct/>
        <w:topLinePunct w:val="0"/>
        <w:autoSpaceDE/>
        <w:autoSpaceDN/>
        <w:bidi w:val="0"/>
        <w:adjustRightInd/>
        <w:snapToGrid/>
        <w:spacing w:line="560" w:lineRule="exact"/>
        <w:ind w:firstLine="600"/>
        <w:textAlignment w:val="auto"/>
        <w:rPr>
          <w:rFonts w:hint="eastAsia"/>
          <w:color w:val="auto"/>
        </w:rPr>
      </w:pPr>
      <w:r>
        <w:rPr>
          <w:rFonts w:hint="eastAsia"/>
          <w:color w:val="auto"/>
        </w:rPr>
        <w:t>指标</w:t>
      </w:r>
      <w:r>
        <w:rPr>
          <w:rFonts w:hint="eastAsia"/>
          <w:color w:val="auto"/>
          <w:lang w:val="en-US" w:eastAsia="zh-CN"/>
        </w:rPr>
        <w:t>4</w:t>
      </w:r>
      <w:r>
        <w:rPr>
          <w:rFonts w:hint="eastAsia"/>
          <w:color w:val="auto"/>
        </w:rPr>
        <w:t>：购置设备数量，指标值：&gt;=677台，实际完成值</w:t>
      </w:r>
      <w:r>
        <w:rPr>
          <w:rFonts w:hint="eastAsia"/>
          <w:color w:val="auto"/>
          <w:lang w:val="en-US" w:eastAsia="zh-CN"/>
        </w:rPr>
        <w:t>677台</w:t>
      </w:r>
      <w:r>
        <w:rPr>
          <w:rFonts w:hint="eastAsia"/>
          <w:color w:val="auto"/>
        </w:rPr>
        <w:t>，指标完成率10</w:t>
      </w:r>
      <w:r>
        <w:rPr>
          <w:rFonts w:hint="eastAsia"/>
          <w:color w:val="auto"/>
          <w:lang w:val="en-US" w:eastAsia="zh-CN"/>
        </w:rPr>
        <w:t>0</w:t>
      </w:r>
      <w:r>
        <w:rPr>
          <w:rFonts w:hint="eastAsia"/>
          <w:color w:val="auto"/>
        </w:rPr>
        <w:t>%。</w:t>
      </w:r>
    </w:p>
    <w:p>
      <w:pPr>
        <w:pageBreakBefore w:val="0"/>
        <w:numPr>
          <w:ilvl w:val="0"/>
          <w:numId w:val="0"/>
        </w:numPr>
        <w:kinsoku/>
        <w:wordWrap/>
        <w:overflowPunct/>
        <w:topLinePunct w:val="0"/>
        <w:autoSpaceDE/>
        <w:autoSpaceDN/>
        <w:bidi w:val="0"/>
        <w:adjustRightInd/>
        <w:snapToGrid/>
        <w:spacing w:line="560" w:lineRule="exact"/>
        <w:ind w:firstLine="600"/>
        <w:textAlignment w:val="auto"/>
        <w:rPr>
          <w:rFonts w:hint="eastAsia"/>
          <w:color w:val="auto"/>
        </w:rPr>
      </w:pPr>
      <w:r>
        <w:rPr>
          <w:rFonts w:hint="eastAsia"/>
          <w:color w:val="auto"/>
        </w:rPr>
        <w:t>指标</w:t>
      </w:r>
      <w:r>
        <w:rPr>
          <w:rFonts w:hint="eastAsia"/>
          <w:color w:val="auto"/>
          <w:lang w:val="en-US" w:eastAsia="zh-CN"/>
        </w:rPr>
        <w:t>5</w:t>
      </w:r>
      <w:r>
        <w:rPr>
          <w:rFonts w:hint="eastAsia"/>
          <w:color w:val="auto"/>
        </w:rPr>
        <w:t>：在建工程数量，指标值：&gt;=6个，实际完成值</w:t>
      </w:r>
      <w:r>
        <w:rPr>
          <w:rFonts w:hint="eastAsia"/>
          <w:color w:val="auto"/>
          <w:lang w:val="en-US" w:eastAsia="zh-CN"/>
        </w:rPr>
        <w:t>6个</w:t>
      </w:r>
      <w:r>
        <w:rPr>
          <w:rFonts w:hint="eastAsia"/>
          <w:color w:val="auto"/>
        </w:rPr>
        <w:t>，指标完成率100%。</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pPr>
      <w:r>
        <w:rPr>
          <w:rFonts w:hint="eastAsia"/>
          <w:color w:val="auto"/>
        </w:rPr>
        <w:t>质量指标</w:t>
      </w:r>
      <w:r>
        <w:rPr>
          <w:rFonts w:hint="eastAsia"/>
          <w:color w:val="auto"/>
          <w:lang w:eastAsia="zh-CN"/>
        </w:rPr>
        <w:t>完成情况</w:t>
      </w:r>
      <w:r>
        <w:rPr>
          <w:rFonts w:hint="eastAsia"/>
          <w:color w:val="auto"/>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auto"/>
        </w:rPr>
      </w:pPr>
      <w:r>
        <w:rPr>
          <w:rFonts w:hint="eastAsia"/>
          <w:color w:val="auto"/>
        </w:rPr>
        <w:t>指标1：平均住院日，指标值：&lt;=8日，实际完成值</w:t>
      </w:r>
      <w:r>
        <w:rPr>
          <w:rFonts w:hint="eastAsia"/>
          <w:color w:val="auto"/>
          <w:lang w:val="en-US" w:eastAsia="zh-CN"/>
        </w:rPr>
        <w:t>7.89日</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auto"/>
          <w:lang w:eastAsia="zh-CN"/>
        </w:rPr>
      </w:pPr>
      <w:r>
        <w:rPr>
          <w:rFonts w:hint="eastAsia"/>
          <w:color w:val="auto"/>
        </w:rPr>
        <w:t>指标2：病床周转次数，指标值：&gt;=58次，实际完成值</w:t>
      </w:r>
      <w:r>
        <w:rPr>
          <w:rFonts w:hint="eastAsia"/>
          <w:color w:val="auto"/>
          <w:lang w:val="en-US" w:eastAsia="zh-CN"/>
        </w:rPr>
        <w:t>59次</w:t>
      </w:r>
      <w:r>
        <w:rPr>
          <w:rFonts w:hint="eastAsia"/>
          <w:color w:val="auto"/>
        </w:rPr>
        <w:t>，指标完成率</w:t>
      </w:r>
      <w:r>
        <w:rPr>
          <w:rFonts w:hint="eastAsia"/>
          <w:color w:val="auto"/>
          <w:lang w:val="en-US" w:eastAsia="zh-CN"/>
        </w:rPr>
        <w:t>101.72</w:t>
      </w:r>
      <w:r>
        <w:rPr>
          <w:rFonts w:hint="eastAsia"/>
          <w:color w:val="auto"/>
        </w:rPr>
        <w:t>%</w:t>
      </w:r>
      <w:r>
        <w:rPr>
          <w:rFonts w:hint="eastAsia"/>
          <w:color w:val="auto"/>
          <w:lang w:eastAsia="zh-CN"/>
        </w:rPr>
        <w:t>。偏差原因：2023年未受新冠疫情影响，门诊人次、住院人次、医疗收入较2022年增幅较大，病床周转次数增加。</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auto"/>
          <w:lang w:eastAsia="zh-CN"/>
        </w:rPr>
      </w:pPr>
      <w:r>
        <w:rPr>
          <w:rFonts w:hint="eastAsia"/>
          <w:color w:val="auto"/>
        </w:rPr>
        <w:t>指标</w:t>
      </w:r>
      <w:r>
        <w:rPr>
          <w:rFonts w:hint="eastAsia"/>
          <w:color w:val="auto"/>
          <w:lang w:val="en-US" w:eastAsia="zh-CN"/>
        </w:rPr>
        <w:t>3</w:t>
      </w:r>
      <w:r>
        <w:rPr>
          <w:rFonts w:hint="eastAsia"/>
          <w:color w:val="auto"/>
        </w:rPr>
        <w:t>：设备验收合格率，指标值：&gt;=95%，实际完成值</w:t>
      </w:r>
      <w:r>
        <w:rPr>
          <w:rFonts w:hint="eastAsia"/>
          <w:color w:val="auto"/>
          <w:lang w:val="en-US" w:eastAsia="zh-CN"/>
        </w:rPr>
        <w:t>100%</w:t>
      </w:r>
      <w:r>
        <w:rPr>
          <w:rFonts w:hint="eastAsia"/>
          <w:color w:val="auto"/>
        </w:rPr>
        <w:t>，指标完成率</w:t>
      </w:r>
      <w:r>
        <w:rPr>
          <w:rFonts w:hint="eastAsia"/>
          <w:color w:val="auto"/>
          <w:lang w:val="en-US" w:eastAsia="zh-CN"/>
        </w:rPr>
        <w:t>105.26</w:t>
      </w:r>
      <w:r>
        <w:rPr>
          <w:rFonts w:hint="eastAsia"/>
          <w:color w:val="auto"/>
        </w:rPr>
        <w:t>%</w:t>
      </w:r>
      <w:r>
        <w:rPr>
          <w:rFonts w:hint="eastAsia"/>
          <w:color w:val="auto"/>
          <w:lang w:eastAsia="zh-CN"/>
        </w:rPr>
        <w:t>。偏差原因：医院加强了对设备的管理，必须验收合格才能入库。</w:t>
      </w:r>
    </w:p>
    <w:p>
      <w:pPr>
        <w:pageBreakBefore w:val="0"/>
        <w:numPr>
          <w:ilvl w:val="0"/>
          <w:numId w:val="0"/>
        </w:numPr>
        <w:kinsoku/>
        <w:wordWrap/>
        <w:overflowPunct/>
        <w:topLinePunct w:val="0"/>
        <w:autoSpaceDE/>
        <w:autoSpaceDN/>
        <w:bidi w:val="0"/>
        <w:adjustRightInd/>
        <w:snapToGrid/>
        <w:spacing w:line="560" w:lineRule="exact"/>
        <w:ind w:leftChars="200"/>
        <w:textAlignment w:val="auto"/>
      </w:pPr>
      <w:r>
        <w:rPr>
          <w:rFonts w:hint="eastAsia"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lang w:eastAsia="zh-CN"/>
        </w:rPr>
      </w:pPr>
      <w:r>
        <w:rPr>
          <w:rFonts w:hint="eastAsia"/>
          <w:color w:val="auto"/>
        </w:rPr>
        <w:t>时效指标</w:t>
      </w:r>
      <w:r>
        <w:rPr>
          <w:rFonts w:hint="eastAsia"/>
          <w:color w:val="auto"/>
          <w:lang w:eastAsia="zh-CN"/>
        </w:rPr>
        <w:t>完成情况</w:t>
      </w:r>
      <w:r>
        <w:rPr>
          <w:rFonts w:hint="eastAsia"/>
          <w:color w:val="auto"/>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指标1：基建项目完成及时率，指标值：&gt;=83.33%，实际完成值83.33%，指标完成率100%。</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指标</w:t>
      </w:r>
      <w:r>
        <w:rPr>
          <w:rFonts w:hint="eastAsia" w:cs="Times New Roman"/>
          <w:b w:val="0"/>
          <w:bCs w:val="0"/>
          <w:kern w:val="2"/>
          <w:sz w:val="30"/>
          <w:szCs w:val="24"/>
          <w:lang w:val="en-US" w:eastAsia="zh-CN" w:bidi="ar-SA"/>
        </w:rPr>
        <w:t>2</w:t>
      </w:r>
      <w:r>
        <w:rPr>
          <w:rFonts w:hint="eastAsia" w:ascii="Times New Roman" w:hAnsi="Times New Roman" w:eastAsia="仿宋_GB2312" w:cs="Times New Roman"/>
          <w:b w:val="0"/>
          <w:bCs w:val="0"/>
          <w:kern w:val="2"/>
          <w:sz w:val="30"/>
          <w:szCs w:val="24"/>
          <w:lang w:val="en-US" w:eastAsia="zh-CN" w:bidi="ar-SA"/>
        </w:rPr>
        <w:t>：系统运行维护响应时间，指标值：&lt;=10分钟，实际完成值10分钟，指标完成率100%。</w:t>
      </w:r>
    </w:p>
    <w:p>
      <w:pPr>
        <w:pageBreakBefore w:val="0"/>
        <w:numPr>
          <w:ilvl w:val="0"/>
          <w:numId w:val="0"/>
        </w:numPr>
        <w:kinsoku/>
        <w:wordWrap/>
        <w:overflowPunct/>
        <w:topLinePunct w:val="0"/>
        <w:autoSpaceDE/>
        <w:autoSpaceDN/>
        <w:bidi w:val="0"/>
        <w:adjustRightInd/>
        <w:snapToGrid/>
        <w:spacing w:line="560" w:lineRule="exact"/>
        <w:ind w:leftChars="200"/>
        <w:textAlignment w:val="auto"/>
      </w:pPr>
      <w:r>
        <w:rPr>
          <w:rFonts w:hint="eastAsia"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分。</w:t>
      </w:r>
    </w:p>
    <w:p>
      <w:pPr>
        <w:pageBreakBefore w:val="0"/>
        <w:kinsoku/>
        <w:wordWrap/>
        <w:overflowPunct/>
        <w:topLinePunct w:val="0"/>
        <w:autoSpaceDE/>
        <w:autoSpaceDN/>
        <w:bidi w:val="0"/>
        <w:adjustRightInd/>
        <w:snapToGrid/>
        <w:spacing w:line="560" w:lineRule="exact"/>
        <w:ind w:firstLine="600"/>
        <w:textAlignment w:val="auto"/>
        <w:rPr>
          <w:rFonts w:hint="eastAsia"/>
          <w:color w:val="auto"/>
          <w:highlight w:val="none"/>
          <w:lang w:eastAsia="zh-CN"/>
        </w:rPr>
      </w:pPr>
      <w:r>
        <w:rPr>
          <w:rFonts w:hint="eastAsia"/>
          <w:color w:val="auto"/>
          <w:highlight w:val="none"/>
          <w:lang w:val="en-US" w:eastAsia="zh-CN"/>
        </w:rPr>
        <w:t>4.经济成本指标完成情况</w:t>
      </w:r>
      <w:r>
        <w:rPr>
          <w:rFonts w:hint="eastAsia"/>
          <w:color w:val="auto"/>
          <w:highlight w:val="none"/>
          <w:lang w:eastAsia="zh-CN"/>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指标1：人员成本，指标值：&lt;=5.83亿元，实际完成值5.83亿元，指标完成率100%。</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指标</w:t>
      </w:r>
      <w:r>
        <w:rPr>
          <w:rFonts w:hint="eastAsia" w:cs="Times New Roman"/>
          <w:b w:val="0"/>
          <w:bCs w:val="0"/>
          <w:kern w:val="2"/>
          <w:sz w:val="30"/>
          <w:szCs w:val="24"/>
          <w:lang w:val="en-US" w:eastAsia="zh-CN" w:bidi="ar-SA"/>
        </w:rPr>
        <w:t>2</w:t>
      </w:r>
      <w:r>
        <w:rPr>
          <w:rFonts w:hint="eastAsia" w:ascii="Times New Roman" w:hAnsi="Times New Roman" w:eastAsia="仿宋_GB2312" w:cs="Times New Roman"/>
          <w:b w:val="0"/>
          <w:bCs w:val="0"/>
          <w:kern w:val="2"/>
          <w:sz w:val="30"/>
          <w:szCs w:val="24"/>
          <w:lang w:val="en-US" w:eastAsia="zh-CN" w:bidi="ar-SA"/>
        </w:rPr>
        <w:t>：药品成本，指标值：&lt;=3.1亿元，实际完成值3.1亿元，指标完成率100%。</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指标</w:t>
      </w:r>
      <w:r>
        <w:rPr>
          <w:rFonts w:hint="eastAsia" w:cs="Times New Roman"/>
          <w:b w:val="0"/>
          <w:bCs w:val="0"/>
          <w:kern w:val="2"/>
          <w:sz w:val="30"/>
          <w:szCs w:val="24"/>
          <w:lang w:val="en-US" w:eastAsia="zh-CN" w:bidi="ar-SA"/>
        </w:rPr>
        <w:t>3</w:t>
      </w:r>
      <w:r>
        <w:rPr>
          <w:rFonts w:hint="eastAsia" w:ascii="Times New Roman" w:hAnsi="Times New Roman" w:eastAsia="仿宋_GB2312" w:cs="Times New Roman"/>
          <w:b w:val="0"/>
          <w:bCs w:val="0"/>
          <w:kern w:val="2"/>
          <w:sz w:val="30"/>
          <w:szCs w:val="24"/>
          <w:lang w:val="en-US" w:eastAsia="zh-CN" w:bidi="ar-SA"/>
        </w:rPr>
        <w:t>：卫生材料成本，指标值：&lt;=3.08亿元，实际完成值3.08亿元，指标完成率100%。</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指标</w:t>
      </w:r>
      <w:r>
        <w:rPr>
          <w:rFonts w:hint="eastAsia" w:cs="Times New Roman"/>
          <w:b w:val="0"/>
          <w:bCs w:val="0"/>
          <w:kern w:val="2"/>
          <w:sz w:val="30"/>
          <w:szCs w:val="24"/>
          <w:lang w:val="en-US" w:eastAsia="zh-CN" w:bidi="ar-SA"/>
        </w:rPr>
        <w:t>4</w:t>
      </w:r>
      <w:r>
        <w:rPr>
          <w:rFonts w:hint="eastAsia" w:ascii="Times New Roman" w:hAnsi="Times New Roman" w:eastAsia="仿宋_GB2312" w:cs="Times New Roman"/>
          <w:b w:val="0"/>
          <w:bCs w:val="0"/>
          <w:kern w:val="2"/>
          <w:sz w:val="30"/>
          <w:szCs w:val="24"/>
          <w:lang w:val="en-US" w:eastAsia="zh-CN" w:bidi="ar-SA"/>
        </w:rPr>
        <w:t>：固定资产折旧费，指标值：&lt;=5573.95万元，实际完成值5573.95万元，指标完成率100%。</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指标</w:t>
      </w:r>
      <w:r>
        <w:rPr>
          <w:rFonts w:hint="eastAsia" w:cs="Times New Roman"/>
          <w:b w:val="0"/>
          <w:bCs w:val="0"/>
          <w:kern w:val="2"/>
          <w:sz w:val="30"/>
          <w:szCs w:val="24"/>
          <w:lang w:val="en-US" w:eastAsia="zh-CN" w:bidi="ar-SA"/>
        </w:rPr>
        <w:t>5</w:t>
      </w:r>
      <w:r>
        <w:rPr>
          <w:rFonts w:hint="eastAsia" w:ascii="Times New Roman" w:hAnsi="Times New Roman" w:eastAsia="仿宋_GB2312" w:cs="Times New Roman"/>
          <w:b w:val="0"/>
          <w:bCs w:val="0"/>
          <w:kern w:val="2"/>
          <w:sz w:val="30"/>
          <w:szCs w:val="24"/>
          <w:lang w:val="en-US" w:eastAsia="zh-CN" w:bidi="ar-SA"/>
        </w:rPr>
        <w:t>：医疗风险金，指标值：&lt;=190.84万元，实际完成值190.84万元，指标完成率100%。</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指标</w:t>
      </w:r>
      <w:r>
        <w:rPr>
          <w:rFonts w:hint="eastAsia" w:cs="Times New Roman"/>
          <w:b w:val="0"/>
          <w:bCs w:val="0"/>
          <w:kern w:val="2"/>
          <w:sz w:val="30"/>
          <w:szCs w:val="24"/>
          <w:lang w:val="en-US" w:eastAsia="zh-CN" w:bidi="ar-SA"/>
        </w:rPr>
        <w:t>6</w:t>
      </w:r>
      <w:r>
        <w:rPr>
          <w:rFonts w:hint="eastAsia" w:ascii="Times New Roman" w:hAnsi="Times New Roman" w:eastAsia="仿宋_GB2312" w:cs="Times New Roman"/>
          <w:b w:val="0"/>
          <w:bCs w:val="0"/>
          <w:kern w:val="2"/>
          <w:sz w:val="30"/>
          <w:szCs w:val="24"/>
          <w:lang w:val="en-US" w:eastAsia="zh-CN" w:bidi="ar-SA"/>
        </w:rPr>
        <w:t>：其他商品与服务支出，指标值：&lt;=8515.77万元，实际完成值8515.77万元，指标完成率100%。</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指标</w:t>
      </w:r>
      <w:r>
        <w:rPr>
          <w:rFonts w:hint="eastAsia" w:cs="Times New Roman"/>
          <w:b w:val="0"/>
          <w:bCs w:val="0"/>
          <w:kern w:val="2"/>
          <w:sz w:val="30"/>
          <w:szCs w:val="24"/>
          <w:lang w:val="en-US" w:eastAsia="zh-CN" w:bidi="ar-SA"/>
        </w:rPr>
        <w:t>7</w:t>
      </w:r>
      <w:r>
        <w:rPr>
          <w:rFonts w:hint="eastAsia" w:ascii="Times New Roman" w:hAnsi="Times New Roman" w:eastAsia="仿宋_GB2312" w:cs="Times New Roman"/>
          <w:b w:val="0"/>
          <w:bCs w:val="0"/>
          <w:kern w:val="2"/>
          <w:sz w:val="30"/>
          <w:szCs w:val="24"/>
          <w:lang w:val="en-US" w:eastAsia="zh-CN" w:bidi="ar-SA"/>
        </w:rPr>
        <w:t>：固定资产购置，指标值：&lt;=11792万元，实际完成值</w:t>
      </w:r>
      <w:r>
        <w:rPr>
          <w:rFonts w:hint="eastAsia" w:cs="Times New Roman"/>
          <w:b w:val="0"/>
          <w:bCs w:val="0"/>
          <w:kern w:val="2"/>
          <w:sz w:val="30"/>
          <w:szCs w:val="24"/>
          <w:lang w:val="en-US" w:eastAsia="zh-CN" w:bidi="ar-SA"/>
        </w:rPr>
        <w:t>11791.45</w:t>
      </w:r>
      <w:r>
        <w:rPr>
          <w:rFonts w:hint="eastAsia" w:ascii="Times New Roman" w:hAnsi="Times New Roman" w:eastAsia="仿宋_GB2312" w:cs="Times New Roman"/>
          <w:b w:val="0"/>
          <w:bCs w:val="0"/>
          <w:kern w:val="2"/>
          <w:sz w:val="30"/>
          <w:szCs w:val="24"/>
          <w:lang w:val="en-US" w:eastAsia="zh-CN" w:bidi="ar-SA"/>
        </w:rPr>
        <w:t>万元，指标完成率</w:t>
      </w:r>
      <w:r>
        <w:rPr>
          <w:rFonts w:hint="eastAsia" w:cs="Times New Roman"/>
          <w:b w:val="0"/>
          <w:bCs w:val="0"/>
          <w:kern w:val="2"/>
          <w:sz w:val="30"/>
          <w:szCs w:val="24"/>
          <w:lang w:val="en-US" w:eastAsia="zh-CN" w:bidi="ar-SA"/>
        </w:rPr>
        <w:t>99.99</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偏差原因：</w:t>
      </w:r>
      <w:r>
        <w:rPr>
          <w:rFonts w:hint="eastAsia" w:ascii="Times New Roman" w:hAnsi="Times New Roman" w:eastAsia="仿宋_GB2312" w:cs="Times New Roman"/>
          <w:b w:val="0"/>
          <w:bCs w:val="0"/>
          <w:kern w:val="2"/>
          <w:sz w:val="30"/>
          <w:szCs w:val="24"/>
          <w:lang w:val="en-US" w:eastAsia="zh-CN" w:bidi="ar-SA"/>
        </w:rPr>
        <w:t>2023年未受新冠疫情影响，门诊人次、住院人次、医疗收入较2022年增幅较大，相应的人购置固定资产等费用增加。</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指标</w:t>
      </w:r>
      <w:r>
        <w:rPr>
          <w:rFonts w:hint="eastAsia" w:cs="Times New Roman"/>
          <w:b w:val="0"/>
          <w:bCs w:val="0"/>
          <w:kern w:val="2"/>
          <w:sz w:val="30"/>
          <w:szCs w:val="24"/>
          <w:lang w:val="en-US" w:eastAsia="zh-CN" w:bidi="ar-SA"/>
        </w:rPr>
        <w:t>8</w:t>
      </w:r>
      <w:r>
        <w:rPr>
          <w:rFonts w:hint="eastAsia" w:ascii="Times New Roman" w:hAnsi="Times New Roman" w:eastAsia="仿宋_GB2312" w:cs="Times New Roman"/>
          <w:b w:val="0"/>
          <w:bCs w:val="0"/>
          <w:kern w:val="2"/>
          <w:sz w:val="30"/>
          <w:szCs w:val="24"/>
          <w:lang w:val="en-US" w:eastAsia="zh-CN" w:bidi="ar-SA"/>
        </w:rPr>
        <w:t>：在建工程（含PPP项目），指标值：&lt;=2.08亿元，实际完成值2.08亿元，指标完成率100%。</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auto"/>
          <w:highlight w:val="none"/>
          <w:lang w:eastAsia="zh-CN"/>
        </w:rPr>
      </w:pPr>
      <w:r>
        <w:rPr>
          <w:rFonts w:hint="eastAsia"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color w:val="auto"/>
          <w:highlight w:val="none"/>
        </w:rPr>
        <w:t>1</w:t>
      </w:r>
      <w:r>
        <w:rPr>
          <w:rFonts w:hint="eastAsia"/>
          <w:color w:val="auto"/>
          <w:highlight w:val="none"/>
          <w:lang w:val="en-US" w:eastAsia="zh-CN"/>
        </w:rPr>
        <w:t>.</w:t>
      </w:r>
      <w:r>
        <w:rPr>
          <w:rFonts w:hint="eastAsia"/>
          <w:color w:val="auto"/>
          <w:highlight w:val="none"/>
        </w:rPr>
        <w:t>经济效益指标</w:t>
      </w:r>
      <w:r>
        <w:rPr>
          <w:rFonts w:hint="eastAsia"/>
          <w:color w:val="auto"/>
          <w:highlight w:val="none"/>
          <w:lang w:eastAsia="zh-CN"/>
        </w:rPr>
        <w:t>完成情况</w:t>
      </w:r>
      <w:r>
        <w:rPr>
          <w:rFonts w:hint="eastAsia"/>
          <w:color w:val="auto"/>
          <w:highlight w:val="none"/>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指标1：医疗收入增幅，指标值：&gt;=50%，实际完成值</w:t>
      </w:r>
      <w:r>
        <w:rPr>
          <w:rFonts w:hint="eastAsia" w:cs="Times New Roman"/>
          <w:b w:val="0"/>
          <w:bCs w:val="0"/>
          <w:kern w:val="2"/>
          <w:sz w:val="30"/>
          <w:szCs w:val="24"/>
          <w:lang w:val="en-US" w:eastAsia="zh-CN" w:bidi="ar-SA"/>
        </w:rPr>
        <w:t>51.71</w:t>
      </w:r>
      <w:r>
        <w:rPr>
          <w:rFonts w:hint="eastAsia" w:ascii="Times New Roman" w:hAnsi="Times New Roman" w:eastAsia="仿宋_GB2312" w:cs="Times New Roman"/>
          <w:b w:val="0"/>
          <w:bCs w:val="0"/>
          <w:kern w:val="2"/>
          <w:sz w:val="30"/>
          <w:szCs w:val="24"/>
          <w:lang w:val="en-US" w:eastAsia="zh-CN" w:bidi="ar-SA"/>
        </w:rPr>
        <w:t>%，指标完成率10</w:t>
      </w:r>
      <w:r>
        <w:rPr>
          <w:rFonts w:hint="eastAsia" w:cs="Times New Roman"/>
          <w:b w:val="0"/>
          <w:bCs w:val="0"/>
          <w:kern w:val="2"/>
          <w:sz w:val="30"/>
          <w:szCs w:val="24"/>
          <w:lang w:val="en-US" w:eastAsia="zh-CN" w:bidi="ar-SA"/>
        </w:rPr>
        <w:t>3.42</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偏差原因：2023年未受新冠疫情影响，门诊人次、住院人次、医疗收入较2022年增幅较大。</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指标</w:t>
      </w:r>
      <w:r>
        <w:rPr>
          <w:rFonts w:hint="eastAsia" w:cs="Times New Roman"/>
          <w:b w:val="0"/>
          <w:bCs w:val="0"/>
          <w:kern w:val="2"/>
          <w:sz w:val="30"/>
          <w:szCs w:val="24"/>
          <w:lang w:val="en-US" w:eastAsia="zh-CN" w:bidi="ar-SA"/>
        </w:rPr>
        <w:t>2</w:t>
      </w:r>
      <w:r>
        <w:rPr>
          <w:rFonts w:hint="eastAsia" w:ascii="Times New Roman" w:hAnsi="Times New Roman" w:eastAsia="仿宋_GB2312" w:cs="Times New Roman"/>
          <w:b w:val="0"/>
          <w:bCs w:val="0"/>
          <w:kern w:val="2"/>
          <w:sz w:val="30"/>
          <w:szCs w:val="24"/>
          <w:lang w:val="en-US" w:eastAsia="zh-CN" w:bidi="ar-SA"/>
        </w:rPr>
        <w:t>：门诊收入，指标值：&gt;=4.9亿元，实际完成值4.9亿元，指标完成率100%。</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指标</w:t>
      </w:r>
      <w:r>
        <w:rPr>
          <w:rFonts w:hint="eastAsia" w:cs="Times New Roman"/>
          <w:b w:val="0"/>
          <w:bCs w:val="0"/>
          <w:kern w:val="2"/>
          <w:sz w:val="30"/>
          <w:szCs w:val="24"/>
          <w:lang w:val="en-US" w:eastAsia="zh-CN" w:bidi="ar-SA"/>
        </w:rPr>
        <w:t>3</w:t>
      </w:r>
      <w:r>
        <w:rPr>
          <w:rFonts w:hint="eastAsia" w:ascii="Times New Roman" w:hAnsi="Times New Roman" w:eastAsia="仿宋_GB2312" w:cs="Times New Roman"/>
          <w:b w:val="0"/>
          <w:bCs w:val="0"/>
          <w:kern w:val="2"/>
          <w:sz w:val="30"/>
          <w:szCs w:val="24"/>
          <w:lang w:val="en-US" w:eastAsia="zh-CN" w:bidi="ar-SA"/>
        </w:rPr>
        <w:t>：住院收入，指标值：&gt;=9.7亿元，实际完成值9.7</w:t>
      </w:r>
      <w:r>
        <w:rPr>
          <w:rFonts w:hint="eastAsia" w:cs="Times New Roman"/>
          <w:b w:val="0"/>
          <w:bCs w:val="0"/>
          <w:kern w:val="2"/>
          <w:sz w:val="30"/>
          <w:szCs w:val="24"/>
          <w:lang w:val="en-US" w:eastAsia="zh-CN" w:bidi="ar-SA"/>
        </w:rPr>
        <w:t>3</w:t>
      </w:r>
      <w:r>
        <w:rPr>
          <w:rFonts w:hint="eastAsia" w:ascii="Times New Roman" w:hAnsi="Times New Roman" w:eastAsia="仿宋_GB2312" w:cs="Times New Roman"/>
          <w:b w:val="0"/>
          <w:bCs w:val="0"/>
          <w:kern w:val="2"/>
          <w:sz w:val="30"/>
          <w:szCs w:val="24"/>
          <w:lang w:val="en-US" w:eastAsia="zh-CN" w:bidi="ar-SA"/>
        </w:rPr>
        <w:t>亿元，指标完成率100</w:t>
      </w:r>
      <w:r>
        <w:rPr>
          <w:rFonts w:hint="eastAsia" w:cs="Times New Roman"/>
          <w:b w:val="0"/>
          <w:bCs w:val="0"/>
          <w:kern w:val="2"/>
          <w:sz w:val="30"/>
          <w:szCs w:val="24"/>
          <w:lang w:val="en-US" w:eastAsia="zh-CN" w:bidi="ar-SA"/>
        </w:rPr>
        <w:t>.31</w:t>
      </w:r>
      <w:r>
        <w:rPr>
          <w:rFonts w:hint="eastAsia" w:ascii="Times New Roman" w:hAnsi="Times New Roman" w:eastAsia="仿宋_GB2312" w:cs="Times New Roman"/>
          <w:b w:val="0"/>
          <w:bCs w:val="0"/>
          <w:kern w:val="2"/>
          <w:sz w:val="30"/>
          <w:szCs w:val="24"/>
          <w:lang w:val="en-US" w:eastAsia="zh-CN" w:bidi="ar-SA"/>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5</w:t>
      </w:r>
      <w:r>
        <w:rPr>
          <w:rFonts w:hint="eastAsia"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5</w:t>
      </w:r>
      <w:r>
        <w:rPr>
          <w:rFonts w:hint="eastAsia" w:ascii="Times New Roman" w:hAnsi="Times New Roman" w:eastAsia="仿宋_GB2312" w:cs="Times New Roman"/>
          <w:b w:val="0"/>
          <w:bCs w:val="0"/>
          <w:kern w:val="2"/>
          <w:sz w:val="30"/>
          <w:szCs w:val="24"/>
          <w:lang w:val="en-US" w:eastAsia="zh-CN" w:bidi="ar-SA"/>
        </w:rPr>
        <w:t>分。</w:t>
      </w:r>
    </w:p>
    <w:p>
      <w:pPr>
        <w:pageBreakBefore w:val="0"/>
        <w:numPr>
          <w:ilvl w:val="0"/>
          <w:numId w:val="2"/>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指标1：门诊诊疗人次增长率，指标值：&gt;=28%，实际完成值28</w:t>
      </w:r>
      <w:r>
        <w:rPr>
          <w:rFonts w:hint="eastAsia" w:cs="Times New Roman"/>
          <w:b w:val="0"/>
          <w:bCs w:val="0"/>
          <w:kern w:val="2"/>
          <w:sz w:val="30"/>
          <w:szCs w:val="24"/>
          <w:lang w:val="en-US" w:eastAsia="zh-CN" w:bidi="ar-SA"/>
        </w:rPr>
        <w:t>.17</w:t>
      </w:r>
      <w:r>
        <w:rPr>
          <w:rFonts w:hint="eastAsia" w:ascii="Times New Roman" w:hAnsi="Times New Roman" w:eastAsia="仿宋_GB2312" w:cs="Times New Roman"/>
          <w:b w:val="0"/>
          <w:bCs w:val="0"/>
          <w:kern w:val="2"/>
          <w:sz w:val="30"/>
          <w:szCs w:val="24"/>
          <w:lang w:val="en-US" w:eastAsia="zh-CN" w:bidi="ar-SA"/>
        </w:rPr>
        <w:t>%，指标完成率10</w:t>
      </w:r>
      <w:r>
        <w:rPr>
          <w:rFonts w:hint="eastAsia" w:cs="Times New Roman"/>
          <w:b w:val="0"/>
          <w:bCs w:val="0"/>
          <w:kern w:val="2"/>
          <w:sz w:val="30"/>
          <w:szCs w:val="24"/>
          <w:lang w:val="en-US" w:eastAsia="zh-CN" w:bidi="ar-SA"/>
        </w:rPr>
        <w:t>0.61</w:t>
      </w:r>
      <w:r>
        <w:rPr>
          <w:rFonts w:hint="eastAsia" w:ascii="Times New Roman" w:hAnsi="Times New Roman" w:eastAsia="仿宋_GB2312" w:cs="Times New Roman"/>
          <w:b w:val="0"/>
          <w:bCs w:val="0"/>
          <w:kern w:val="2"/>
          <w:sz w:val="30"/>
          <w:szCs w:val="24"/>
          <w:lang w:val="en-US" w:eastAsia="zh-CN" w:bidi="ar-SA"/>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指标2：出院病人增长率，指标值：&gt;=52%，实际完成值52</w:t>
      </w:r>
      <w:r>
        <w:rPr>
          <w:rFonts w:hint="eastAsia" w:cs="Times New Roman"/>
          <w:b w:val="0"/>
          <w:bCs w:val="0"/>
          <w:kern w:val="2"/>
          <w:sz w:val="30"/>
          <w:szCs w:val="24"/>
          <w:lang w:val="en-US" w:eastAsia="zh-CN" w:bidi="ar-SA"/>
        </w:rPr>
        <w:t>.88</w:t>
      </w:r>
      <w:r>
        <w:rPr>
          <w:rFonts w:hint="eastAsia" w:ascii="Times New Roman" w:hAnsi="Times New Roman" w:eastAsia="仿宋_GB2312" w:cs="Times New Roman"/>
          <w:b w:val="0"/>
          <w:bCs w:val="0"/>
          <w:kern w:val="2"/>
          <w:sz w:val="30"/>
          <w:szCs w:val="24"/>
          <w:lang w:val="en-US" w:eastAsia="zh-CN" w:bidi="ar-SA"/>
        </w:rPr>
        <w:t>%，指标完成率10</w:t>
      </w:r>
      <w:r>
        <w:rPr>
          <w:rFonts w:hint="eastAsia" w:cs="Times New Roman"/>
          <w:b w:val="0"/>
          <w:bCs w:val="0"/>
          <w:kern w:val="2"/>
          <w:sz w:val="30"/>
          <w:szCs w:val="24"/>
          <w:lang w:val="en-US" w:eastAsia="zh-CN" w:bidi="ar-SA"/>
        </w:rPr>
        <w:t>1.69</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偏差原因：2023年未受新冠疫情影响，住院人次、医疗收入较2022年增幅较大。</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auto"/>
          <w:highlight w:val="none"/>
          <w:lang w:eastAsia="zh-CN"/>
        </w:rPr>
      </w:pPr>
      <w:r>
        <w:rPr>
          <w:rFonts w:hint="eastAsia"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5</w:t>
      </w:r>
      <w:r>
        <w:rPr>
          <w:rFonts w:hint="eastAsia"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5</w:t>
      </w:r>
      <w:r>
        <w:rPr>
          <w:rFonts w:hint="eastAsia" w:ascii="Times New Roman" w:hAnsi="Times New Roman" w:eastAsia="仿宋_GB2312" w:cs="Times New Roman"/>
          <w:b w:val="0"/>
          <w:bCs w:val="0"/>
          <w:kern w:val="2"/>
          <w:sz w:val="30"/>
          <w:szCs w:val="24"/>
          <w:lang w:val="en-US" w:eastAsia="zh-CN" w:bidi="ar-SA"/>
        </w:rPr>
        <w:t>分。</w:t>
      </w:r>
    </w:p>
    <w:p>
      <w:pPr>
        <w:pageBreakBefore w:val="0"/>
        <w:kinsoku/>
        <w:wordWrap/>
        <w:overflowPunct/>
        <w:topLinePunct w:val="0"/>
        <w:autoSpaceDE/>
        <w:autoSpaceDN/>
        <w:bidi w:val="0"/>
        <w:adjustRightInd/>
        <w:snapToGrid/>
        <w:spacing w:line="560" w:lineRule="exact"/>
        <w:ind w:firstLine="600"/>
        <w:textAlignment w:val="auto"/>
        <w:rPr>
          <w:rFonts w:hint="eastAsia"/>
          <w:color w:val="auto"/>
          <w:highlight w:val="none"/>
        </w:rPr>
      </w:pPr>
      <w:r>
        <w:rPr>
          <w:rFonts w:hint="eastAsia"/>
          <w:color w:val="auto"/>
          <w:highlight w:val="none"/>
          <w:lang w:val="en-US" w:eastAsia="zh-CN"/>
        </w:rPr>
        <w:t>4.</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指标1：患者满意度，指标值：&gt;=90%，实际完成值9</w:t>
      </w:r>
      <w:r>
        <w:rPr>
          <w:rFonts w:hint="eastAsia" w:cs="Times New Roman"/>
          <w:b w:val="0"/>
          <w:bCs w:val="0"/>
          <w:kern w:val="2"/>
          <w:sz w:val="30"/>
          <w:szCs w:val="24"/>
          <w:lang w:val="en-US" w:eastAsia="zh-CN" w:bidi="ar-SA"/>
        </w:rPr>
        <w:t>6.99</w:t>
      </w:r>
      <w:r>
        <w:rPr>
          <w:rFonts w:hint="eastAsia" w:ascii="Times New Roman" w:hAnsi="Times New Roman" w:eastAsia="仿宋_GB2312" w:cs="Times New Roman"/>
          <w:b w:val="0"/>
          <w:bCs w:val="0"/>
          <w:kern w:val="2"/>
          <w:sz w:val="30"/>
          <w:szCs w:val="24"/>
          <w:lang w:val="en-US" w:eastAsia="zh-CN" w:bidi="ar-SA"/>
        </w:rPr>
        <w:t>%，指标完成率10</w:t>
      </w:r>
      <w:r>
        <w:rPr>
          <w:rFonts w:hint="eastAsia" w:cs="Times New Roman"/>
          <w:b w:val="0"/>
          <w:bCs w:val="0"/>
          <w:kern w:val="2"/>
          <w:sz w:val="30"/>
          <w:szCs w:val="24"/>
          <w:lang w:val="en-US" w:eastAsia="zh-CN" w:bidi="ar-SA"/>
        </w:rPr>
        <w:t>7.77</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偏差原因：医院非常重视患者满意度，加强了服务意识。</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指标2：职工满意度，指标值：&gt;=90%，实际完成值9</w:t>
      </w:r>
      <w:r>
        <w:rPr>
          <w:rFonts w:hint="eastAsia" w:cs="Times New Roman"/>
          <w:b w:val="0"/>
          <w:bCs w:val="0"/>
          <w:kern w:val="2"/>
          <w:sz w:val="30"/>
          <w:szCs w:val="24"/>
          <w:lang w:val="en-US" w:eastAsia="zh-CN" w:bidi="ar-SA"/>
        </w:rPr>
        <w:t>2.83</w:t>
      </w:r>
      <w:r>
        <w:rPr>
          <w:rFonts w:hint="eastAsia" w:ascii="Times New Roman" w:hAnsi="Times New Roman" w:eastAsia="仿宋_GB2312" w:cs="Times New Roman"/>
          <w:b w:val="0"/>
          <w:bCs w:val="0"/>
          <w:kern w:val="2"/>
          <w:sz w:val="30"/>
          <w:szCs w:val="24"/>
          <w:lang w:val="en-US" w:eastAsia="zh-CN" w:bidi="ar-SA"/>
        </w:rPr>
        <w:t>%，指标完成率10</w:t>
      </w:r>
      <w:r>
        <w:rPr>
          <w:rFonts w:hint="eastAsia" w:cs="Times New Roman"/>
          <w:b w:val="0"/>
          <w:bCs w:val="0"/>
          <w:kern w:val="2"/>
          <w:sz w:val="30"/>
          <w:szCs w:val="24"/>
          <w:lang w:val="en-US" w:eastAsia="zh-CN" w:bidi="ar-SA"/>
        </w:rPr>
        <w:t>3.14</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偏差原因：医院注重员工的幸福感，经常组织心理疏导等活动。</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 w:hAnsi="仿宋" w:eastAsia="仿宋" w:cs="仿宋"/>
          <w:b w:val="0"/>
          <w:bCs w:val="0"/>
          <w:sz w:val="30"/>
          <w:szCs w:val="30"/>
          <w:highlight w:val="none"/>
          <w:lang w:val="en-US" w:eastAsia="zh-CN"/>
        </w:rPr>
      </w:pPr>
      <w:r>
        <w:rPr>
          <w:rFonts w:hint="eastAsia" w:ascii="仿宋" w:hAnsi="仿宋" w:eastAsia="仿宋" w:cs="仿宋"/>
          <w:b w:val="0"/>
          <w:bCs w:val="0"/>
          <w:sz w:val="30"/>
          <w:szCs w:val="30"/>
          <w:highlight w:val="none"/>
          <w:lang w:val="en-US" w:eastAsia="zh-CN"/>
        </w:rPr>
        <w:t>巴州人民医院自营收入项目年初预算166843.67万元，全年预算166843.67万元，实际支出166843.67万元，预算执行率为100%，项目绩效指标总体完成率为101.30%，总体偏差率为1.30%。偏差原因为正常运转率完成率较高，改进措施：正常运转无需改进。</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eastAsia="仿宋_GB2312"/>
          <w:b w:val="0"/>
          <w:bCs w:val="0"/>
          <w:sz w:val="30"/>
          <w:szCs w:val="30"/>
        </w:rPr>
      </w:pPr>
      <w:bookmarkStart w:id="18" w:name="_Toc68703844"/>
      <w:r>
        <w:rPr>
          <w:rFonts w:hint="eastAsia" w:ascii="仿宋_GB2312" w:eastAsia="仿宋_GB2312"/>
          <w:b w:val="0"/>
          <w:bCs w:val="0"/>
          <w:sz w:val="30"/>
          <w:szCs w:val="30"/>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eastAsia="仿宋_GB2312"/>
          <w:b w:val="0"/>
          <w:bCs w:val="0"/>
          <w:sz w:val="30"/>
          <w:szCs w:val="30"/>
        </w:rPr>
      </w:pPr>
      <w:r>
        <w:rPr>
          <w:rFonts w:hint="eastAsia" w:ascii="仿宋_GB2312" w:eastAsia="仿宋_GB2312"/>
          <w:b w:val="0"/>
          <w:bCs w:val="0"/>
          <w:sz w:val="30"/>
          <w:szCs w:val="30"/>
        </w:rPr>
        <w:t>严格坚持先做事、后验收、再拨付的原则，基本杜绝了资金被挤占和挪用现象的发生，跟踪检查到位。纪检、监察等职能部门全面参与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FF"/>
          <w:sz w:val="32"/>
          <w:szCs w:val="32"/>
        </w:rPr>
      </w:pPr>
      <w:bookmarkStart w:id="19" w:name="_Toc68703845"/>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9"/>
    </w:p>
    <w:p>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1.多进行有关绩效管理工作方面的培训。积极组织第三方开展绩效管理工作培训，进一步夯实业务基础，提高我单位绩效人员水平。</w:t>
      </w:r>
    </w:p>
    <w:p>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2.专门设定对绩效工作人员定职、定岗、定责等相关制度措施，进一步提升我单位绩效管理工作业务水平，扎实做好绩效管理工作。</w:t>
      </w:r>
    </w:p>
    <w:p>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3.进一步规范项目建设的程序。项目前期做好可行性研究报告，更加细化实施方案，严格执行资金管理办法和资金管理制度，严格按照项目实施方案、招投标管理办法等稳步推进工作。</w:t>
      </w:r>
    </w:p>
    <w:p>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color w:val="auto"/>
          <w:sz w:val="30"/>
          <w:szCs w:val="30"/>
        </w:rPr>
      </w:pPr>
      <w:r>
        <w:rPr>
          <w:rFonts w:hint="eastAsia" w:ascii="仿宋_GB2312" w:hAnsi="仿宋_GB2312" w:eastAsia="仿宋_GB2312" w:cs="仿宋_GB2312"/>
          <w:color w:val="auto"/>
          <w:sz w:val="30"/>
          <w:szCs w:val="30"/>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auto"/>
          <w:sz w:val="30"/>
          <w:szCs w:val="30"/>
        </w:rPr>
        <w:t>。</w:t>
      </w:r>
    </w:p>
    <w:p>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5.进一步加强对绩效管理工作的组织领导，提高对预算绩效管理工作重要性的认识，总结经验查找问题，抓紧研究制定更全面更完善的绩效评价管理办法。结合</w:t>
      </w:r>
      <w:r>
        <w:rPr>
          <w:rFonts w:hint="eastAsia" w:ascii="仿宋_GB2312" w:hAnsi="仿宋_GB2312" w:cs="仿宋_GB2312"/>
          <w:color w:val="auto"/>
          <w:sz w:val="30"/>
          <w:szCs w:val="30"/>
          <w:highlight w:val="none"/>
          <w:lang w:val="en-US" w:eastAsia="zh-CN"/>
        </w:rPr>
        <w:t>医院卫生</w:t>
      </w:r>
      <w:r>
        <w:rPr>
          <w:rFonts w:hint="eastAsia" w:ascii="仿宋_GB2312" w:hAnsi="仿宋_GB2312" w:eastAsia="仿宋_GB2312" w:cs="仿宋_GB2312"/>
          <w:color w:val="auto"/>
          <w:sz w:val="30"/>
          <w:szCs w:val="30"/>
          <w:highlight w:val="none"/>
          <w:lang w:val="en-US" w:eastAsia="zh-CN"/>
        </w:rPr>
        <w:t>安全考核建立绩效工作考核制度，加大全局对全面实施预算绩效管理和绩效管理工作的学习力度，让“花钱必问效，无效必问责”的理念深入工作每个环节。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本项目无其他需说明的问题。</w:t>
      </w:r>
    </w:p>
    <w:p>
      <w:pPr>
        <w:pStyle w:val="2"/>
        <w:jc w:val="both"/>
      </w:pPr>
    </w:p>
    <w:p/>
    <w:p>
      <w:pPr>
        <w:pStyle w:val="2"/>
      </w:pPr>
    </w:p>
    <w:p/>
    <w:p>
      <w:pPr>
        <w:pStyle w:val="2"/>
        <w:jc w:val="both"/>
        <w:rPr>
          <w:rFonts w:hint="eastAsia" w:ascii="仿宋" w:hAnsi="仿宋" w:eastAsia="仿宋" w:cs="仿宋"/>
          <w:sz w:val="30"/>
          <w:szCs w:val="30"/>
        </w:rPr>
      </w:pPr>
    </w:p>
    <w:tbl>
      <w:tblPr>
        <w:tblStyle w:val="10"/>
        <w:tblW w:w="887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fixed"/>
        <w:tblCellMar>
          <w:top w:w="6" w:type="dxa"/>
          <w:left w:w="17" w:type="dxa"/>
          <w:bottom w:w="6" w:type="dxa"/>
          <w:right w:w="17" w:type="dxa"/>
        </w:tblCellMar>
      </w:tblPr>
      <w:tblGrid>
        <w:gridCol w:w="292"/>
        <w:gridCol w:w="347"/>
        <w:gridCol w:w="485"/>
        <w:gridCol w:w="681"/>
        <w:gridCol w:w="711"/>
        <w:gridCol w:w="691"/>
        <w:gridCol w:w="733"/>
        <w:gridCol w:w="319"/>
        <w:gridCol w:w="574"/>
        <w:gridCol w:w="377"/>
        <w:gridCol w:w="711"/>
        <w:gridCol w:w="561"/>
        <w:gridCol w:w="486"/>
        <w:gridCol w:w="190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184" w:hRule="atLeast"/>
        </w:trPr>
        <w:tc>
          <w:tcPr>
            <w:tcW w:w="8874" w:type="dxa"/>
            <w:gridSpan w:val="14"/>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项目支出绩效自评表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311" w:hRule="atLeast"/>
        </w:trPr>
        <w:tc>
          <w:tcPr>
            <w:tcW w:w="8874" w:type="dxa"/>
            <w:gridSpan w:val="14"/>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(2023年度)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90" w:hRule="atLeast"/>
        </w:trPr>
        <w:tc>
          <w:tcPr>
            <w:tcW w:w="639"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项目名称</w:t>
            </w:r>
          </w:p>
        </w:tc>
        <w:tc>
          <w:tcPr>
            <w:tcW w:w="8235" w:type="dxa"/>
            <w:gridSpan w:val="1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2023年巴州人民医院自营收入项目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639"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主管部门</w:t>
            </w:r>
          </w:p>
        </w:tc>
        <w:tc>
          <w:tcPr>
            <w:tcW w:w="3301" w:type="dxa"/>
            <w:gridSpan w:val="5"/>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新疆巴州人民医院</w:t>
            </w:r>
          </w:p>
        </w:tc>
        <w:tc>
          <w:tcPr>
            <w:tcW w:w="893"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实施单位</w:t>
            </w:r>
          </w:p>
        </w:tc>
        <w:tc>
          <w:tcPr>
            <w:tcW w:w="4041" w:type="dxa"/>
            <w:gridSpan w:val="5"/>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新疆巴州人民医院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511" w:hRule="atLeast"/>
        </w:trPr>
        <w:tc>
          <w:tcPr>
            <w:tcW w:w="639" w:type="dxa"/>
            <w:gridSpan w:val="2"/>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项目资金</w:t>
            </w:r>
            <w:r>
              <w:rPr>
                <w:rFonts w:hint="eastAsia" w:ascii="宋体" w:hAnsi="宋体" w:eastAsia="宋体" w:cs="宋体"/>
                <w:i w:val="0"/>
                <w:color w:val="000000"/>
                <w:kern w:val="0"/>
                <w:sz w:val="15"/>
                <w:szCs w:val="15"/>
                <w:u w:val="none"/>
                <w:lang w:val="en-US" w:eastAsia="zh-CN" w:bidi="ar"/>
              </w:rPr>
              <w:br w:type="textWrapping"/>
            </w:r>
            <w:r>
              <w:rPr>
                <w:rFonts w:hint="eastAsia" w:ascii="宋体" w:hAnsi="宋体" w:eastAsia="宋体" w:cs="宋体"/>
                <w:i w:val="0"/>
                <w:color w:val="000000"/>
                <w:kern w:val="0"/>
                <w:sz w:val="15"/>
                <w:szCs w:val="15"/>
                <w:u w:val="none"/>
                <w:lang w:val="en-US" w:eastAsia="zh-CN" w:bidi="ar"/>
              </w:rPr>
              <w:t>（万元）</w:t>
            </w:r>
          </w:p>
        </w:tc>
        <w:tc>
          <w:tcPr>
            <w:tcW w:w="1166"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资金来源</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年初预算数</w:t>
            </w:r>
          </w:p>
        </w:tc>
        <w:tc>
          <w:tcPr>
            <w:tcW w:w="1424"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全年预算数</w:t>
            </w:r>
          </w:p>
        </w:tc>
        <w:tc>
          <w:tcPr>
            <w:tcW w:w="893"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全年执行数</w:t>
            </w:r>
          </w:p>
        </w:tc>
        <w:tc>
          <w:tcPr>
            <w:tcW w:w="1088"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分值权重</w:t>
            </w:r>
          </w:p>
        </w:tc>
        <w:tc>
          <w:tcPr>
            <w:tcW w:w="1047"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执行率</w:t>
            </w:r>
          </w:p>
        </w:tc>
        <w:tc>
          <w:tcPr>
            <w:tcW w:w="19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639" w:type="dxa"/>
            <w:gridSpan w:val="2"/>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1166"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年度资金总额</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166843.67</w:t>
            </w:r>
          </w:p>
        </w:tc>
        <w:tc>
          <w:tcPr>
            <w:tcW w:w="1424"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166843.67</w:t>
            </w:r>
          </w:p>
        </w:tc>
        <w:tc>
          <w:tcPr>
            <w:tcW w:w="893"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166843.67</w:t>
            </w:r>
          </w:p>
        </w:tc>
        <w:tc>
          <w:tcPr>
            <w:tcW w:w="1088"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w:t>
            </w:r>
          </w:p>
        </w:tc>
        <w:tc>
          <w:tcPr>
            <w:tcW w:w="1047"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100.00%</w:t>
            </w:r>
          </w:p>
        </w:tc>
        <w:tc>
          <w:tcPr>
            <w:tcW w:w="19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10.00分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639" w:type="dxa"/>
            <w:gridSpan w:val="2"/>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1166"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其中：当年财政拨款</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0</w:t>
            </w:r>
          </w:p>
        </w:tc>
        <w:tc>
          <w:tcPr>
            <w:tcW w:w="1424"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0</w:t>
            </w:r>
          </w:p>
        </w:tc>
        <w:tc>
          <w:tcPr>
            <w:tcW w:w="893"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0</w:t>
            </w:r>
          </w:p>
        </w:tc>
        <w:tc>
          <w:tcPr>
            <w:tcW w:w="1088"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1047"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19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639" w:type="dxa"/>
            <w:gridSpan w:val="2"/>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1166"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其他资金</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166843.67</w:t>
            </w:r>
          </w:p>
        </w:tc>
        <w:tc>
          <w:tcPr>
            <w:tcW w:w="1424"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166843.67</w:t>
            </w:r>
          </w:p>
        </w:tc>
        <w:tc>
          <w:tcPr>
            <w:tcW w:w="893"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166843.67</w:t>
            </w:r>
          </w:p>
        </w:tc>
        <w:tc>
          <w:tcPr>
            <w:tcW w:w="1088"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1047"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19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年度总体目标</w:t>
            </w:r>
          </w:p>
        </w:tc>
        <w:tc>
          <w:tcPr>
            <w:tcW w:w="4541" w:type="dxa"/>
            <w:gridSpan w:val="8"/>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总体目标</w:t>
            </w:r>
          </w:p>
        </w:tc>
        <w:tc>
          <w:tcPr>
            <w:tcW w:w="4041" w:type="dxa"/>
            <w:gridSpan w:val="5"/>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总体目标完成情况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541" w:type="dxa"/>
            <w:gridSpan w:val="8"/>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高质量推进公立医院党的建设，全面从严治党向纵深发展；创新发展理念，建立现代医院管理制度；适应医改发展新趋势，拓宽服务的内涵与外延，深化医疗服务体系建设；以学科为主线，凝练学科方向，优化专业结构，在专业细分上精耕细作，提升核心竞争力；贯彻落实“人才强院”战略，打造医院新优势；建立适应医疗行业特点的公立医院薪酬制度，健全激励约束机制；大力推进医学科研，培育新兴特色技术，增强医院创新实力；以信息化促进服务效能，建设互联网和智慧型医院；推进医院精细化管理，促进医疗质量与管理、优质服务、成本管理高质量发展。</w:t>
            </w:r>
          </w:p>
        </w:tc>
        <w:tc>
          <w:tcPr>
            <w:tcW w:w="4041" w:type="dxa"/>
            <w:gridSpan w:val="5"/>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2023年医院接待门诊患者130.49万人，接待住院患者8.34万人，医疗收入增幅51.71%，门诊收入4.90医院，住院收入9.73亿元，提升了医疗诊治能力；在职职工人数2449人，保障了医院人员配置；购置设备677台，在建工程项目6个，保障了医院正常运转。2023年医院高质量推进公立医院党的建设，全面从严治党向纵深发展；创新发展理念，建立现代医院管理制度；适应医改发展新趋势，拓宽服务的内涵与外延，深化医疗服务体系建设，基本完成年初目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81"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711"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91"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733"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19"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574"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77"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711"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561"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190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一级指标</w:t>
            </w: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二级指标</w:t>
            </w:r>
          </w:p>
        </w:tc>
        <w:tc>
          <w:tcPr>
            <w:tcW w:w="68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三级指标</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指标值</w:t>
            </w:r>
          </w:p>
        </w:tc>
        <w:tc>
          <w:tcPr>
            <w:tcW w:w="69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指标值设置依据</w:t>
            </w:r>
          </w:p>
        </w:tc>
        <w:tc>
          <w:tcPr>
            <w:tcW w:w="733"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上年完成值</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指标分值权重</w:t>
            </w:r>
          </w:p>
        </w:tc>
        <w:tc>
          <w:tcPr>
            <w:tcW w:w="574"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指标赋分规则</w:t>
            </w:r>
          </w:p>
        </w:tc>
        <w:tc>
          <w:tcPr>
            <w:tcW w:w="377"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佐证资料</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指标实际完成值</w:t>
            </w:r>
          </w:p>
        </w:tc>
        <w:tc>
          <w:tcPr>
            <w:tcW w:w="56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完成率</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指标得分</w:t>
            </w:r>
          </w:p>
        </w:tc>
        <w:tc>
          <w:tcPr>
            <w:tcW w:w="19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偏差原因分析及改进措施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年度绩效指标完成情况</w:t>
            </w:r>
          </w:p>
        </w:tc>
        <w:tc>
          <w:tcPr>
            <w:tcW w:w="347"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产出指标</w:t>
            </w: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数量指标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门诊患者人次</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&gt;=126万人</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历史标准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126.6万人</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工作资料</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=130.49万人</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103.56%</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19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2023年未受新冠疫情影响，门诊人次增加，医疗收入较2022年增幅较大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数量指标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出院患者人次</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&gt;=8.34万人</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计划标准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6.5万人</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工作资料</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=8.34万人</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190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数量指标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在职职工人数</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&gt;=2329人</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历史标准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2346人</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工作资料</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=2449人</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105.15%</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19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2023年未受新冠疫情影响，门诊人次、住院人次、医疗收入较2022年增幅较大，相应的人员增加，人员经费支出费用增加。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数量指标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购置设备数量</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&gt;=677台</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计划标准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680台</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工作资料</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=677台</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190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数量指标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在建工程数量</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&gt;=6个</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历史标准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2个</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工作资料</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=6个</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190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质量指标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平均住院日</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&lt;=8日</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历史标准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7.7日</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工作资料</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=7.89日</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190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1327"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质量指标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病床周转次数</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&gt;=58次</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计划标准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25.4次</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工作资料</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=59次</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101.72%</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19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2023年未受新冠疫情影响，门诊人次、住院人次、医疗收入较2022年增幅较大，病床周转次数增加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质量指标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设备验收合格率</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&gt;=95%</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历史标准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95%</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工作资料</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105.26%</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19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医院加强了对设备的管理，必须验收合格才能入库</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时效指标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基建项目完成及时率</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&gt;=83.33%</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计划标准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85%</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工作资料</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=83.33%</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190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时效指标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系统运行维护响应时间</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&lt;=10分钟</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历史标准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6分钟</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工作资料</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=10分钟</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190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成本指标</w:t>
            </w: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经济成本指标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人员成本</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&lt;=5.83亿元</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预算支出标准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4.19亿元</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原始凭证</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=5.83亿元</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c>
          <w:tcPr>
            <w:tcW w:w="190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经济成本指标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药品成本</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&lt;=3.1亿元</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预算支出标准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2.8亿元</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原始凭证</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=3.1亿元</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c>
          <w:tcPr>
            <w:tcW w:w="190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经济成本指标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卫生材料成本</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&lt;=3.08亿元</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预算支出标准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2.36</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原始凭证</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=3.08亿元</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c>
          <w:tcPr>
            <w:tcW w:w="190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经济成本指标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固定资产折旧费</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&lt;=5573.95万元</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预算支出标准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5200万元</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原始凭证</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=5573.95万元</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c>
          <w:tcPr>
            <w:tcW w:w="190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792"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经济成本指标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医疗风险金</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&lt;=190.84万元</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预算支出标准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115万元</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原始凭证</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=190.84万元</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c>
          <w:tcPr>
            <w:tcW w:w="190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经济成本指标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其他商品与服务支出</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&lt;=8515.77万元</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预算支出标准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1.03亿元</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原始凭证</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=8515.77万元</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c>
          <w:tcPr>
            <w:tcW w:w="190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经济成本指标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固定资产购置</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&lt;=11792万元</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预算支出标准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9946.22万元</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原始凭证</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=11791.45万元</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99.99%</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c>
          <w:tcPr>
            <w:tcW w:w="19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2023年未受新冠疫情影响，门诊人次、住院人次、医疗收入较2022年增幅较大，相应的人购置固定资产等费用增加。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经济成本指标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在建工程（含PPP项目）</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&lt;=2.08亿元</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预算支出标准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1.02亿元</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原始凭证</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=2.08亿元</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c>
          <w:tcPr>
            <w:tcW w:w="190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社会成本指标</w:t>
            </w:r>
          </w:p>
        </w:tc>
        <w:tc>
          <w:tcPr>
            <w:tcW w:w="681"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c>
          <w:tcPr>
            <w:tcW w:w="711"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c>
          <w:tcPr>
            <w:tcW w:w="691"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c>
          <w:tcPr>
            <w:tcW w:w="733"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c>
          <w:tcPr>
            <w:tcW w:w="319"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574"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c>
          <w:tcPr>
            <w:tcW w:w="377"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c>
          <w:tcPr>
            <w:tcW w:w="711"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48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190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生态环境成本指标</w:t>
            </w:r>
          </w:p>
        </w:tc>
        <w:tc>
          <w:tcPr>
            <w:tcW w:w="681"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c>
          <w:tcPr>
            <w:tcW w:w="711"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c>
          <w:tcPr>
            <w:tcW w:w="691"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c>
          <w:tcPr>
            <w:tcW w:w="733"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c>
          <w:tcPr>
            <w:tcW w:w="319"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574"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c>
          <w:tcPr>
            <w:tcW w:w="377"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c>
          <w:tcPr>
            <w:tcW w:w="711"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48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190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效益指标</w:t>
            </w: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经济效益指标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医疗收入增幅</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&gt;=50%</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计划标准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原始凭证</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=51.71%</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103.42%</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19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2023年未受新冠疫情影响，门诊人次、住院人次、医疗收入较2022年增幅较大。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经济效益指标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门诊收入</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&gt;=4.9亿元</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计划标准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4.6亿元</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原始凭证</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=4.9亿元</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190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经济效益指标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住院收入</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&gt;=9.7亿元</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计划标准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7.2亿元</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原始凭证</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=9.73亿元</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100.31%</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190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社会效益指标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门诊诊疗人次增长率</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&gt;=28%</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计划标准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工作资料</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=28.17%</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100.61%</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190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社会效益指标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出院病人增长率</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&gt;=52%</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计划标准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8%</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按照完成比例赋分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工作资料</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=52.88%</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101.69%</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4</w:t>
            </w:r>
          </w:p>
        </w:tc>
        <w:tc>
          <w:tcPr>
            <w:tcW w:w="19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2023年未受新冠疫情影响，住院人次、医疗收入较2022年增幅较大。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生态效益指标</w:t>
            </w:r>
          </w:p>
        </w:tc>
        <w:tc>
          <w:tcPr>
            <w:tcW w:w="681"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c>
          <w:tcPr>
            <w:tcW w:w="711"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c>
          <w:tcPr>
            <w:tcW w:w="691"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c>
          <w:tcPr>
            <w:tcW w:w="733"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c>
          <w:tcPr>
            <w:tcW w:w="319"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574"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c>
          <w:tcPr>
            <w:tcW w:w="377"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c>
          <w:tcPr>
            <w:tcW w:w="711"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w:t>
            </w:r>
          </w:p>
        </w:tc>
        <w:tc>
          <w:tcPr>
            <w:tcW w:w="48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1906"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满意度指标</w:t>
            </w: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满意度指标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患者满意度</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&gt;=90%</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历史标准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95%</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满意度赋分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工作资料</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=96.99%</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107.77%</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w:t>
            </w:r>
          </w:p>
        </w:tc>
        <w:tc>
          <w:tcPr>
            <w:tcW w:w="19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医院非常重视患者满意度，加强了服务意识。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6" w:type="dxa"/>
            <w:left w:w="17" w:type="dxa"/>
            <w:bottom w:w="6" w:type="dxa"/>
            <w:right w:w="17" w:type="dxa"/>
          </w:tblCellMar>
        </w:tblPrEx>
        <w:trPr>
          <w:trHeight w:val="23" w:hRule="atLeast"/>
        </w:trPr>
        <w:tc>
          <w:tcPr>
            <w:tcW w:w="29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47"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485"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满意度指标</w:t>
            </w:r>
          </w:p>
        </w:tc>
        <w:tc>
          <w:tcPr>
            <w:tcW w:w="68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职工满意度</w:t>
            </w:r>
          </w:p>
        </w:tc>
        <w:tc>
          <w:tcPr>
            <w:tcW w:w="71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&gt;=90%</w:t>
            </w:r>
          </w:p>
        </w:tc>
        <w:tc>
          <w:tcPr>
            <w:tcW w:w="69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计划标准</w:t>
            </w:r>
          </w:p>
        </w:tc>
        <w:tc>
          <w:tcPr>
            <w:tcW w:w="73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95%</w:t>
            </w:r>
          </w:p>
        </w:tc>
        <w:tc>
          <w:tcPr>
            <w:tcW w:w="319"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w:t>
            </w:r>
          </w:p>
        </w:tc>
        <w:tc>
          <w:tcPr>
            <w:tcW w:w="574"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满意度赋分</w:t>
            </w:r>
          </w:p>
        </w:tc>
        <w:tc>
          <w:tcPr>
            <w:tcW w:w="377"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工作资料</w:t>
            </w:r>
          </w:p>
        </w:tc>
        <w:tc>
          <w:tcPr>
            <w:tcW w:w="711"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=92.83%</w:t>
            </w:r>
          </w:p>
        </w:tc>
        <w:tc>
          <w:tcPr>
            <w:tcW w:w="561"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103.14%</w:t>
            </w: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w:t>
            </w:r>
          </w:p>
        </w:tc>
        <w:tc>
          <w:tcPr>
            <w:tcW w:w="190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医院注重员工的幸福感，经常组织心理疏导等活动。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6" w:type="dxa"/>
            <w:left w:w="17" w:type="dxa"/>
            <w:bottom w:w="6" w:type="dxa"/>
            <w:right w:w="17" w:type="dxa"/>
          </w:tblCellMar>
        </w:tblPrEx>
        <w:trPr>
          <w:trHeight w:val="23" w:hRule="atLeast"/>
        </w:trPr>
        <w:tc>
          <w:tcPr>
            <w:tcW w:w="1805" w:type="dxa"/>
            <w:gridSpan w:val="4"/>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总分</w:t>
            </w:r>
          </w:p>
        </w:tc>
        <w:tc>
          <w:tcPr>
            <w:tcW w:w="711"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91" w:type="dxa"/>
            <w:tcBorders>
              <w:tl2br w:val="nil"/>
              <w:tr2bl w:val="nil"/>
            </w:tcBorders>
            <w:shd w:val="clear" w:color="auto" w:fill="auto"/>
            <w:vAlign w:val="center"/>
          </w:tcPr>
          <w:p>
            <w:pPr>
              <w:rPr>
                <w:rFonts w:hint="eastAsia" w:ascii="宋体" w:hAnsi="宋体" w:eastAsia="宋体" w:cs="宋体"/>
                <w:b/>
                <w:i w:val="0"/>
                <w:color w:val="000000"/>
                <w:sz w:val="15"/>
                <w:szCs w:val="15"/>
                <w:u w:val="none"/>
              </w:rPr>
            </w:pPr>
          </w:p>
        </w:tc>
        <w:tc>
          <w:tcPr>
            <w:tcW w:w="733"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19"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574" w:type="dxa"/>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377"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c>
          <w:tcPr>
            <w:tcW w:w="711"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c>
          <w:tcPr>
            <w:tcW w:w="561"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c>
          <w:tcPr>
            <w:tcW w:w="48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100.00分</w:t>
            </w:r>
          </w:p>
        </w:tc>
        <w:tc>
          <w:tcPr>
            <w:tcW w:w="1906"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r>
    </w:tbl>
    <w:p>
      <w:pPr>
        <w:pStyle w:val="2"/>
        <w:jc w:val="both"/>
        <w:rPr>
          <w:rFonts w:hint="eastAsia" w:ascii="宋体" w:hAnsi="宋体" w:eastAsia="宋体" w:cs="宋体"/>
          <w:sz w:val="16"/>
          <w:szCs w:val="16"/>
        </w:rPr>
      </w:pPr>
    </w:p>
    <w:p/>
    <w:p>
      <w:pPr>
        <w:pStyle w:val="2"/>
      </w:pPr>
    </w:p>
    <w:p/>
    <w:p>
      <w:pPr>
        <w:pStyle w:val="2"/>
      </w:pPr>
    </w:p>
    <w:p/>
    <w:p>
      <w:pPr>
        <w:pStyle w:val="2"/>
        <w:jc w:val="both"/>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p>
    <w:tbl>
      <w:tblPr>
        <w:tblStyle w:val="10"/>
        <w:tblW w:w="132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
      <w:tblGrid>
        <w:gridCol w:w="652"/>
        <w:gridCol w:w="1006"/>
        <w:gridCol w:w="1196"/>
        <w:gridCol w:w="2991"/>
        <w:gridCol w:w="6089"/>
        <w:gridCol w:w="653"/>
        <w:gridCol w:w="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65" w:hRule="atLeast"/>
        </w:trPr>
        <w:tc>
          <w:tcPr>
            <w:tcW w:w="11934" w:type="dxa"/>
            <w:gridSpan w:val="5"/>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项目支出绩效评价指标体系框架</w:t>
            </w:r>
          </w:p>
        </w:tc>
        <w:tc>
          <w:tcPr>
            <w:tcW w:w="653"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c>
          <w:tcPr>
            <w:tcW w:w="652" w:type="dxa"/>
            <w:tcBorders>
              <w:tl2br w:val="nil"/>
              <w:tr2bl w:val="nil"/>
            </w:tcBorders>
            <w:shd w:val="clear" w:color="auto" w:fill="auto"/>
            <w:vAlign w:val="center"/>
          </w:tcPr>
          <w:p>
            <w:pP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705" w:hRule="atLeast"/>
        </w:trPr>
        <w:tc>
          <w:tcPr>
            <w:tcW w:w="652" w:type="dxa"/>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一级指标</w:t>
            </w:r>
          </w:p>
        </w:tc>
        <w:tc>
          <w:tcPr>
            <w:tcW w:w="1006" w:type="dxa"/>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二级指标</w:t>
            </w:r>
          </w:p>
        </w:tc>
        <w:tc>
          <w:tcPr>
            <w:tcW w:w="1196" w:type="dxa"/>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三级指标</w:t>
            </w:r>
          </w:p>
        </w:tc>
        <w:tc>
          <w:tcPr>
            <w:tcW w:w="2991" w:type="dxa"/>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指标解释</w:t>
            </w:r>
          </w:p>
        </w:tc>
        <w:tc>
          <w:tcPr>
            <w:tcW w:w="6089" w:type="dxa"/>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i w:val="0"/>
                <w:color w:val="000000"/>
                <w:sz w:val="15"/>
                <w:szCs w:val="15"/>
                <w:u w:val="none"/>
              </w:rPr>
            </w:pPr>
            <w:r>
              <w:rPr>
                <w:rFonts w:hint="eastAsia" w:ascii="宋体" w:hAnsi="宋体" w:eastAsia="宋体" w:cs="宋体"/>
                <w:b/>
                <w:i w:val="0"/>
                <w:color w:val="000000"/>
                <w:kern w:val="0"/>
                <w:sz w:val="15"/>
                <w:szCs w:val="15"/>
                <w:u w:val="none"/>
                <w:lang w:val="en-US" w:eastAsia="zh-CN" w:bidi="ar"/>
              </w:rPr>
              <w:t>指标说明</w:t>
            </w:r>
          </w:p>
        </w:tc>
        <w:tc>
          <w:tcPr>
            <w:tcW w:w="653"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权重分</w:t>
            </w:r>
          </w:p>
        </w:tc>
        <w:tc>
          <w:tcPr>
            <w:tcW w:w="652" w:type="dxa"/>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决策　</w:t>
            </w:r>
          </w:p>
        </w:tc>
        <w:tc>
          <w:tcPr>
            <w:tcW w:w="100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项目立项　</w:t>
            </w:r>
          </w:p>
        </w:tc>
        <w:tc>
          <w:tcPr>
            <w:tcW w:w="119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立项依据充分性</w:t>
            </w:r>
          </w:p>
        </w:tc>
        <w:tc>
          <w:tcPr>
            <w:tcW w:w="2991" w:type="dxa"/>
            <w:vMerge w:val="restart"/>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项目立项是否符合法律法规、相关政策、发展规划以及部门职责，用以反映和考核项目立项依据情况。</w:t>
            </w:r>
          </w:p>
        </w:tc>
        <w:tc>
          <w:tcPr>
            <w:tcW w:w="6089" w:type="dxa"/>
            <w:tcBorders>
              <w:tl2br w:val="nil"/>
              <w:tr2bl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评价要点：</w:t>
            </w:r>
          </w:p>
        </w:tc>
        <w:tc>
          <w:tcPr>
            <w:tcW w:w="653"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c>
          <w:tcPr>
            <w:tcW w:w="652"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①项目立项是否符合国家法律法规、国民经济发展规划和相关政策；</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②项目立项是否符合行业发展规划和政策要求；</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③项目立项是否与部门职责范围相符，属于部门履职所需；</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④项目是否属于公共财政支持范围，是否符合中央、地方事权支出责任划分原则；</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⑤项目是否与相关部门同类项目或部门内部相关项目重复。</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立项程序规范性</w:t>
            </w:r>
          </w:p>
        </w:tc>
        <w:tc>
          <w:tcPr>
            <w:tcW w:w="2991" w:type="dxa"/>
            <w:vMerge w:val="restart"/>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项目申请、设立过程是否符合相关要求，用以反映和考核项目立项的规范情况。</w:t>
            </w:r>
          </w:p>
        </w:tc>
        <w:tc>
          <w:tcPr>
            <w:tcW w:w="6089" w:type="dxa"/>
            <w:tcBorders>
              <w:tl2br w:val="nil"/>
              <w:tr2bl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评价要点：</w:t>
            </w:r>
          </w:p>
        </w:tc>
        <w:tc>
          <w:tcPr>
            <w:tcW w:w="653"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c>
          <w:tcPr>
            <w:tcW w:w="652"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①项目是否按照规定的程序申请设立；</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②审批文件、材料是否符合相关要求；</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③事前是否已经过必要的可行性研究、专家论证、风险评估、绩效评估、集体决策。</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绩效目标　</w:t>
            </w:r>
          </w:p>
        </w:tc>
        <w:tc>
          <w:tcPr>
            <w:tcW w:w="119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绩效目标合理性</w:t>
            </w:r>
          </w:p>
        </w:tc>
        <w:tc>
          <w:tcPr>
            <w:tcW w:w="2991" w:type="dxa"/>
            <w:vMerge w:val="restart"/>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项目所设定的绩效目标是否依据充分，是否符合客观实际，用以反映和考核项目绩效目标与项目实施的相符情况。</w:t>
            </w:r>
          </w:p>
        </w:tc>
        <w:tc>
          <w:tcPr>
            <w:tcW w:w="6089" w:type="dxa"/>
            <w:tcBorders>
              <w:tl2br w:val="nil"/>
              <w:tr2bl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评价要点：</w:t>
            </w:r>
          </w:p>
        </w:tc>
        <w:tc>
          <w:tcPr>
            <w:tcW w:w="653"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w:t>
            </w:r>
          </w:p>
        </w:tc>
        <w:tc>
          <w:tcPr>
            <w:tcW w:w="652"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（如未设定预算绩效目标，也可考核其他工作任务目标）</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①项目是否有绩效目标；</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②项目绩效目标与实际工作内容是否具有相关性；</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③项目预期产出效益和效果是否符合正常的业绩水平；</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④是否与预算确定的项目投资额或资金量相匹配。</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绩效目标</w:t>
            </w:r>
          </w:p>
        </w:tc>
        <w:tc>
          <w:tcPr>
            <w:tcW w:w="119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绩效指标明确性</w:t>
            </w:r>
          </w:p>
        </w:tc>
        <w:tc>
          <w:tcPr>
            <w:tcW w:w="2991" w:type="dxa"/>
            <w:vMerge w:val="restart"/>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依据绩效目标设定的绩效指标是否清晰、细化、可衡量等，用以反映和考核项目绩效目标的明细化情况。</w:t>
            </w: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评价要点：</w:t>
            </w:r>
          </w:p>
        </w:tc>
        <w:tc>
          <w:tcPr>
            <w:tcW w:w="653"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w:t>
            </w:r>
          </w:p>
        </w:tc>
        <w:tc>
          <w:tcPr>
            <w:tcW w:w="652"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①是否将项目绩效目标细化分解为具体的绩效指标；</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②是否通过清晰、可衡量的指标值予以体现；</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③是否与项目目标任务数或计划数相对应。</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资金投入</w:t>
            </w:r>
          </w:p>
        </w:tc>
        <w:tc>
          <w:tcPr>
            <w:tcW w:w="119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预算编制科学性</w:t>
            </w:r>
          </w:p>
        </w:tc>
        <w:tc>
          <w:tcPr>
            <w:tcW w:w="2991" w:type="dxa"/>
            <w:vMerge w:val="restart"/>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项目预算编制是否经过科学论证、有明确标准，资金额度与年度目标是否相适应，用以反映和考核项目预算编制的科学性、合理性情况。</w:t>
            </w: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评价要点：</w:t>
            </w:r>
          </w:p>
        </w:tc>
        <w:tc>
          <w:tcPr>
            <w:tcW w:w="653"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c>
          <w:tcPr>
            <w:tcW w:w="652"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①预算编制是否经过科学论证；</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②预算内容与项目内容是否匹配；</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③预算额度测算依据是否充分，是否按照标准编制；</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④预算确定的项目投资额或资金量是否与工作任务相匹配。</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资金分配合理性</w:t>
            </w:r>
          </w:p>
        </w:tc>
        <w:tc>
          <w:tcPr>
            <w:tcW w:w="2991" w:type="dxa"/>
            <w:vMerge w:val="restart"/>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项目预算资金分配是否有测算依据，与补助单位或地方实际是否相适应，用以反映和考核项目预算资金分配的科学性、合理性情况。</w:t>
            </w: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评价要点：</w:t>
            </w:r>
          </w:p>
        </w:tc>
        <w:tc>
          <w:tcPr>
            <w:tcW w:w="653"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c>
          <w:tcPr>
            <w:tcW w:w="652"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①预算资金分配依据是否充分；</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②资金分配额度是否合理，与项目单位或地方实际是否相适应。</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过程</w:t>
            </w:r>
          </w:p>
        </w:tc>
        <w:tc>
          <w:tcPr>
            <w:tcW w:w="100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资金管理</w:t>
            </w:r>
          </w:p>
        </w:tc>
        <w:tc>
          <w:tcPr>
            <w:tcW w:w="119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资金到位率</w:t>
            </w:r>
          </w:p>
        </w:tc>
        <w:tc>
          <w:tcPr>
            <w:tcW w:w="2991" w:type="dxa"/>
            <w:vMerge w:val="restart"/>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实际到位资金与预算资金的比率，用以反映和考核资金落实情况对项目实施的总体保障程度。</w:t>
            </w: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资金到位率=（实际到位资金/预算资金）×100%。</w:t>
            </w:r>
          </w:p>
        </w:tc>
        <w:tc>
          <w:tcPr>
            <w:tcW w:w="653"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c>
          <w:tcPr>
            <w:tcW w:w="652"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实际到位资金：一定时期（本年度或项目期）内落实到具体项目的资金。</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预算资金：一定时期（本年度或项目期）内预算安排到具体项目的资金。</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预算执行率</w:t>
            </w:r>
          </w:p>
        </w:tc>
        <w:tc>
          <w:tcPr>
            <w:tcW w:w="2991" w:type="dxa"/>
            <w:vMerge w:val="restart"/>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项目预算资金是否按照计划执行，用以反映或考核项目预算执行情况。</w:t>
            </w: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预算执行率=（实际支出资金/实际到位资金）×100%。</w:t>
            </w:r>
          </w:p>
        </w:tc>
        <w:tc>
          <w:tcPr>
            <w:tcW w:w="653"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c>
          <w:tcPr>
            <w:tcW w:w="652"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实际支出资金：一定时期（本年度或项目期）内项目实际拨付的资金。</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资金管理</w:t>
            </w:r>
          </w:p>
        </w:tc>
        <w:tc>
          <w:tcPr>
            <w:tcW w:w="119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资金使用合规性</w:t>
            </w:r>
          </w:p>
        </w:tc>
        <w:tc>
          <w:tcPr>
            <w:tcW w:w="2991" w:type="dxa"/>
            <w:vMerge w:val="restart"/>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项目资金使用是否符合相关的财务管理制度规定，用以反映和考核项目资金的规范运行情况。</w:t>
            </w: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评价要点：</w:t>
            </w:r>
          </w:p>
        </w:tc>
        <w:tc>
          <w:tcPr>
            <w:tcW w:w="653"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w:t>
            </w:r>
          </w:p>
        </w:tc>
        <w:tc>
          <w:tcPr>
            <w:tcW w:w="652"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①是否符合国家财经法规和财务管理制度以及有关专项资金管理办法的规定；</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②资金的拨付是否有完整的审批程序和手续；</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③是否符合项目预算批复或合同规定的用途；</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④是否存在截留、挤占、挪用、虚列支出等情况。</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组织实施</w:t>
            </w:r>
          </w:p>
        </w:tc>
        <w:tc>
          <w:tcPr>
            <w:tcW w:w="119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管理制度健全性</w:t>
            </w:r>
          </w:p>
        </w:tc>
        <w:tc>
          <w:tcPr>
            <w:tcW w:w="2991" w:type="dxa"/>
            <w:vMerge w:val="restart"/>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项目实施单位的财务和业务管理制度是否健全，用以反映和考核财务和业务管理制度对项目顺利实施的保障情况。</w:t>
            </w: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评价要点：</w:t>
            </w:r>
          </w:p>
        </w:tc>
        <w:tc>
          <w:tcPr>
            <w:tcW w:w="653"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w:t>
            </w:r>
          </w:p>
        </w:tc>
        <w:tc>
          <w:tcPr>
            <w:tcW w:w="652"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①是否已制定或具有相应的财务和业务管理制度；</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②财务和业务管理制度是否合法、合规、完整。</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制度执行有效性</w:t>
            </w:r>
          </w:p>
        </w:tc>
        <w:tc>
          <w:tcPr>
            <w:tcW w:w="2991" w:type="dxa"/>
            <w:vMerge w:val="restart"/>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项目实施是否符合相关管理规定，用以反映和考核相关管理制度的有效执行情况。</w:t>
            </w: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评价要点：</w:t>
            </w:r>
          </w:p>
        </w:tc>
        <w:tc>
          <w:tcPr>
            <w:tcW w:w="653"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w:t>
            </w:r>
          </w:p>
        </w:tc>
        <w:tc>
          <w:tcPr>
            <w:tcW w:w="652"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①是否遵守相关法律法规和相关管理规定；</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②项目调整及支出调整手续是否完备；</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③项目合同书、验收报告、技术鉴定等资料是否齐全并及时归档；</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④项目实施的人员条件、场地设备、信息支撑等是否落实到位。</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产出</w:t>
            </w:r>
          </w:p>
        </w:tc>
        <w:tc>
          <w:tcPr>
            <w:tcW w:w="100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产出数量</w:t>
            </w:r>
          </w:p>
        </w:tc>
        <w:tc>
          <w:tcPr>
            <w:tcW w:w="119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实际完成率</w:t>
            </w:r>
          </w:p>
        </w:tc>
        <w:tc>
          <w:tcPr>
            <w:tcW w:w="2991" w:type="dxa"/>
            <w:vMerge w:val="restart"/>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项目实施的实际产出数与计划产出数的比率，用以反映和考核项目产出数量目标的实现程度。</w:t>
            </w: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实际完成率=（实际产出数/计划产出数）×100%。</w:t>
            </w:r>
          </w:p>
        </w:tc>
        <w:tc>
          <w:tcPr>
            <w:tcW w:w="653"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w:t>
            </w:r>
          </w:p>
        </w:tc>
        <w:tc>
          <w:tcPr>
            <w:tcW w:w="652"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实际产出数：一定时期（本年度或项目期）内项目实际产出的产品或提供的服务数量。</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55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计划产出数：项目绩效目标确定的在一定时期（本年度或项目期）内计划产出的产品或提供的服务数量。</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产出质量</w:t>
            </w:r>
          </w:p>
        </w:tc>
        <w:tc>
          <w:tcPr>
            <w:tcW w:w="119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质量达标率</w:t>
            </w:r>
          </w:p>
        </w:tc>
        <w:tc>
          <w:tcPr>
            <w:tcW w:w="2991" w:type="dxa"/>
            <w:vMerge w:val="restart"/>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项目完成的质量达标产出数与实际产出数的比率，用以反映和考核项目产出质量目标的实现程度。</w:t>
            </w: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质量达标率=（质量达标产出数/实际产出数）×100%。</w:t>
            </w:r>
          </w:p>
        </w:tc>
        <w:tc>
          <w:tcPr>
            <w:tcW w:w="653"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w:t>
            </w:r>
          </w:p>
        </w:tc>
        <w:tc>
          <w:tcPr>
            <w:tcW w:w="652"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82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产出时效</w:t>
            </w:r>
          </w:p>
        </w:tc>
        <w:tc>
          <w:tcPr>
            <w:tcW w:w="119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完成及时性</w:t>
            </w:r>
          </w:p>
        </w:tc>
        <w:tc>
          <w:tcPr>
            <w:tcW w:w="2991" w:type="dxa"/>
            <w:vMerge w:val="restart"/>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项目实际完成时间与计划完成时间的比较，用以反映和考核项目产出时效目标的实现程度。</w:t>
            </w: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实际完成时间：项目实施单位完成该项目实际所耗用的时间。</w:t>
            </w:r>
          </w:p>
        </w:tc>
        <w:tc>
          <w:tcPr>
            <w:tcW w:w="653"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w:t>
            </w:r>
          </w:p>
        </w:tc>
        <w:tc>
          <w:tcPr>
            <w:tcW w:w="652"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计划完成时间：按照项目实施计划或相关规定完成该项目所需的时间。</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产出成本</w:t>
            </w:r>
          </w:p>
        </w:tc>
        <w:tc>
          <w:tcPr>
            <w:tcW w:w="119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成本节约率</w:t>
            </w:r>
          </w:p>
        </w:tc>
        <w:tc>
          <w:tcPr>
            <w:tcW w:w="2991" w:type="dxa"/>
            <w:vMerge w:val="restart"/>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完成项目计划工作目标的实际节约成本与计划成本的比率，用以反映和考核项目的成本节约程度。</w:t>
            </w: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成本节约率=[（计划成本-实际成本）/计划成本]×100%。</w:t>
            </w:r>
          </w:p>
        </w:tc>
        <w:tc>
          <w:tcPr>
            <w:tcW w:w="653"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w:t>
            </w:r>
          </w:p>
        </w:tc>
        <w:tc>
          <w:tcPr>
            <w:tcW w:w="652" w:type="dxa"/>
            <w:vMerge w:val="restar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实际成本：项目实施单位如期、保质、保量完成既定工作目标实际所耗费的支出。</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2991" w:type="dxa"/>
            <w:vMerge w:val="continue"/>
            <w:tcBorders>
              <w:tl2br w:val="nil"/>
              <w:tr2bl w:val="nil"/>
            </w:tcBorders>
            <w:shd w:val="clear" w:color="auto" w:fill="FFFFFF"/>
            <w:vAlign w:val="center"/>
          </w:tcPr>
          <w:p>
            <w:pPr>
              <w:jc w:val="both"/>
              <w:rPr>
                <w:rFonts w:hint="eastAsia" w:ascii="宋体" w:hAnsi="宋体" w:eastAsia="宋体" w:cs="宋体"/>
                <w:i w:val="0"/>
                <w:color w:val="000000"/>
                <w:sz w:val="15"/>
                <w:szCs w:val="15"/>
                <w:u w:val="none"/>
              </w:rPr>
            </w:pP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计划成本：项目实施单位为完成工作目标计划安排的支出，一般以项目预算为参考。</w:t>
            </w:r>
          </w:p>
        </w:tc>
        <w:tc>
          <w:tcPr>
            <w:tcW w:w="653"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c>
          <w:tcPr>
            <w:tcW w:w="652" w:type="dxa"/>
            <w:vMerge w:val="continue"/>
            <w:tcBorders>
              <w:tl2br w:val="nil"/>
              <w:tr2bl w:val="nil"/>
            </w:tcBorders>
            <w:shd w:val="clear" w:color="auto" w:fill="auto"/>
            <w:vAlign w:val="center"/>
          </w:tcPr>
          <w:p>
            <w:pPr>
              <w:jc w:val="center"/>
              <w:rPr>
                <w:rFonts w:hint="eastAsia" w:ascii="宋体" w:hAnsi="宋体" w:eastAsia="宋体" w:cs="宋体"/>
                <w:i w:val="0"/>
                <w:color w:val="000000"/>
                <w:sz w:val="15"/>
                <w:szCs w:val="15"/>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55" w:hRule="atLeast"/>
        </w:trPr>
        <w:tc>
          <w:tcPr>
            <w:tcW w:w="652"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效益　</w:t>
            </w:r>
          </w:p>
        </w:tc>
        <w:tc>
          <w:tcPr>
            <w:tcW w:w="1006" w:type="dxa"/>
            <w:vMerge w:val="restart"/>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项目效益　</w:t>
            </w:r>
          </w:p>
        </w:tc>
        <w:tc>
          <w:tcPr>
            <w:tcW w:w="1196" w:type="dxa"/>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实施效益</w:t>
            </w:r>
          </w:p>
        </w:tc>
        <w:tc>
          <w:tcPr>
            <w:tcW w:w="2991" w:type="dxa"/>
            <w:tcBorders>
              <w:tl2br w:val="nil"/>
              <w:tr2bl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项目实施所产生的效益。</w:t>
            </w: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项目实施所产生的社会效益、经济效益、生态效益、可持续影响等。可根据项目实际情况有选择地设置和细化。</w:t>
            </w:r>
          </w:p>
        </w:tc>
        <w:tc>
          <w:tcPr>
            <w:tcW w:w="653"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w:t>
            </w:r>
          </w:p>
        </w:tc>
        <w:tc>
          <w:tcPr>
            <w:tcW w:w="65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55" w:hRule="atLeast"/>
        </w:trPr>
        <w:tc>
          <w:tcPr>
            <w:tcW w:w="652"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006" w:type="dxa"/>
            <w:vMerge w:val="continue"/>
            <w:tcBorders>
              <w:tl2br w:val="nil"/>
              <w:tr2bl w:val="nil"/>
            </w:tcBorders>
            <w:shd w:val="clear" w:color="auto" w:fill="FFFFFF"/>
            <w:vAlign w:val="center"/>
          </w:tcPr>
          <w:p>
            <w:pPr>
              <w:jc w:val="center"/>
              <w:rPr>
                <w:rFonts w:hint="eastAsia" w:ascii="宋体" w:hAnsi="宋体" w:eastAsia="宋体" w:cs="宋体"/>
                <w:i w:val="0"/>
                <w:color w:val="000000"/>
                <w:sz w:val="15"/>
                <w:szCs w:val="15"/>
                <w:u w:val="none"/>
              </w:rPr>
            </w:pPr>
          </w:p>
        </w:tc>
        <w:tc>
          <w:tcPr>
            <w:tcW w:w="1196" w:type="dxa"/>
            <w:tcBorders>
              <w:tl2br w:val="nil"/>
              <w:tr2bl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满意度</w:t>
            </w:r>
          </w:p>
        </w:tc>
        <w:tc>
          <w:tcPr>
            <w:tcW w:w="2991"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社会公众或服务对象对项目实施效果的满意程度。</w:t>
            </w:r>
          </w:p>
        </w:tc>
        <w:tc>
          <w:tcPr>
            <w:tcW w:w="6089" w:type="dxa"/>
            <w:tcBorders>
              <w:tl2br w:val="nil"/>
              <w:tr2bl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社会公众或服务对象是指因该项目实施而受到影响的部门（单位）、群体或个人。一般采取社会调查的方式。</w:t>
            </w:r>
          </w:p>
        </w:tc>
        <w:tc>
          <w:tcPr>
            <w:tcW w:w="653"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w:t>
            </w:r>
          </w:p>
        </w:tc>
        <w:tc>
          <w:tcPr>
            <w:tcW w:w="65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5"/>
                <w:szCs w:val="15"/>
                <w:u w:val="none"/>
              </w:rPr>
            </w:pPr>
            <w:r>
              <w:rPr>
                <w:rFonts w:hint="eastAsia" w:ascii="宋体" w:hAnsi="宋体" w:eastAsia="宋体" w:cs="宋体"/>
                <w:i w:val="0"/>
                <w:color w:val="000000"/>
                <w:kern w:val="0"/>
                <w:sz w:val="15"/>
                <w:szCs w:val="15"/>
                <w:u w:val="none"/>
                <w:lang w:val="en-US" w:eastAsia="zh-CN" w:bidi="ar"/>
              </w:rPr>
              <w:t>10</w:t>
            </w:r>
          </w:p>
        </w:tc>
      </w:tr>
    </w:tbl>
    <w:p/>
    <w:p/>
    <w:p>
      <w:pPr>
        <w:pStyle w:val="2"/>
      </w:pPr>
    </w:p>
    <w:p/>
    <w:p>
      <w:pPr>
        <w:pStyle w:val="2"/>
        <w:jc w:val="both"/>
      </w:pPr>
    </w:p>
    <w:sectPr>
      <w:pgSz w:w="16838" w:h="11906" w:orient="landscape"/>
      <w:pgMar w:top="1531" w:right="1928" w:bottom="1531" w:left="1701" w:header="737" w:footer="851" w:gutter="0"/>
      <w:pgBorders>
        <w:top w:val="none" w:sz="0" w:space="0"/>
        <w:left w:val="none" w:sz="0" w:space="0"/>
        <w:bottom w:val="none" w:sz="0" w:space="0"/>
        <w:right w:val="none" w:sz="0" w:space="0"/>
      </w:pgBorders>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abstractNum w:abstractNumId="1">
    <w:nsid w:val="66307475"/>
    <w:multiLevelType w:val="singleLevel"/>
    <w:tmpl w:val="66307475"/>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31F3E1C"/>
    <w:rsid w:val="03A11B3D"/>
    <w:rsid w:val="05227DA5"/>
    <w:rsid w:val="053C711A"/>
    <w:rsid w:val="05FC41C5"/>
    <w:rsid w:val="06120F46"/>
    <w:rsid w:val="0683793B"/>
    <w:rsid w:val="080C0983"/>
    <w:rsid w:val="081B0D3B"/>
    <w:rsid w:val="082E168B"/>
    <w:rsid w:val="08CA4538"/>
    <w:rsid w:val="08D20D13"/>
    <w:rsid w:val="08D574BC"/>
    <w:rsid w:val="08F4752F"/>
    <w:rsid w:val="090364E4"/>
    <w:rsid w:val="0AF5583F"/>
    <w:rsid w:val="0C4D0F1B"/>
    <w:rsid w:val="0F2A6BF7"/>
    <w:rsid w:val="0F4426F3"/>
    <w:rsid w:val="11C559C4"/>
    <w:rsid w:val="12C01B02"/>
    <w:rsid w:val="137814E7"/>
    <w:rsid w:val="144B1FE1"/>
    <w:rsid w:val="14663D80"/>
    <w:rsid w:val="14800F60"/>
    <w:rsid w:val="149C6F7B"/>
    <w:rsid w:val="14B91CD0"/>
    <w:rsid w:val="1533361D"/>
    <w:rsid w:val="16406E3C"/>
    <w:rsid w:val="17543877"/>
    <w:rsid w:val="19710F99"/>
    <w:rsid w:val="19803987"/>
    <w:rsid w:val="198C18F7"/>
    <w:rsid w:val="1AD83259"/>
    <w:rsid w:val="1B3A2B08"/>
    <w:rsid w:val="1CA8141B"/>
    <w:rsid w:val="1CAD65E6"/>
    <w:rsid w:val="1CB9406D"/>
    <w:rsid w:val="1D723F37"/>
    <w:rsid w:val="1D785367"/>
    <w:rsid w:val="1DD446F4"/>
    <w:rsid w:val="1E7A1AE9"/>
    <w:rsid w:val="1F1C7177"/>
    <w:rsid w:val="20B961F9"/>
    <w:rsid w:val="215A3731"/>
    <w:rsid w:val="220026F4"/>
    <w:rsid w:val="24E55DAD"/>
    <w:rsid w:val="24EC6202"/>
    <w:rsid w:val="26355891"/>
    <w:rsid w:val="268E1A49"/>
    <w:rsid w:val="27A364F2"/>
    <w:rsid w:val="296A48FD"/>
    <w:rsid w:val="2A3A7EBE"/>
    <w:rsid w:val="2B4E641E"/>
    <w:rsid w:val="2FCC561E"/>
    <w:rsid w:val="303755ED"/>
    <w:rsid w:val="303A1A84"/>
    <w:rsid w:val="30F61458"/>
    <w:rsid w:val="314705FD"/>
    <w:rsid w:val="32925B8E"/>
    <w:rsid w:val="32AE0DEC"/>
    <w:rsid w:val="333D0B8E"/>
    <w:rsid w:val="3463012C"/>
    <w:rsid w:val="36B72533"/>
    <w:rsid w:val="36E74818"/>
    <w:rsid w:val="377959C4"/>
    <w:rsid w:val="38F46219"/>
    <w:rsid w:val="39512FAA"/>
    <w:rsid w:val="39982F28"/>
    <w:rsid w:val="3A5A73E9"/>
    <w:rsid w:val="3BD77EFE"/>
    <w:rsid w:val="3D8B27F3"/>
    <w:rsid w:val="3F503919"/>
    <w:rsid w:val="4057649F"/>
    <w:rsid w:val="40DB1CBB"/>
    <w:rsid w:val="42484261"/>
    <w:rsid w:val="43182414"/>
    <w:rsid w:val="46507BB3"/>
    <w:rsid w:val="46C23BD0"/>
    <w:rsid w:val="46D67F66"/>
    <w:rsid w:val="470715E9"/>
    <w:rsid w:val="47135B19"/>
    <w:rsid w:val="489D25DA"/>
    <w:rsid w:val="494775EC"/>
    <w:rsid w:val="4A7C25BE"/>
    <w:rsid w:val="4AAE6866"/>
    <w:rsid w:val="4C22332E"/>
    <w:rsid w:val="4C855E5A"/>
    <w:rsid w:val="4C9044A8"/>
    <w:rsid w:val="4D3207DD"/>
    <w:rsid w:val="4F7B18ED"/>
    <w:rsid w:val="4FB672BA"/>
    <w:rsid w:val="4FEB2F60"/>
    <w:rsid w:val="50144EC9"/>
    <w:rsid w:val="50787E6D"/>
    <w:rsid w:val="51A2644D"/>
    <w:rsid w:val="53454AA7"/>
    <w:rsid w:val="53C41013"/>
    <w:rsid w:val="547801B6"/>
    <w:rsid w:val="557155AD"/>
    <w:rsid w:val="55B70170"/>
    <w:rsid w:val="563D6D28"/>
    <w:rsid w:val="564A30A3"/>
    <w:rsid w:val="56796849"/>
    <w:rsid w:val="56B63B38"/>
    <w:rsid w:val="575C267F"/>
    <w:rsid w:val="57B81DBA"/>
    <w:rsid w:val="58AC4094"/>
    <w:rsid w:val="58AE115F"/>
    <w:rsid w:val="595C7553"/>
    <w:rsid w:val="5A3F15F6"/>
    <w:rsid w:val="5A4B0D2B"/>
    <w:rsid w:val="5DA95371"/>
    <w:rsid w:val="5DC62BD9"/>
    <w:rsid w:val="5EE629B9"/>
    <w:rsid w:val="5F2175B2"/>
    <w:rsid w:val="5F3F1F6B"/>
    <w:rsid w:val="5F487C34"/>
    <w:rsid w:val="5FDE3C0A"/>
    <w:rsid w:val="62D71EB4"/>
    <w:rsid w:val="62E51000"/>
    <w:rsid w:val="630917CC"/>
    <w:rsid w:val="63604FC2"/>
    <w:rsid w:val="64F9244C"/>
    <w:rsid w:val="64FE4275"/>
    <w:rsid w:val="65EB53A3"/>
    <w:rsid w:val="66C91AF5"/>
    <w:rsid w:val="67D14AA8"/>
    <w:rsid w:val="68F11999"/>
    <w:rsid w:val="6B39266A"/>
    <w:rsid w:val="6BF04A7C"/>
    <w:rsid w:val="6C144FB1"/>
    <w:rsid w:val="6C1667C4"/>
    <w:rsid w:val="6C637827"/>
    <w:rsid w:val="6CAD4F57"/>
    <w:rsid w:val="6CD90970"/>
    <w:rsid w:val="6D415DCA"/>
    <w:rsid w:val="6D512E93"/>
    <w:rsid w:val="6D833989"/>
    <w:rsid w:val="6DEB3457"/>
    <w:rsid w:val="6DED6955"/>
    <w:rsid w:val="6FE05B15"/>
    <w:rsid w:val="701D7D14"/>
    <w:rsid w:val="71DA44D0"/>
    <w:rsid w:val="72BA0A6D"/>
    <w:rsid w:val="72ED68EA"/>
    <w:rsid w:val="73F72FED"/>
    <w:rsid w:val="745718A1"/>
    <w:rsid w:val="74BF3D63"/>
    <w:rsid w:val="763A0251"/>
    <w:rsid w:val="77243B7B"/>
    <w:rsid w:val="77EA6A41"/>
    <w:rsid w:val="78987A50"/>
    <w:rsid w:val="78DA419C"/>
    <w:rsid w:val="78E720F9"/>
    <w:rsid w:val="78E75B75"/>
    <w:rsid w:val="79733E00"/>
    <w:rsid w:val="79EE0DCB"/>
    <w:rsid w:val="7AD267FA"/>
    <w:rsid w:val="7CDA2EC8"/>
    <w:rsid w:val="7CEA4141"/>
    <w:rsid w:val="7CEB0F51"/>
    <w:rsid w:val="7D8B373B"/>
    <w:rsid w:val="7E2B44C0"/>
    <w:rsid w:val="7F1717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unhideWhenUsed/>
    <w:qFormat/>
    <w:uiPriority w:val="99"/>
    <w:rPr>
      <w:color w:val="0563C1" w:themeColor="hyperlink"/>
      <w:u w:val="single"/>
    </w:rPr>
  </w:style>
  <w:style w:type="character" w:customStyle="1" w:styleId="13">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4">
    <w:name w:val="标题 2 Char"/>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6">
    <w:name w:val="页眉 Char"/>
    <w:basedOn w:val="11"/>
    <w:link w:val="7"/>
    <w:semiHidden/>
    <w:qFormat/>
    <w:uiPriority w:val="99"/>
    <w:rPr>
      <w:rFonts w:ascii="Times New Roman" w:hAnsi="Times New Roman" w:eastAsia="仿宋_GB2312" w:cs="Times New Roman"/>
      <w:sz w:val="18"/>
      <w:szCs w:val="18"/>
    </w:rPr>
  </w:style>
  <w:style w:type="character" w:customStyle="1" w:styleId="17">
    <w:name w:val="页脚 Char"/>
    <w:basedOn w:val="11"/>
    <w:link w:val="6"/>
    <w:semiHidden/>
    <w:qFormat/>
    <w:uiPriority w:val="99"/>
    <w:rPr>
      <w:rFonts w:ascii="Times New Roman" w:hAnsi="Times New Roman" w:eastAsia="仿宋_GB2312" w:cs="Times New Roman"/>
      <w:sz w:val="18"/>
      <w:szCs w:val="18"/>
    </w:rPr>
  </w:style>
  <w:style w:type="paragraph" w:customStyle="1" w:styleId="18">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11</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2024-05-07T04:53:06Z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