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sz w:val="48"/>
          <w:szCs w:val="48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sz w:val="48"/>
          <w:szCs w:val="48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sz w:val="48"/>
          <w:szCs w:val="48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 w:hAnsi="宋体" w:eastAsia="宋体" w:cs="Arial"/>
          <w:b/>
          <w:bCs/>
          <w:sz w:val="48"/>
          <w:szCs w:val="48"/>
        </w:rPr>
      </w:pPr>
      <w:r>
        <w:rPr>
          <w:rFonts w:hint="eastAsia" w:ascii="宋体" w:hAnsi="宋体" w:eastAsia="宋体" w:cs="Arial"/>
          <w:b/>
          <w:bCs/>
          <w:sz w:val="48"/>
          <w:szCs w:val="48"/>
        </w:rPr>
        <w:t>项目支出绩效评价报告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4" w:firstLineChars="200"/>
        <w:jc w:val="center"/>
        <w:textAlignment w:val="auto"/>
        <w:rPr>
          <w:rFonts w:ascii="宋体" w:hAnsi="宋体" w:eastAsia="宋体" w:cs="Arial"/>
          <w:b/>
          <w:bCs/>
          <w:sz w:val="48"/>
          <w:szCs w:val="48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  <w:r>
        <w:rPr>
          <w:rFonts w:hint="eastAsia" w:ascii="红豆小标宋简体" w:hAnsi="红豆小标宋简体" w:eastAsia="红豆小标宋简体" w:cs="红豆小标宋简体"/>
          <w:color w:val="000000"/>
          <w:kern w:val="0"/>
          <w:sz w:val="36"/>
          <w:szCs w:val="36"/>
        </w:rPr>
        <w:t>（2</w:t>
      </w:r>
      <w:r>
        <w:rPr>
          <w:rFonts w:ascii="红豆小标宋简体" w:hAnsi="红豆小标宋简体" w:eastAsia="红豆小标宋简体" w:cs="红豆小标宋简体"/>
          <w:color w:val="000000"/>
          <w:kern w:val="0"/>
          <w:sz w:val="36"/>
          <w:szCs w:val="36"/>
        </w:rPr>
        <w:t>02</w:t>
      </w:r>
      <w:r>
        <w:rPr>
          <w:rFonts w:hint="eastAsia" w:ascii="红豆小标宋简体" w:hAnsi="红豆小标宋简体" w:eastAsia="红豆小标宋简体" w:cs="红豆小标宋简体"/>
          <w:color w:val="000000"/>
          <w:kern w:val="0"/>
          <w:sz w:val="36"/>
          <w:szCs w:val="36"/>
          <w:lang w:val="en-US" w:eastAsia="zh-CN"/>
        </w:rPr>
        <w:t>3</w:t>
      </w:r>
      <w:r>
        <w:rPr>
          <w:rFonts w:hint="eastAsia" w:ascii="红豆小标宋简体" w:hAnsi="红豆小标宋简体" w:eastAsia="红豆小标宋简体" w:cs="红豆小标宋简体"/>
          <w:color w:val="000000"/>
          <w:kern w:val="0"/>
          <w:sz w:val="36"/>
          <w:szCs w:val="36"/>
        </w:rPr>
        <w:t>年度）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004" w:firstLineChars="200"/>
        <w:jc w:val="center"/>
        <w:textAlignment w:val="auto"/>
        <w:rPr>
          <w:rFonts w:ascii="仿宋_GB2312" w:hAnsi="仿宋_GB2312" w:cs="仿宋_GB2312"/>
          <w:b/>
          <w:kern w:val="0"/>
          <w:sz w:val="50"/>
          <w:szCs w:val="50"/>
          <w:lang w:bidi="en-US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宋体" w:hAnsi="宋体" w:eastAsia="宋体" w:cs="宋体"/>
          <w:kern w:val="0"/>
          <w:sz w:val="32"/>
          <w:szCs w:val="32"/>
          <w:lang w:val="en-US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项目名称：</w:t>
      </w:r>
      <w:r>
        <w:rPr>
          <w:rFonts w:hint="default" w:ascii="Times New Roman" w:hAnsi="Times New Roman" w:eastAsia="方正仿宋_GBK" w:cs="Times New Roman"/>
          <w:sz w:val="31"/>
          <w:szCs w:val="31"/>
          <w:highlight w:val="none"/>
          <w:lang w:val="en-US" w:eastAsia="zh-CN"/>
        </w:rPr>
        <w:t>2023年自治区农业</w:t>
      </w:r>
      <w:r>
        <w:rPr>
          <w:rFonts w:hint="eastAsia" w:eastAsia="方正仿宋_GBK" w:cs="Times New Roman"/>
          <w:sz w:val="31"/>
          <w:szCs w:val="31"/>
          <w:highlight w:val="none"/>
          <w:lang w:val="en-US" w:eastAsia="zh-CN"/>
        </w:rPr>
        <w:t>生产发展资金（农业防灾减灾）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实施单位（公章）：</w:t>
      </w:r>
      <w:r>
        <w:rPr>
          <w:rFonts w:hint="eastAsia" w:ascii="Times New Roman" w:hAnsi="Times New Roman" w:eastAsia="方正仿宋_GBK" w:cs="Times New Roman"/>
          <w:sz w:val="31"/>
          <w:szCs w:val="31"/>
          <w:highlight w:val="none"/>
          <w:lang w:val="en-US" w:eastAsia="zh-CN"/>
        </w:rPr>
        <w:t>巴州农业技术推广中心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主管部门（公章）：</w:t>
      </w:r>
      <w:r>
        <w:rPr>
          <w:rFonts w:hint="eastAsia" w:ascii="Times New Roman" w:hAnsi="Times New Roman" w:eastAsia="方正仿宋_GBK" w:cs="Times New Roman"/>
          <w:sz w:val="31"/>
          <w:szCs w:val="31"/>
          <w:highlight w:val="none"/>
          <w:lang w:val="en-US" w:eastAsia="zh-CN"/>
        </w:rPr>
        <w:t>巴州农业农村局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项目负责人（签章）：</w:t>
      </w:r>
      <w:r>
        <w:rPr>
          <w:rFonts w:hint="eastAsia" w:ascii="Times New Roman" w:hAnsi="Times New Roman" w:eastAsia="方正仿宋_GBK" w:cs="Times New Roman"/>
          <w:sz w:val="31"/>
          <w:szCs w:val="31"/>
          <w:highlight w:val="none"/>
          <w:lang w:val="en-US" w:eastAsia="zh-CN"/>
        </w:rPr>
        <w:t>吴莉莉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宋体" w:hAnsi="宋体" w:eastAsia="宋体" w:cs="仿宋_GB2312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仿宋_GB2312"/>
          <w:b/>
          <w:bCs/>
          <w:color w:val="000000"/>
          <w:kern w:val="0"/>
          <w:sz w:val="32"/>
          <w:szCs w:val="32"/>
        </w:rPr>
        <w:t>填报时间：</w:t>
      </w:r>
      <w:r>
        <w:rPr>
          <w:rFonts w:hint="eastAsia" w:ascii="宋体" w:hAnsi="宋体" w:eastAsia="宋体" w:cs="仿宋_GB2312"/>
          <w:color w:val="000000"/>
          <w:kern w:val="0"/>
          <w:sz w:val="32"/>
          <w:szCs w:val="32"/>
        </w:rPr>
        <w:t>202</w:t>
      </w:r>
      <w:r>
        <w:rPr>
          <w:rFonts w:hint="eastAsia" w:ascii="宋体" w:hAnsi="宋体" w:eastAsia="宋体" w:cs="仿宋_GB2312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仿宋_GB2312"/>
          <w:color w:val="000000"/>
          <w:kern w:val="0"/>
          <w:sz w:val="32"/>
          <w:szCs w:val="32"/>
        </w:rPr>
        <w:t>年</w:t>
      </w:r>
      <w:r>
        <w:rPr>
          <w:rFonts w:hint="eastAsia" w:ascii="宋体" w:hAnsi="宋体" w:eastAsia="宋体" w:cs="仿宋_GB2312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仿宋_GB2312"/>
          <w:color w:val="000000"/>
          <w:kern w:val="0"/>
          <w:sz w:val="32"/>
          <w:szCs w:val="32"/>
        </w:rPr>
        <w:t>月</w:t>
      </w:r>
      <w:r>
        <w:rPr>
          <w:rFonts w:hint="eastAsia" w:ascii="宋体" w:hAnsi="宋体" w:eastAsia="宋体" w:cs="仿宋_GB2312"/>
          <w:color w:val="000000"/>
          <w:kern w:val="0"/>
          <w:sz w:val="32"/>
          <w:szCs w:val="32"/>
          <w:lang w:val="en-US" w:eastAsia="zh-CN"/>
        </w:rPr>
        <w:t>13</w:t>
      </w:r>
      <w:r>
        <w:rPr>
          <w:rFonts w:hint="eastAsia" w:ascii="宋体" w:hAnsi="宋体" w:eastAsia="宋体" w:cs="仿宋_GB2312"/>
          <w:color w:val="000000"/>
          <w:kern w:val="0"/>
          <w:sz w:val="32"/>
          <w:szCs w:val="32"/>
        </w:rPr>
        <w:t>日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left"/>
        <w:textAlignment w:val="auto"/>
        <w:rPr>
          <w:rFonts w:ascii="宋体" w:hAnsi="宋体" w:eastAsia="宋体" w:cs="Arial"/>
          <w:b/>
          <w:bCs/>
          <w:sz w:val="36"/>
          <w:szCs w:val="36"/>
        </w:rPr>
      </w:pPr>
      <w:r>
        <w:rPr>
          <w:rFonts w:ascii="宋体" w:hAnsi="宋体" w:eastAsia="宋体" w:cs="Arial"/>
          <w:b/>
          <w:bCs/>
          <w:sz w:val="36"/>
          <w:szCs w:val="36"/>
        </w:rPr>
        <w:br w:type="page"/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3" w:firstLineChars="200"/>
        <w:jc w:val="center"/>
        <w:textAlignment w:val="auto"/>
        <w:rPr>
          <w:rFonts w:ascii="Arial" w:hAnsi="Arial" w:eastAsia="宋体" w:cs="Arial"/>
          <w:b/>
          <w:bCs/>
          <w:sz w:val="36"/>
          <w:szCs w:val="36"/>
        </w:rPr>
      </w:pPr>
      <w:r>
        <w:rPr>
          <w:rFonts w:hint="eastAsia" w:ascii="宋体" w:hAnsi="宋体" w:eastAsia="宋体" w:cs="Arial"/>
          <w:b/>
          <w:bCs/>
          <w:sz w:val="36"/>
          <w:szCs w:val="36"/>
        </w:rPr>
        <w:t>项目支出</w:t>
      </w:r>
      <w:r>
        <w:rPr>
          <w:rFonts w:ascii="宋体" w:hAnsi="宋体" w:eastAsia="宋体" w:cs="Arial"/>
          <w:b/>
          <w:bCs/>
          <w:sz w:val="36"/>
          <w:szCs w:val="36"/>
        </w:rPr>
        <w:t>绩效</w:t>
      </w:r>
      <w:r>
        <w:rPr>
          <w:rFonts w:hint="eastAsia" w:ascii="宋体" w:hAnsi="宋体" w:eastAsia="宋体" w:cs="Arial"/>
          <w:b/>
          <w:bCs/>
          <w:sz w:val="36"/>
          <w:szCs w:val="36"/>
        </w:rPr>
        <w:t>评价报告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center"/>
        <w:textAlignment w:val="auto"/>
        <w:rPr>
          <w:rFonts w:ascii="仿宋_GB2312"/>
          <w:szCs w:val="30"/>
        </w:rPr>
      </w:pP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sz w:val="32"/>
          <w:szCs w:val="32"/>
        </w:rPr>
      </w:pPr>
      <w:bookmarkStart w:id="0" w:name="_Toc68703827"/>
      <w:r>
        <w:rPr>
          <w:rFonts w:hint="eastAsia" w:ascii="宋体" w:hAnsi="宋体" w:eastAsia="宋体"/>
          <w:sz w:val="32"/>
          <w:szCs w:val="32"/>
        </w:rPr>
        <w:t>一、基本情况</w:t>
      </w:r>
      <w:bookmarkEnd w:id="0"/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</w:rPr>
      </w:pPr>
      <w:bookmarkStart w:id="1" w:name="_Toc68703828"/>
      <w:r>
        <w:rPr>
          <w:rFonts w:hint="eastAsia" w:ascii="仿宋_GB2312" w:eastAsia="仿宋_GB2312"/>
          <w:b w:val="0"/>
          <w:bCs w:val="0"/>
        </w:rPr>
        <w:t>（一）项目概况。</w:t>
      </w:r>
      <w:bookmarkEnd w:id="1"/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/>
          <w:highlight w:val="none"/>
        </w:rPr>
      </w:pPr>
      <w:r>
        <w:rPr>
          <w:rFonts w:hint="eastAsia" w:ascii="仿宋_GB2312"/>
          <w:highlight w:val="none"/>
          <w:lang w:val="en-US" w:eastAsia="zh-CN"/>
        </w:rPr>
        <w:t>1.</w:t>
      </w:r>
      <w:r>
        <w:rPr>
          <w:rFonts w:hint="eastAsia" w:ascii="仿宋_GB2312"/>
          <w:highlight w:val="none"/>
        </w:rPr>
        <w:t>项目背景，主要内容及实施情况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/>
          <w:highlight w:val="none"/>
        </w:rPr>
      </w:pPr>
      <w:r>
        <w:rPr>
          <w:rFonts w:hint="eastAsia" w:ascii="仿宋_GB2312"/>
          <w:highlight w:val="none"/>
        </w:rPr>
        <w:t>（1）项目背景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textAlignment w:val="auto"/>
        <w:rPr>
          <w:rFonts w:hint="default" w:ascii="Times New Roman" w:hAnsi="Times New Roman" w:eastAsia="方正仿宋_GBK" w:cs="Times New Roman"/>
          <w:sz w:val="31"/>
          <w:szCs w:val="31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1"/>
          <w:szCs w:val="31"/>
          <w:lang w:val="en-US" w:eastAsia="zh-CN"/>
        </w:rPr>
        <w:t xml:space="preserve"> 根据</w:t>
      </w:r>
      <w:r>
        <w:rPr>
          <w:rFonts w:hint="default" w:ascii="Times New Roman" w:hAnsi="Times New Roman" w:eastAsia="仿宋_GB2312" w:cs="Times New Roman"/>
          <w:color w:val="auto"/>
          <w:sz w:val="31"/>
          <w:szCs w:val="31"/>
          <w:lang w:val="en-US" w:eastAsia="zh-CN"/>
        </w:rPr>
        <w:t>自治区《关于印发《2023年自治区农业防灾减灾资金实施方案》的通知》（新农办植[2023]55号）</w:t>
      </w:r>
      <w:r>
        <w:rPr>
          <w:rFonts w:hint="eastAsia" w:ascii="Times New Roman" w:hAnsi="Times New Roman" w:eastAsia="仿宋_GB2312" w:cs="Times New Roman"/>
          <w:color w:val="auto"/>
          <w:sz w:val="31"/>
          <w:szCs w:val="31"/>
          <w:lang w:val="en-US" w:eastAsia="zh-CN"/>
        </w:rPr>
        <w:t>文件要求，</w:t>
      </w:r>
      <w:r>
        <w:rPr>
          <w:rFonts w:hint="default" w:ascii="Times New Roman" w:hAnsi="Times New Roman" w:eastAsia="仿宋_GB2312" w:cs="Times New Roman"/>
          <w:color w:val="auto"/>
          <w:sz w:val="31"/>
          <w:szCs w:val="31"/>
          <w:lang w:val="en-US" w:eastAsia="zh-CN"/>
        </w:rPr>
        <w:t>为充分发挥2023年巴州农业防灾减灾资金效用，做好农业植物疫情和小麦重大病虫害监测防控工作，抓好防灾减灾和稳产增产关键技术措施落实，保障农业生产安全，努力实现粮食稳产高产</w:t>
      </w:r>
      <w:r>
        <w:rPr>
          <w:rFonts w:hint="eastAsia" w:ascii="Times New Roman" w:hAnsi="Times New Roman" w:eastAsia="仿宋_GB2312" w:cs="Times New Roman"/>
          <w:color w:val="auto"/>
          <w:sz w:val="31"/>
          <w:szCs w:val="31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1"/>
          <w:szCs w:val="31"/>
          <w:lang w:val="en-US" w:eastAsia="zh-CN"/>
        </w:rPr>
        <w:t>自</w:t>
      </w:r>
      <w:r>
        <w:rPr>
          <w:rFonts w:hint="default" w:ascii="Times New Roman" w:hAnsi="Times New Roman" w:cs="Times New Roman"/>
          <w:color w:val="auto"/>
          <w:sz w:val="31"/>
          <w:szCs w:val="31"/>
          <w:lang w:val="en-US" w:eastAsia="zh-CN"/>
        </w:rPr>
        <w:t>治区</w:t>
      </w:r>
      <w:r>
        <w:rPr>
          <w:rFonts w:hint="default" w:ascii="Times New Roman" w:hAnsi="Times New Roman" w:eastAsia="仿宋_GB2312" w:cs="Times New Roman"/>
          <w:color w:val="auto"/>
          <w:sz w:val="31"/>
          <w:szCs w:val="31"/>
          <w:lang w:val="en-US" w:eastAsia="zh-CN"/>
        </w:rPr>
        <w:t>在巴州储备农药、药械等应急防控物资，应对突发重大农业病虫疫情</w:t>
      </w:r>
      <w:r>
        <w:rPr>
          <w:rFonts w:hint="default" w:ascii="Times New Roman" w:hAnsi="Times New Roman" w:eastAsia="方正仿宋_GBK" w:cs="Times New Roman"/>
          <w:sz w:val="31"/>
          <w:szCs w:val="31"/>
          <w:highlight w:val="none"/>
          <w:lang w:val="en-US" w:eastAsia="zh-CN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ascii="仿宋_GB2312"/>
          <w:highlight w:val="none"/>
        </w:rPr>
      </w:pPr>
      <w:r>
        <w:rPr>
          <w:rFonts w:hint="eastAsia" w:ascii="仿宋_GB2312"/>
          <w:highlight w:val="none"/>
        </w:rPr>
        <w:t>（</w:t>
      </w:r>
      <w:r>
        <w:rPr>
          <w:rFonts w:hint="eastAsia" w:ascii="仿宋_GB2312"/>
          <w:highlight w:val="none"/>
          <w:lang w:val="en-US" w:eastAsia="zh-CN"/>
        </w:rPr>
        <w:t>2</w:t>
      </w:r>
      <w:r>
        <w:rPr>
          <w:rFonts w:hint="eastAsia" w:ascii="仿宋_GB2312"/>
          <w:highlight w:val="none"/>
        </w:rPr>
        <w:t>）主要内容</w:t>
      </w:r>
      <w:r>
        <w:rPr>
          <w:rFonts w:hint="eastAsia"/>
          <w:highlight w:val="none"/>
        </w:rPr>
        <w:t>及</w:t>
      </w:r>
      <w:r>
        <w:rPr>
          <w:rFonts w:hint="eastAsia" w:ascii="仿宋_GB2312"/>
          <w:highlight w:val="none"/>
        </w:rPr>
        <w:t>实施情况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1"/>
          <w:szCs w:val="31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1"/>
          <w:szCs w:val="31"/>
          <w:lang w:val="en-US" w:eastAsia="zh-CN"/>
        </w:rPr>
        <w:t>主要内容：</w:t>
      </w:r>
      <w:r>
        <w:rPr>
          <w:rFonts w:hint="default" w:ascii="Times New Roman" w:hAnsi="Times New Roman" w:eastAsia="仿宋_GB2312" w:cs="Times New Roman"/>
          <w:color w:val="auto"/>
          <w:sz w:val="31"/>
          <w:szCs w:val="31"/>
          <w:lang w:val="en-US" w:eastAsia="zh-CN"/>
        </w:rPr>
        <w:t>根据重大突发病虫疫情防控需要及发生趋势预测，充分考虑调运便捷和覆盖范围等因素，</w:t>
      </w:r>
      <w:r>
        <w:rPr>
          <w:rFonts w:hint="eastAsia" w:ascii="Times New Roman" w:hAnsi="Times New Roman" w:eastAsia="仿宋_GB2312" w:cs="Times New Roman"/>
          <w:color w:val="auto"/>
          <w:sz w:val="31"/>
          <w:szCs w:val="31"/>
          <w:lang w:val="en-US" w:eastAsia="zh-CN"/>
        </w:rPr>
        <w:t>采购农药、药械等应急防控物资。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1"/>
          <w:szCs w:val="31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1"/>
          <w:szCs w:val="31"/>
          <w:lang w:val="en-US" w:eastAsia="zh-CN"/>
        </w:rPr>
        <w:t>实施情况：</w:t>
      </w:r>
      <w:r>
        <w:rPr>
          <w:rFonts w:hint="default" w:ascii="Times New Roman" w:hAnsi="Times New Roman" w:eastAsia="仿宋_GB2312" w:cs="Times New Roman"/>
          <w:color w:val="auto"/>
          <w:sz w:val="31"/>
          <w:szCs w:val="31"/>
          <w:lang w:val="en-US" w:eastAsia="zh-CN"/>
        </w:rPr>
        <w:t>通过政府采购，以竞争性谈判形式采购杀虫剂20%氯虫苯甲酰胺200公斤、15%多杀·茚虫威200公斤、30%螺虫·噻虫嗪200公斤、40%螺螨酯·乙螨唑320公斤；杀菌剂50%氯溴异氰尿酸1300公斤、11.8%丙环唑·7.2%嘧菌酯200公斤</w:t>
      </w:r>
      <w:r>
        <w:rPr>
          <w:rFonts w:hint="eastAsia" w:ascii="Times New Roman" w:hAnsi="Times New Roman" w:eastAsia="仿宋_GB2312" w:cs="Times New Roman"/>
          <w:color w:val="auto"/>
          <w:sz w:val="31"/>
          <w:szCs w:val="31"/>
          <w:lang w:val="en-US" w:eastAsia="zh-CN"/>
        </w:rPr>
        <w:t>、番茄褐色皱纹果快速检测（550条）</w:t>
      </w:r>
      <w:r>
        <w:rPr>
          <w:rFonts w:hint="default" w:ascii="Times New Roman" w:hAnsi="Times New Roman" w:eastAsia="仿宋_GB2312" w:cs="Times New Roman"/>
          <w:color w:val="auto"/>
          <w:sz w:val="31"/>
          <w:szCs w:val="31"/>
          <w:lang w:val="en-US" w:eastAsia="zh-CN"/>
        </w:rPr>
        <w:t>；理化诱控物资番茄潜叶蛾诱芯</w:t>
      </w:r>
      <w:r>
        <w:rPr>
          <w:rFonts w:hint="eastAsia" w:ascii="Times New Roman" w:hAnsi="Times New Roman" w:eastAsia="仿宋_GB2312" w:cs="Times New Roman"/>
          <w:color w:val="auto"/>
          <w:sz w:val="31"/>
          <w:szCs w:val="31"/>
          <w:lang w:val="en-US"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1"/>
          <w:szCs w:val="31"/>
          <w:lang w:val="en-US" w:eastAsia="zh-CN"/>
        </w:rPr>
        <w:t>2000粒</w:t>
      </w:r>
      <w:r>
        <w:rPr>
          <w:rFonts w:hint="eastAsia" w:ascii="Times New Roman" w:hAnsi="Times New Roman" w:eastAsia="仿宋_GB2312" w:cs="Times New Roman"/>
          <w:color w:val="auto"/>
          <w:sz w:val="31"/>
          <w:szCs w:val="31"/>
          <w:lang w:val="en-US" w:eastAsia="zh-CN"/>
        </w:rPr>
        <w:t>）、</w:t>
      </w:r>
      <w:r>
        <w:rPr>
          <w:rFonts w:hint="default" w:ascii="Times New Roman" w:hAnsi="Times New Roman" w:eastAsia="仿宋_GB2312" w:cs="Times New Roman"/>
          <w:color w:val="auto"/>
          <w:sz w:val="31"/>
          <w:szCs w:val="31"/>
          <w:lang w:val="en-US" w:eastAsia="zh-CN"/>
        </w:rPr>
        <w:t>等储备物资；采购物资价格不超过市场价，采购的物资均符合国家标准。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ascii="仿宋_GB2312"/>
          <w:highlight w:val="none"/>
        </w:rPr>
      </w:pPr>
      <w:r>
        <w:rPr>
          <w:rFonts w:hint="eastAsia" w:ascii="仿宋_GB2312"/>
          <w:highlight w:val="none"/>
          <w:lang w:val="en-US" w:eastAsia="zh-CN"/>
        </w:rPr>
        <w:t>2.</w:t>
      </w:r>
      <w:r>
        <w:rPr>
          <w:rFonts w:hint="eastAsia" w:ascii="仿宋_GB2312"/>
          <w:highlight w:val="none"/>
        </w:rPr>
        <w:t>资金投入和使用情况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eastAsia="仿宋_GB2312"/>
          <w:b w:val="0"/>
          <w:bCs w:val="0"/>
          <w:lang w:val="en-US" w:eastAsia="zh-CN"/>
        </w:rPr>
      </w:pPr>
      <w:r>
        <w:rPr>
          <w:rFonts w:hint="eastAsia" w:ascii="仿宋_GB2312" w:eastAsia="仿宋_GB2312"/>
          <w:b w:val="0"/>
          <w:bCs w:val="0"/>
          <w:lang w:val="en-US" w:eastAsia="zh-CN"/>
        </w:rPr>
        <w:t>（1）资金投入情况：该项目年初预算数50万元，全年预算数50万元，该项目资金已全部落实到位，资金来源为自治区农业发展农业防灾减灾资金。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eastAsia="仿宋_GB2312"/>
          <w:b w:val="0"/>
          <w:bCs w:val="0"/>
          <w:lang w:val="en-US" w:eastAsia="zh-CN"/>
        </w:rPr>
      </w:pPr>
      <w:r>
        <w:rPr>
          <w:rFonts w:hint="eastAsia" w:ascii="仿宋_GB2312" w:eastAsia="仿宋_GB2312"/>
          <w:b w:val="0"/>
          <w:bCs w:val="0"/>
          <w:lang w:val="en-US" w:eastAsia="zh-CN"/>
        </w:rPr>
        <w:t>（2）资金使用情况：该项目年初预算数50万元，全年预算数50万元，全年执行数50万元，预算执行率为100%，用于</w:t>
      </w:r>
      <w:bookmarkStart w:id="2" w:name="_Toc68703829"/>
      <w:r>
        <w:rPr>
          <w:rFonts w:hint="eastAsia" w:ascii="仿宋_GB2312" w:eastAsia="仿宋_GB2312"/>
          <w:b w:val="0"/>
          <w:bCs w:val="0"/>
          <w:lang w:val="en-US" w:eastAsia="zh-CN"/>
        </w:rPr>
        <w:t>采购杀虫剂4种31万元，用于防治棉铃虫、地老虎、蚜虫等；采购杀菌剂2种17.40万元，用于预防番茄褐色皱纹果；采购理化诱控物资番茄潜夜蛾诱芯2000粒1.6万元，用于防治番茄潜夜蛾；合计50万元。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eastAsia="仿宋_GB2312"/>
          <w:b w:val="0"/>
          <w:bCs w:val="0"/>
          <w:lang w:val="en-US" w:eastAsia="zh-CN"/>
        </w:rPr>
      </w:pPr>
      <w:r>
        <w:rPr>
          <w:rFonts w:hint="eastAsia" w:ascii="仿宋_GB2312" w:eastAsia="仿宋_GB2312"/>
          <w:b w:val="0"/>
          <w:bCs w:val="0"/>
        </w:rPr>
        <w:t>（二）项目绩效目标</w:t>
      </w:r>
      <w:bookmarkEnd w:id="2"/>
      <w:r>
        <w:rPr>
          <w:rFonts w:hint="eastAsia" w:ascii="仿宋_GB2312" w:eastAsia="仿宋_GB2312"/>
          <w:b w:val="0"/>
          <w:bCs w:val="0"/>
          <w:color w:val="000000" w:themeColor="text1"/>
          <w:lang w:eastAsia="zh-CN"/>
        </w:rPr>
        <w:t>，</w:t>
      </w:r>
      <w:r>
        <w:rPr>
          <w:rFonts w:hint="eastAsia"/>
          <w:color w:val="000000" w:themeColor="text1"/>
        </w:rPr>
        <w:t>包括总体目标和阶段性目标。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eastAsia="仿宋_GB2312"/>
          <w:b w:val="0"/>
          <w:bCs w:val="0"/>
          <w:lang w:val="en-US" w:eastAsia="zh-CN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总体目标：</w:t>
      </w:r>
      <w:r>
        <w:rPr>
          <w:rFonts w:hint="eastAsia" w:ascii="仿宋_GB2312" w:eastAsia="仿宋_GB2312"/>
          <w:b w:val="0"/>
          <w:bCs w:val="0"/>
          <w:lang w:val="en-US" w:eastAsia="zh-CN"/>
        </w:rPr>
        <w:t>代自治区采购不少于50万元的应急防控物资，其中采购杀虫剂4种，用于防治棉铃虫、地老虎、蚜虫等；采购杀菌剂2种，用于预防番茄褐色皱纹果；采购理化诱控物资番茄潜叶蛾诱芯2000粒，用于防治番茄潜叶蛾。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eastAsia="仿宋_GB2312"/>
          <w:b w:val="0"/>
          <w:bCs w:val="0"/>
          <w:lang w:val="en-US" w:eastAsia="zh-CN"/>
        </w:rPr>
      </w:pPr>
      <w:r>
        <w:t>2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阶段性目标：</w:t>
      </w:r>
      <w:r>
        <w:rPr>
          <w:rFonts w:hint="eastAsia"/>
          <w:lang w:eastAsia="zh-CN"/>
        </w:rPr>
        <w:t>计划在</w:t>
      </w:r>
      <w:r>
        <w:rPr>
          <w:rFonts w:hint="eastAsia" w:ascii="仿宋_GB2312" w:eastAsia="仿宋_GB2312"/>
          <w:b w:val="0"/>
          <w:bCs w:val="0"/>
          <w:lang w:val="en-US" w:eastAsia="zh-CN"/>
        </w:rPr>
        <w:t>2023年10月30日前</w:t>
      </w:r>
      <w:r>
        <w:rPr>
          <w:rFonts w:hint="eastAsia" w:ascii="仿宋_GB2312"/>
          <w:b w:val="0"/>
          <w:bCs w:val="0"/>
          <w:lang w:val="en-US" w:eastAsia="zh-CN"/>
        </w:rPr>
        <w:t>完成采购合同的签订；在12月31日前完成物资购买并放置仓库</w:t>
      </w:r>
      <w:r>
        <w:rPr>
          <w:rFonts w:hint="eastAsia" w:ascii="仿宋_GB2312" w:eastAsia="仿宋_GB2312"/>
          <w:b w:val="0"/>
          <w:bCs w:val="0"/>
          <w:lang w:val="en-US" w:eastAsia="zh-CN"/>
        </w:rPr>
        <w:t>，</w:t>
      </w:r>
      <w:r>
        <w:rPr>
          <w:rFonts w:hint="eastAsia" w:ascii="仿宋_GB2312"/>
          <w:b w:val="0"/>
          <w:bCs w:val="0"/>
          <w:lang w:val="en-US" w:eastAsia="zh-CN"/>
        </w:rPr>
        <w:t>作为</w:t>
      </w:r>
      <w:r>
        <w:rPr>
          <w:rFonts w:hint="eastAsia" w:ascii="仿宋_GB2312" w:eastAsia="仿宋_GB2312"/>
          <w:b w:val="0"/>
          <w:bCs w:val="0"/>
          <w:lang w:val="en-US" w:eastAsia="zh-CN"/>
        </w:rPr>
        <w:t>储备</w:t>
      </w:r>
      <w:r>
        <w:rPr>
          <w:rFonts w:hint="eastAsia" w:ascii="仿宋_GB2312"/>
          <w:b w:val="0"/>
          <w:bCs w:val="0"/>
          <w:lang w:val="en-US" w:eastAsia="zh-CN"/>
        </w:rPr>
        <w:t>物资存放</w:t>
      </w:r>
      <w:r>
        <w:rPr>
          <w:rFonts w:hint="eastAsia" w:ascii="仿宋_GB2312" w:eastAsia="仿宋_GB2312"/>
          <w:b w:val="0"/>
          <w:bCs w:val="0"/>
          <w:lang w:val="en-US" w:eastAsia="zh-CN"/>
        </w:rPr>
        <w:t>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sz w:val="32"/>
          <w:szCs w:val="32"/>
        </w:rPr>
      </w:pPr>
      <w:bookmarkStart w:id="3" w:name="_Toc68703830"/>
      <w:r>
        <w:rPr>
          <w:rFonts w:hint="eastAsia" w:ascii="宋体" w:hAnsi="宋体" w:eastAsia="宋体"/>
          <w:sz w:val="32"/>
          <w:szCs w:val="32"/>
        </w:rPr>
        <w:t>二、绩效评价工作开展情况</w:t>
      </w:r>
      <w:bookmarkEnd w:id="3"/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default" w:eastAsia="仿宋_GB2312"/>
          <w:lang w:val="en-US" w:eastAsia="zh-CN"/>
        </w:rPr>
      </w:pPr>
      <w:bookmarkStart w:id="4" w:name="_Toc68703831"/>
      <w:r>
        <w:rPr>
          <w:rFonts w:hint="eastAsia" w:ascii="仿宋_GB2312" w:eastAsia="仿宋_GB2312"/>
          <w:b w:val="0"/>
          <w:bCs w:val="0"/>
        </w:rPr>
        <w:t>（一）绩效评价目的、对象和范围。</w:t>
      </w:r>
      <w:bookmarkEnd w:id="4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</w:pPr>
      <w:r>
        <w:rPr>
          <w:rFonts w:hint="eastAsia"/>
          <w:lang w:val="en-US" w:eastAsia="zh-CN"/>
        </w:rPr>
        <w:t>1.</w:t>
      </w:r>
      <w:r>
        <w:rPr>
          <w:rFonts w:hint="eastAsia"/>
        </w:rPr>
        <w:t>绩效评价目的：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eastAsia="仿宋_GB2312"/>
          <w:b w:val="0"/>
          <w:bCs w:val="0"/>
          <w:lang w:val="en-US" w:eastAsia="zh-CN"/>
        </w:rPr>
      </w:pPr>
      <w:r>
        <w:rPr>
          <w:rFonts w:hint="eastAsia" w:ascii="仿宋_GB2312" w:eastAsia="仿宋_GB2312"/>
          <w:b w:val="0"/>
          <w:bCs w:val="0"/>
          <w:lang w:val="en-US" w:eastAsia="zh-CN"/>
        </w:rPr>
        <w:t>通过绩效评价，客观地评判项目的管理绩效，了解和掌握了</w:t>
      </w:r>
      <w:r>
        <w:rPr>
          <w:rFonts w:hint="default" w:ascii="仿宋_GB2312" w:eastAsia="仿宋_GB2312"/>
          <w:b w:val="0"/>
          <w:bCs w:val="0"/>
          <w:lang w:val="en-US" w:eastAsia="zh-CN"/>
        </w:rPr>
        <w:t>2023年自治区农业</w:t>
      </w:r>
      <w:r>
        <w:rPr>
          <w:rFonts w:hint="eastAsia" w:ascii="仿宋_GB2312" w:eastAsia="仿宋_GB2312"/>
          <w:b w:val="0"/>
          <w:bCs w:val="0"/>
          <w:lang w:val="en-US" w:eastAsia="zh-CN"/>
        </w:rPr>
        <w:t>生产发展资金（农业防灾减灾）</w:t>
      </w:r>
      <w:r>
        <w:rPr>
          <w:rFonts w:hint="eastAsia" w:ascii="仿宋_GB2312"/>
          <w:b w:val="0"/>
          <w:bCs w:val="0"/>
          <w:lang w:val="en-US" w:eastAsia="zh-CN"/>
        </w:rPr>
        <w:t>项目经费的具体情况。</w:t>
      </w:r>
      <w:r>
        <w:rPr>
          <w:rFonts w:hint="default" w:ascii="仿宋_GB2312" w:eastAsia="仿宋_GB2312"/>
          <w:b w:val="0"/>
          <w:bCs w:val="0"/>
          <w:lang w:val="en-US" w:eastAsia="zh-CN"/>
        </w:rPr>
        <w:t>财政支出绩效评价运用科学、规范的绩效评价方法，制定统一的评价标准，使财政资金得到事前、事中和事后多方面的控制。项目在实施前项目负责人提供财政支出绩效方面的资金管理信息，促进项目支出严格按照资金管理规定进行。</w:t>
      </w:r>
      <w:r>
        <w:rPr>
          <w:rFonts w:hint="eastAsia" w:ascii="仿宋_GB2312"/>
          <w:b w:val="0"/>
          <w:bCs w:val="0"/>
          <w:lang w:val="en-US" w:eastAsia="zh-CN"/>
        </w:rPr>
        <w:t>单位按照项目要求，完善项目管理办法，提高项目管理水平肯资金使用效益。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</w:pPr>
      <w:r>
        <w:rPr>
          <w:rFonts w:hint="eastAsia"/>
          <w:lang w:val="en-US" w:eastAsia="zh-CN"/>
        </w:rPr>
        <w:t>2.</w:t>
      </w:r>
      <w:r>
        <w:rPr>
          <w:rFonts w:hint="eastAsia"/>
        </w:rPr>
        <w:t>绩效评价对象：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eastAsia="仿宋_GB2312"/>
          <w:b w:val="0"/>
          <w:bCs w:val="0"/>
          <w:lang w:val="en-US" w:eastAsia="zh-CN"/>
        </w:rPr>
      </w:pPr>
      <w:r>
        <w:rPr>
          <w:rFonts w:hint="default" w:ascii="仿宋_GB2312" w:eastAsia="仿宋_GB2312"/>
          <w:b w:val="0"/>
          <w:bCs w:val="0"/>
          <w:lang w:val="en-US" w:eastAsia="zh-CN"/>
        </w:rPr>
        <w:t>2023年自治区农业</w:t>
      </w:r>
      <w:r>
        <w:rPr>
          <w:rFonts w:hint="eastAsia" w:ascii="仿宋_GB2312" w:eastAsia="仿宋_GB2312"/>
          <w:b w:val="0"/>
          <w:bCs w:val="0"/>
          <w:lang w:val="en-US" w:eastAsia="zh-CN"/>
        </w:rPr>
        <w:t>生产发展资金（农业防灾减灾）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</w:pPr>
      <w:r>
        <w:rPr>
          <w:rFonts w:hint="eastAsia"/>
          <w:lang w:val="en-US" w:eastAsia="zh-CN"/>
        </w:rPr>
        <w:t>3.</w:t>
      </w:r>
      <w:r>
        <w:rPr>
          <w:rFonts w:hint="eastAsia"/>
        </w:rPr>
        <w:t>绩效评价范围：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仿宋_GB2312" w:eastAsia="仿宋_GB2312"/>
          <w:b w:val="0"/>
          <w:bCs w:val="0"/>
          <w:lang w:val="en-US" w:eastAsia="zh-CN"/>
        </w:rPr>
      </w:pPr>
      <w:bookmarkStart w:id="5" w:name="_Toc68703832"/>
      <w:r>
        <w:rPr>
          <w:rFonts w:hint="default" w:ascii="仿宋_GB2312" w:eastAsia="仿宋_GB2312"/>
          <w:b w:val="0"/>
          <w:bCs w:val="0"/>
          <w:lang w:val="en-US" w:eastAsia="zh-CN"/>
        </w:rPr>
        <w:t>本次评价从项目决策（包括绩效目标、决策过程）、项目管理（包括项目资金、项目实施）、项目产出（包括项目产出数量、产出质量、产出时效和产出成本）项目效益四个维度对</w:t>
      </w:r>
      <w:r>
        <w:rPr>
          <w:rFonts w:hint="eastAsia" w:ascii="仿宋_GB2312" w:eastAsia="仿宋_GB2312"/>
          <w:b w:val="0"/>
          <w:bCs w:val="0"/>
          <w:lang w:val="en-US" w:eastAsia="zh-CN"/>
        </w:rPr>
        <w:t>2023年自治区农业生产救灾资金（巴财农【2023】27号）</w:t>
      </w:r>
      <w:r>
        <w:rPr>
          <w:rFonts w:hint="default" w:ascii="仿宋_GB2312" w:eastAsia="仿宋_GB2312"/>
          <w:b w:val="0"/>
          <w:bCs w:val="0"/>
          <w:lang w:val="en-US" w:eastAsia="zh-CN"/>
        </w:rPr>
        <w:t>进行评价，评价核心为专项资金的支出完成情况和效果。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</w:rPr>
      </w:pPr>
      <w:r>
        <w:rPr>
          <w:rFonts w:hint="eastAsia" w:ascii="仿宋_GB2312" w:eastAsia="仿宋_GB2312"/>
          <w:b w:val="0"/>
          <w:bCs w:val="0"/>
        </w:rPr>
        <w:t>（二）绩效评价原则、评价指标体系</w:t>
      </w:r>
      <w:r>
        <w:rPr>
          <w:rFonts w:hint="eastAsia" w:ascii="仿宋_GB2312" w:eastAsia="仿宋_GB2312"/>
          <w:b w:val="0"/>
          <w:bCs w:val="0"/>
          <w:lang w:eastAsia="zh-CN"/>
        </w:rPr>
        <w:t>（附表说明）</w:t>
      </w:r>
      <w:r>
        <w:rPr>
          <w:rFonts w:hint="eastAsia" w:ascii="仿宋_GB2312" w:eastAsia="仿宋_GB2312"/>
          <w:b w:val="0"/>
          <w:bCs w:val="0"/>
        </w:rPr>
        <w:t>、评价方法、评价标准等。</w:t>
      </w:r>
      <w:bookmarkEnd w:id="5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绩效评价原则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/>
          <w:bCs/>
          <w:color w:val="FF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本次项目绩效评价遵循以下基本原则：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（一）科学公正。</w:t>
      </w:r>
      <w:r>
        <w:rPr>
          <w:rFonts w:hint="default" w:eastAsia="仿宋_GB2312"/>
          <w:color w:val="000000"/>
          <w:sz w:val="32"/>
          <w:szCs w:val="32"/>
          <w:lang w:val="en-US" w:eastAsia="zh-CN"/>
        </w:rPr>
        <w:t>2023年自治区农业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生产发展资金（农业防灾减灾）</w:t>
      </w:r>
      <w:r>
        <w:rPr>
          <w:rFonts w:hint="eastAsia" w:eastAsia="仿宋_GB2312"/>
          <w:color w:val="000000"/>
          <w:sz w:val="32"/>
          <w:szCs w:val="32"/>
        </w:rPr>
        <w:t>项目支出绩效评价运用</w:t>
      </w:r>
      <w:r>
        <w:rPr>
          <w:rFonts w:hint="eastAsia"/>
          <w:color w:val="000000"/>
          <w:sz w:val="32"/>
          <w:szCs w:val="32"/>
          <w:lang w:eastAsia="zh-CN"/>
        </w:rPr>
        <w:t>了</w:t>
      </w:r>
      <w:r>
        <w:rPr>
          <w:rFonts w:hint="eastAsia" w:eastAsia="仿宋_GB2312"/>
          <w:color w:val="000000"/>
          <w:sz w:val="32"/>
          <w:szCs w:val="32"/>
        </w:rPr>
        <w:t>科学合理的方法，按照</w:t>
      </w:r>
      <w:r>
        <w:rPr>
          <w:rFonts w:hint="eastAsia"/>
          <w:color w:val="000000"/>
          <w:sz w:val="32"/>
          <w:szCs w:val="32"/>
          <w:lang w:eastAsia="zh-CN"/>
        </w:rPr>
        <w:t>巴州农业技术推广中心有关资金支出</w:t>
      </w:r>
      <w:r>
        <w:rPr>
          <w:rFonts w:hint="eastAsia" w:eastAsia="仿宋_GB2312"/>
          <w:color w:val="000000"/>
          <w:sz w:val="32"/>
          <w:szCs w:val="32"/>
        </w:rPr>
        <w:t>规范的程序，对项目绩效进行客观、公正的反映。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（二）统筹兼顾。本次项目支出绩效评价由本单位自主实施，</w:t>
      </w:r>
      <w:r>
        <w:rPr>
          <w:rFonts w:hint="eastAsia"/>
          <w:color w:val="000000"/>
          <w:sz w:val="32"/>
          <w:szCs w:val="32"/>
          <w:lang w:eastAsia="zh-CN"/>
        </w:rPr>
        <w:t>实行项目负责人责任制，</w:t>
      </w:r>
      <w:r>
        <w:rPr>
          <w:rFonts w:hint="eastAsia" w:eastAsia="仿宋_GB2312"/>
          <w:color w:val="000000"/>
          <w:sz w:val="32"/>
          <w:szCs w:val="32"/>
        </w:rPr>
        <w:t>即“谁支出、谁自评”</w:t>
      </w:r>
      <w:r>
        <w:rPr>
          <w:rFonts w:hint="eastAsia"/>
          <w:color w:val="000000"/>
          <w:sz w:val="32"/>
          <w:szCs w:val="32"/>
          <w:lang w:eastAsia="zh-CN"/>
        </w:rPr>
        <w:t>，确保对项目实行闭环管理</w:t>
      </w:r>
      <w:r>
        <w:rPr>
          <w:rFonts w:hint="eastAsia" w:eastAsia="仿宋_GB2312"/>
          <w:color w:val="000000"/>
          <w:sz w:val="32"/>
          <w:szCs w:val="32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/>
          <w:bCs/>
          <w:color w:val="FF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（三）激励约束。本次项目支出绩效评价结果与</w:t>
      </w:r>
      <w:r>
        <w:rPr>
          <w:rFonts w:hint="default" w:eastAsia="仿宋_GB2312"/>
          <w:color w:val="000000"/>
          <w:sz w:val="32"/>
          <w:szCs w:val="32"/>
          <w:lang w:val="en-US" w:eastAsia="zh-CN"/>
        </w:rPr>
        <w:t>2023年自治区农业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生产发展资金（农业防灾减灾）</w:t>
      </w:r>
      <w:r>
        <w:rPr>
          <w:rFonts w:hint="eastAsia"/>
          <w:color w:val="000000"/>
          <w:sz w:val="32"/>
          <w:szCs w:val="32"/>
          <w:lang w:val="en-US" w:eastAsia="zh-CN"/>
        </w:rPr>
        <w:t>项目年初预算安排、单位工作计划挂钩，有效要安排、低效要调整，无效要问责</w:t>
      </w:r>
      <w:r>
        <w:rPr>
          <w:rFonts w:hint="eastAsia" w:eastAsia="仿宋_GB2312"/>
          <w:color w:val="000000"/>
          <w:sz w:val="32"/>
          <w:szCs w:val="32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</w:pPr>
      <w:r>
        <w:rPr>
          <w:rFonts w:hint="eastAsia" w:eastAsia="仿宋_GB2312"/>
          <w:color w:val="000000"/>
          <w:sz w:val="32"/>
          <w:szCs w:val="32"/>
        </w:rPr>
        <w:t>（四）公开透明。本次项目支出绩效评价结果已依法依规在</w:t>
      </w:r>
      <w:r>
        <w:rPr>
          <w:rFonts w:hint="eastAsia"/>
          <w:color w:val="000000"/>
          <w:sz w:val="32"/>
          <w:szCs w:val="32"/>
          <w:lang w:val="en-US" w:eastAsia="zh-CN"/>
        </w:rPr>
        <w:t>巴州人民政府网</w:t>
      </w:r>
      <w:r>
        <w:rPr>
          <w:rFonts w:hint="eastAsia" w:eastAsia="仿宋_GB2312"/>
          <w:color w:val="000000"/>
          <w:sz w:val="32"/>
          <w:szCs w:val="32"/>
        </w:rPr>
        <w:t>上公开，并自觉接受社会监督。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2、评价指标体系（附表说明）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（1）确定评价指标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（2）确定权重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eastAsia" w:eastAsia="仿宋_GB2312"/>
          <w:color w:val="0000FF"/>
          <w:spacing w:val="17"/>
          <w:sz w:val="32"/>
          <w:szCs w:val="32"/>
          <w:lang w:eastAsia="zh-CN"/>
        </w:rPr>
      </w:pPr>
      <w:r>
        <w:rPr>
          <w:rFonts w:eastAsia="仿宋_GB2312"/>
          <w:color w:val="000000"/>
          <w:spacing w:val="17"/>
          <w:sz w:val="32"/>
          <w:szCs w:val="32"/>
        </w:rPr>
        <w:t>确定各个指标相对于项目总体绩效的权重分值。在绩效评价指标体系中，项目决策权重为20分，项目过程权</w:t>
      </w:r>
      <w:r>
        <w:rPr>
          <w:rFonts w:eastAsia="仿宋_GB2312"/>
          <w:color w:val="000000"/>
          <w:spacing w:val="0"/>
          <w:sz w:val="32"/>
          <w:szCs w:val="32"/>
        </w:rPr>
        <w:t>重为20分，项目产出权重为40分，项目效益权重为20分。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（3）确定指标标准值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textAlignment w:val="auto"/>
        <w:rPr>
          <w:rFonts w:hint="default"/>
          <w:b w:val="0"/>
          <w:bCs w:val="0"/>
          <w:color w:val="FF0000"/>
          <w:spacing w:val="17"/>
          <w:lang w:val="en-US" w:eastAsia="zh-CN"/>
        </w:rPr>
      </w:pPr>
      <w:r>
        <w:rPr>
          <w:rFonts w:ascii="Times New Roman" w:hAnsi="Times New Roman" w:eastAsia="仿宋_GB2312"/>
          <w:b w:val="0"/>
          <w:bCs w:val="0"/>
          <w:color w:val="000000"/>
          <w:spacing w:val="17"/>
          <w:kern w:val="2"/>
        </w:rPr>
        <w:t>绩效评价总分值100分，根据综合评分结果，评价计分90分-100分（含90分）对应的评分结果级别为优，80-90分（含80分）对应的评分结果级别为良，60-80分（含60分）</w:t>
      </w:r>
      <w:r>
        <w:rPr>
          <w:rFonts w:ascii="Times New Roman" w:hAnsi="Times New Roman" w:eastAsia="仿宋_GB2312"/>
          <w:b w:val="0"/>
          <w:bCs w:val="0"/>
          <w:color w:val="000000"/>
          <w:spacing w:val="0"/>
          <w:kern w:val="2"/>
          <w:sz w:val="30"/>
        </w:rPr>
        <w:t>对应的评分结果级别为中，60分以下对应的评分结果级别为差。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3、评价方法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绩效评价从项目决策、项目过程、项目产出、项目效益四个维度进行评价。评价对象为项目目标实施情况，  评价核心为资金的支出完成情况和项目的产出效益。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08" w:firstLineChars="200"/>
        <w:textAlignment w:val="auto"/>
        <w:rPr>
          <w:rFonts w:hint="eastAsia" w:ascii="Times New Roman" w:hAnsi="Times New Roman" w:eastAsia="仿宋_GB2312"/>
          <w:b w:val="0"/>
          <w:bCs w:val="0"/>
          <w:color w:val="000000"/>
          <w:spacing w:val="17"/>
          <w:kern w:val="2"/>
        </w:rPr>
      </w:pPr>
      <w:r>
        <w:rPr>
          <w:rFonts w:eastAsia="仿宋_GB2312"/>
          <w:color w:val="000000"/>
          <w:spacing w:val="17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textAlignment w:val="auto"/>
        <w:rPr>
          <w:rFonts w:hint="eastAsia" w:ascii="Times New Roman" w:hAnsi="Times New Roman" w:eastAsia="仿宋_GB2312"/>
          <w:b w:val="0"/>
          <w:bCs w:val="0"/>
          <w:color w:val="000000"/>
          <w:spacing w:val="17"/>
          <w:kern w:val="2"/>
        </w:rPr>
      </w:pPr>
      <w:r>
        <w:rPr>
          <w:rFonts w:hint="eastAsia" w:ascii="Times New Roman" w:hAnsi="Times New Roman" w:eastAsia="仿宋_GB2312"/>
          <w:b w:val="0"/>
          <w:bCs w:val="0"/>
          <w:color w:val="000000"/>
          <w:spacing w:val="17"/>
          <w:kern w:val="2"/>
        </w:rPr>
        <w:t>（</w:t>
      </w:r>
      <w:r>
        <w:rPr>
          <w:rFonts w:hint="eastAsia"/>
          <w:b w:val="0"/>
          <w:bCs w:val="0"/>
          <w:color w:val="000000"/>
          <w:spacing w:val="17"/>
          <w:kern w:val="2"/>
          <w:lang w:eastAsia="zh-CN"/>
        </w:rPr>
        <w:t>一</w:t>
      </w:r>
      <w:r>
        <w:rPr>
          <w:rFonts w:hint="eastAsia" w:ascii="Times New Roman" w:hAnsi="Times New Roman" w:eastAsia="仿宋_GB2312"/>
          <w:b w:val="0"/>
          <w:bCs w:val="0"/>
          <w:color w:val="000000"/>
          <w:spacing w:val="17"/>
          <w:kern w:val="2"/>
        </w:rPr>
        <w:t>）最低成本法。</w:t>
      </w:r>
      <w:r>
        <w:rPr>
          <w:rFonts w:hint="eastAsia"/>
          <w:b w:val="0"/>
          <w:bCs w:val="0"/>
          <w:color w:val="000000"/>
          <w:spacing w:val="17"/>
          <w:kern w:val="2"/>
          <w:lang w:eastAsia="zh-CN"/>
        </w:rPr>
        <w:t>项目</w:t>
      </w:r>
      <w:r>
        <w:rPr>
          <w:rFonts w:hint="eastAsia" w:ascii="Times New Roman" w:hAnsi="Times New Roman" w:eastAsia="仿宋_GB2312"/>
          <w:b w:val="0"/>
          <w:bCs w:val="0"/>
          <w:color w:val="000000"/>
          <w:spacing w:val="17"/>
          <w:kern w:val="2"/>
        </w:rPr>
        <w:t>在绩效目标确定的前提下，</w:t>
      </w:r>
      <w:r>
        <w:rPr>
          <w:rFonts w:hint="eastAsia"/>
          <w:b w:val="0"/>
          <w:bCs w:val="0"/>
          <w:color w:val="000000"/>
          <w:spacing w:val="17"/>
          <w:kern w:val="2"/>
          <w:lang w:eastAsia="zh-CN"/>
        </w:rPr>
        <w:t>通过招投标的方式，确定了</w:t>
      </w:r>
      <w:r>
        <w:rPr>
          <w:rFonts w:hint="eastAsia" w:ascii="Times New Roman" w:hAnsi="Times New Roman" w:eastAsia="仿宋_GB2312"/>
          <w:b w:val="0"/>
          <w:bCs w:val="0"/>
          <w:color w:val="000000"/>
          <w:spacing w:val="17"/>
          <w:kern w:val="2"/>
        </w:rPr>
        <w:t>成本最小者为优。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8" w:firstLineChars="200"/>
        <w:textAlignment w:val="auto"/>
      </w:pPr>
      <w:r>
        <w:rPr>
          <w:rFonts w:hint="eastAsia" w:ascii="Times New Roman" w:hAnsi="Times New Roman" w:eastAsia="仿宋_GB2312"/>
          <w:b w:val="0"/>
          <w:bCs w:val="0"/>
          <w:color w:val="000000"/>
          <w:spacing w:val="17"/>
          <w:kern w:val="2"/>
        </w:rPr>
        <w:t>（</w:t>
      </w:r>
      <w:r>
        <w:rPr>
          <w:rFonts w:hint="eastAsia"/>
          <w:b w:val="0"/>
          <w:bCs w:val="0"/>
          <w:color w:val="000000"/>
          <w:spacing w:val="17"/>
          <w:kern w:val="2"/>
          <w:lang w:eastAsia="zh-CN"/>
        </w:rPr>
        <w:t>二</w:t>
      </w:r>
      <w:r>
        <w:rPr>
          <w:rFonts w:hint="eastAsia" w:ascii="Times New Roman" w:hAnsi="Times New Roman" w:eastAsia="仿宋_GB2312"/>
          <w:b w:val="0"/>
          <w:bCs w:val="0"/>
          <w:color w:val="000000"/>
          <w:spacing w:val="17"/>
          <w:kern w:val="2"/>
        </w:rPr>
        <w:t>）公众评判法。</w:t>
      </w:r>
      <w:r>
        <w:rPr>
          <w:rFonts w:hint="eastAsia"/>
          <w:b w:val="0"/>
          <w:bCs w:val="0"/>
          <w:color w:val="000000"/>
          <w:spacing w:val="17"/>
          <w:kern w:val="2"/>
          <w:lang w:eastAsia="zh-CN"/>
        </w:rPr>
        <w:t>通过开展受灾农民满意度调查</w:t>
      </w:r>
      <w:r>
        <w:rPr>
          <w:rFonts w:hint="eastAsia" w:ascii="Times New Roman" w:hAnsi="Times New Roman" w:eastAsia="仿宋_GB2312"/>
          <w:b w:val="0"/>
          <w:bCs w:val="0"/>
          <w:color w:val="000000"/>
          <w:spacing w:val="17"/>
          <w:kern w:val="2"/>
        </w:rPr>
        <w:t>问卷方式进行评判的</w:t>
      </w:r>
      <w:r>
        <w:rPr>
          <w:rFonts w:ascii="Times New Roman" w:hAnsi="Times New Roman" w:eastAsia="仿宋_GB2312"/>
          <w:b w:val="0"/>
          <w:bCs w:val="0"/>
          <w:color w:val="000000"/>
          <w:spacing w:val="17"/>
          <w:kern w:val="2"/>
        </w:rPr>
        <w:t>方法</w:t>
      </w:r>
      <w:r>
        <w:rPr>
          <w:rFonts w:hint="eastAsia" w:ascii="Times New Roman" w:hAnsi="Times New Roman" w:eastAsia="仿宋_GB2312"/>
          <w:b w:val="0"/>
          <w:bCs w:val="0"/>
          <w:color w:val="000000"/>
          <w:spacing w:val="17"/>
          <w:kern w:val="2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评价标准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bCs/>
          <w:color w:val="FF0000"/>
          <w:sz w:val="32"/>
          <w:szCs w:val="32"/>
        </w:rPr>
      </w:pPr>
      <w:bookmarkStart w:id="6" w:name="_Toc31464"/>
      <w:bookmarkStart w:id="7" w:name="_Toc17882"/>
      <w:bookmarkStart w:id="8" w:name="_Toc68703833"/>
      <w:r>
        <w:rPr>
          <w:rFonts w:hint="eastAsia" w:eastAsia="仿宋_GB2312"/>
          <w:color w:val="000000"/>
          <w:spacing w:val="0"/>
          <w:sz w:val="32"/>
          <w:szCs w:val="32"/>
        </w:rPr>
        <w:t>绩效评价标准通常包括计划标准、行业标准、历史标准等，用于对绩效指标完成情况进行比较、分析、评价。</w:t>
      </w:r>
      <w:r>
        <w:rPr>
          <w:rFonts w:hint="eastAsia" w:eastAsia="仿宋_GB2312"/>
          <w:color w:val="000000"/>
          <w:spacing w:val="0"/>
          <w:sz w:val="32"/>
          <w:szCs w:val="32"/>
          <w:lang w:val="en-US" w:eastAsia="zh-CN"/>
        </w:rPr>
        <w:t>本项目支出绩效自评</w:t>
      </w:r>
      <w:r>
        <w:rPr>
          <w:rFonts w:hint="eastAsia"/>
          <w:color w:val="000000"/>
          <w:spacing w:val="0"/>
          <w:sz w:val="32"/>
          <w:szCs w:val="32"/>
          <w:lang w:val="en-US" w:eastAsia="zh-CN"/>
        </w:rPr>
        <w:t>主要</w:t>
      </w:r>
      <w:r>
        <w:rPr>
          <w:rFonts w:hint="eastAsia" w:eastAsia="仿宋_GB2312"/>
          <w:color w:val="000000"/>
          <w:spacing w:val="0"/>
          <w:sz w:val="32"/>
          <w:szCs w:val="32"/>
          <w:lang w:val="en-US" w:eastAsia="zh-CN"/>
        </w:rPr>
        <w:t>采用</w:t>
      </w:r>
      <w:r>
        <w:rPr>
          <w:rFonts w:hint="eastAsia"/>
          <w:color w:val="000000"/>
          <w:spacing w:val="0"/>
          <w:sz w:val="32"/>
          <w:szCs w:val="32"/>
          <w:lang w:val="en-US" w:eastAsia="zh-CN"/>
        </w:rPr>
        <w:t>了</w:t>
      </w:r>
      <w:r>
        <w:rPr>
          <w:rFonts w:hint="default" w:eastAsia="仿宋_GB2312"/>
          <w:color w:val="000000"/>
          <w:spacing w:val="0"/>
          <w:sz w:val="32"/>
          <w:szCs w:val="32"/>
          <w:lang w:val="en-US" w:eastAsia="zh-CN"/>
        </w:rPr>
        <w:t>计划标准</w:t>
      </w:r>
      <w:r>
        <w:rPr>
          <w:rFonts w:hint="eastAsia" w:eastAsia="仿宋_GB2312"/>
          <w:color w:val="000000"/>
          <w:spacing w:val="0"/>
          <w:sz w:val="32"/>
          <w:szCs w:val="32"/>
          <w:lang w:val="en-US" w:eastAsia="zh-CN"/>
        </w:rPr>
        <w:t>，结合2023年自治区农业生产发展资金（农业防灾减灾）项目要求，</w:t>
      </w:r>
      <w:bookmarkEnd w:id="6"/>
      <w:bookmarkEnd w:id="7"/>
      <w:r>
        <w:rPr>
          <w:rFonts w:hint="eastAsia" w:eastAsia="仿宋_GB2312"/>
          <w:color w:val="000000"/>
          <w:spacing w:val="0"/>
          <w:sz w:val="32"/>
          <w:szCs w:val="32"/>
        </w:rPr>
        <w:t>预先制定的</w:t>
      </w:r>
      <w:r>
        <w:rPr>
          <w:rFonts w:hint="eastAsia" w:eastAsia="仿宋_GB2312"/>
          <w:color w:val="000000"/>
          <w:spacing w:val="0"/>
          <w:sz w:val="32"/>
          <w:szCs w:val="32"/>
          <w:lang w:eastAsia="zh-CN"/>
        </w:rPr>
        <w:t>项目</w:t>
      </w:r>
      <w:r>
        <w:rPr>
          <w:rFonts w:hint="eastAsia" w:eastAsia="仿宋_GB2312"/>
          <w:color w:val="000000"/>
          <w:spacing w:val="0"/>
          <w:sz w:val="32"/>
          <w:szCs w:val="32"/>
        </w:rPr>
        <w:t>目标、计划、预算、定额等作为评价标准</w:t>
      </w:r>
      <w:r>
        <w:rPr>
          <w:rFonts w:hint="eastAsia" w:eastAsia="仿宋_GB2312"/>
          <w:color w:val="000000"/>
          <w:spacing w:val="0"/>
          <w:sz w:val="32"/>
          <w:szCs w:val="32"/>
          <w:lang w:eastAsia="zh-CN"/>
        </w:rPr>
        <w:t>，对项目的实施效果进行评价</w:t>
      </w:r>
      <w:r>
        <w:rPr>
          <w:rFonts w:hint="eastAsia" w:eastAsia="仿宋_GB2312"/>
          <w:color w:val="000000"/>
          <w:spacing w:val="0"/>
          <w:sz w:val="32"/>
          <w:szCs w:val="32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pacing w:val="0"/>
          <w:sz w:val="31"/>
          <w:szCs w:val="31"/>
          <w:highlight w:val="none"/>
          <w:lang w:val="en-US" w:eastAsia="zh-CN"/>
        </w:rPr>
      </w:pPr>
      <w:r>
        <w:rPr>
          <w:rFonts w:hint="eastAsia" w:eastAsia="仿宋_GB2312"/>
          <w:color w:val="000000"/>
          <w:spacing w:val="0"/>
          <w:sz w:val="32"/>
          <w:szCs w:val="32"/>
          <w:lang w:val="en-US" w:eastAsia="zh-CN"/>
        </w:rPr>
        <w:t>对项目实施情况进行评价，符合实际。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</w:rPr>
      </w:pPr>
      <w:r>
        <w:rPr>
          <w:rFonts w:hint="eastAsia" w:ascii="仿宋_GB2312" w:eastAsia="仿宋_GB2312"/>
          <w:b w:val="0"/>
          <w:bCs w:val="0"/>
        </w:rPr>
        <w:t>（三）绩效评价工作过程。</w:t>
      </w:r>
      <w:bookmarkEnd w:id="8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color w:val="000000"/>
          <w:spacing w:val="0"/>
          <w:sz w:val="32"/>
          <w:szCs w:val="32"/>
          <w:lang w:val="en-US" w:eastAsia="zh-CN"/>
        </w:rPr>
      </w:pPr>
      <w:bookmarkStart w:id="9" w:name="_Toc68703834"/>
      <w:r>
        <w:rPr>
          <w:rFonts w:hint="eastAsia" w:eastAsia="仿宋_GB2312"/>
          <w:color w:val="000000"/>
          <w:spacing w:val="0"/>
          <w:sz w:val="32"/>
          <w:szCs w:val="32"/>
          <w:lang w:val="en-US" w:eastAsia="zh-CN"/>
        </w:rPr>
        <w:t>1.前期准备。首先</w:t>
      </w:r>
      <w:r>
        <w:rPr>
          <w:rFonts w:hint="eastAsia"/>
          <w:color w:val="000000"/>
          <w:spacing w:val="0"/>
          <w:sz w:val="32"/>
          <w:szCs w:val="32"/>
          <w:lang w:val="en-US" w:eastAsia="zh-CN"/>
        </w:rPr>
        <w:t>根据</w:t>
      </w:r>
      <w:r>
        <w:rPr>
          <w:rFonts w:hint="eastAsia" w:eastAsia="仿宋_GB2312"/>
          <w:color w:val="000000"/>
          <w:spacing w:val="0"/>
          <w:sz w:val="32"/>
          <w:szCs w:val="32"/>
          <w:lang w:val="en-US" w:eastAsia="zh-CN"/>
        </w:rPr>
        <w:t>2023年自治区农业生产发展资金（农业防灾减灾）</w:t>
      </w:r>
      <w:r>
        <w:rPr>
          <w:rFonts w:hint="eastAsia"/>
          <w:color w:val="000000"/>
          <w:spacing w:val="0"/>
          <w:sz w:val="32"/>
          <w:szCs w:val="32"/>
          <w:lang w:val="en-US" w:eastAsia="zh-CN"/>
        </w:rPr>
        <w:t>项目实际，巴州农业技术推广中心及时</w:t>
      </w:r>
      <w:r>
        <w:rPr>
          <w:rFonts w:hint="eastAsia" w:eastAsia="仿宋_GB2312"/>
          <w:color w:val="000000"/>
          <w:spacing w:val="0"/>
          <w:sz w:val="32"/>
          <w:szCs w:val="32"/>
          <w:lang w:val="en-US" w:eastAsia="zh-CN"/>
        </w:rPr>
        <w:t>成立</w:t>
      </w:r>
      <w:r>
        <w:rPr>
          <w:rFonts w:hint="eastAsia"/>
          <w:color w:val="000000"/>
          <w:spacing w:val="0"/>
          <w:sz w:val="32"/>
          <w:szCs w:val="32"/>
          <w:lang w:val="en-US" w:eastAsia="zh-CN"/>
        </w:rPr>
        <w:t>采购小组</w:t>
      </w:r>
      <w:r>
        <w:rPr>
          <w:rFonts w:hint="eastAsia" w:eastAsia="仿宋_GB2312"/>
          <w:color w:val="000000"/>
          <w:spacing w:val="0"/>
          <w:sz w:val="32"/>
          <w:szCs w:val="32"/>
          <w:lang w:val="en-US" w:eastAsia="zh-CN"/>
        </w:rPr>
        <w:t>组，开展</w:t>
      </w:r>
      <w:r>
        <w:rPr>
          <w:rFonts w:hint="eastAsia"/>
          <w:color w:val="000000"/>
          <w:spacing w:val="0"/>
          <w:sz w:val="32"/>
          <w:szCs w:val="32"/>
          <w:lang w:val="en-US" w:eastAsia="zh-CN"/>
        </w:rPr>
        <w:t>项目采购物资的</w:t>
      </w:r>
      <w:r>
        <w:rPr>
          <w:rFonts w:hint="eastAsia" w:eastAsia="仿宋_GB2312"/>
          <w:color w:val="000000"/>
          <w:spacing w:val="0"/>
          <w:sz w:val="32"/>
          <w:szCs w:val="32"/>
          <w:lang w:val="en-US" w:eastAsia="zh-CN"/>
        </w:rPr>
        <w:t>前期调研；其次明确项目绩效目标，设计绩效评价指标体系并确定绩效评价方法；接着确定</w:t>
      </w:r>
      <w:r>
        <w:rPr>
          <w:rFonts w:hint="eastAsia"/>
          <w:color w:val="000000"/>
          <w:spacing w:val="0"/>
          <w:sz w:val="32"/>
          <w:szCs w:val="32"/>
          <w:lang w:val="en-US" w:eastAsia="zh-CN"/>
        </w:rPr>
        <w:t>需要采购的物资明细，</w:t>
      </w:r>
      <w:r>
        <w:rPr>
          <w:rFonts w:hint="eastAsia" w:eastAsia="仿宋_GB2312"/>
          <w:color w:val="000000"/>
          <w:spacing w:val="0"/>
          <w:sz w:val="32"/>
          <w:szCs w:val="32"/>
          <w:lang w:val="en-US" w:eastAsia="zh-CN"/>
        </w:rPr>
        <w:t>设计资料清单；最后制定评价实施方案并进行论证。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eastAsia="仿宋_GB2312"/>
          <w:color w:val="000000"/>
          <w:spacing w:val="0"/>
          <w:sz w:val="32"/>
          <w:szCs w:val="32"/>
          <w:lang w:val="en-US" w:eastAsia="zh-CN"/>
        </w:rPr>
        <w:t>2.组织实施。</w:t>
      </w:r>
      <w:r>
        <w:rPr>
          <w:rFonts w:hint="eastAsia"/>
          <w:color w:val="000000"/>
          <w:spacing w:val="0"/>
          <w:sz w:val="32"/>
          <w:szCs w:val="32"/>
          <w:lang w:val="en-US" w:eastAsia="zh-CN"/>
        </w:rPr>
        <w:t>巴州农业技术推广中心</w:t>
      </w:r>
      <w:r>
        <w:rPr>
          <w:rFonts w:hint="eastAsia" w:eastAsia="仿宋_GB2312"/>
          <w:color w:val="000000"/>
          <w:spacing w:val="0"/>
          <w:sz w:val="32"/>
          <w:szCs w:val="32"/>
          <w:lang w:val="en-US" w:eastAsia="zh-CN"/>
        </w:rPr>
        <w:t>制定</w:t>
      </w:r>
      <w:r>
        <w:rPr>
          <w:rFonts w:hint="eastAsia"/>
          <w:color w:val="000000"/>
          <w:spacing w:val="0"/>
          <w:sz w:val="32"/>
          <w:szCs w:val="32"/>
          <w:lang w:val="en-US" w:eastAsia="zh-CN"/>
        </w:rPr>
        <w:t>项目</w:t>
      </w:r>
      <w:r>
        <w:rPr>
          <w:rFonts w:hint="eastAsia" w:eastAsia="仿宋_GB2312"/>
          <w:color w:val="000000"/>
          <w:spacing w:val="0"/>
          <w:sz w:val="32"/>
          <w:szCs w:val="32"/>
          <w:lang w:val="en-US" w:eastAsia="zh-CN"/>
        </w:rPr>
        <w:t>绩效评价工作方案，具体包括项目概况、评价思路、方法手段、组织实施、进度安排等。</w:t>
      </w:r>
      <w:r>
        <w:rPr>
          <w:rFonts w:hint="eastAsia"/>
          <w:color w:val="000000"/>
          <w:spacing w:val="0"/>
          <w:sz w:val="32"/>
          <w:szCs w:val="32"/>
          <w:lang w:val="en-US" w:eastAsia="zh-CN"/>
        </w:rPr>
        <w:t>要求采购小组</w:t>
      </w:r>
      <w:r>
        <w:rPr>
          <w:rFonts w:hint="eastAsia" w:eastAsia="仿宋_GB2312"/>
          <w:color w:val="000000"/>
          <w:spacing w:val="0"/>
          <w:sz w:val="32"/>
          <w:szCs w:val="32"/>
          <w:lang w:val="en-US" w:eastAsia="zh-CN"/>
        </w:rPr>
        <w:t>收集项目立项依据、</w:t>
      </w:r>
      <w:r>
        <w:rPr>
          <w:rFonts w:hint="eastAsia"/>
          <w:color w:val="000000"/>
          <w:spacing w:val="0"/>
          <w:sz w:val="32"/>
          <w:szCs w:val="32"/>
          <w:lang w:val="en-US" w:eastAsia="zh-CN"/>
        </w:rPr>
        <w:t>做好关于</w:t>
      </w:r>
      <w:r>
        <w:rPr>
          <w:rFonts w:hint="eastAsia" w:eastAsia="仿宋_GB2312"/>
          <w:color w:val="000000"/>
          <w:spacing w:val="0"/>
          <w:sz w:val="32"/>
          <w:szCs w:val="32"/>
          <w:lang w:val="en-US" w:eastAsia="zh-CN"/>
        </w:rPr>
        <w:t>2023年自治区农业生产发展资金（农业防灾减灾）</w:t>
      </w:r>
      <w:r>
        <w:rPr>
          <w:rFonts w:hint="eastAsia"/>
          <w:color w:val="000000"/>
          <w:spacing w:val="0"/>
          <w:sz w:val="32"/>
          <w:szCs w:val="32"/>
          <w:lang w:val="en-US" w:eastAsia="zh-CN"/>
        </w:rPr>
        <w:t>的相关</w:t>
      </w:r>
      <w:r>
        <w:rPr>
          <w:rFonts w:hint="eastAsia" w:eastAsia="仿宋_GB2312"/>
          <w:color w:val="000000"/>
          <w:spacing w:val="0"/>
          <w:sz w:val="32"/>
          <w:szCs w:val="32"/>
          <w:lang w:val="en-US" w:eastAsia="zh-CN"/>
        </w:rPr>
        <w:t>会议纪要、实施方案、财政资金分配方案、支付管理情况等相关评价资料并进行梳理。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eastAsia="仿宋_GB2312"/>
          <w:color w:val="000000"/>
          <w:spacing w:val="0"/>
          <w:sz w:val="32"/>
          <w:szCs w:val="32"/>
          <w:lang w:val="en-US" w:eastAsia="zh-CN"/>
        </w:rPr>
        <w:t>3.分析评价。根据收集梳理的</w:t>
      </w:r>
      <w:r>
        <w:rPr>
          <w:rFonts w:hint="eastAsia"/>
          <w:color w:val="000000"/>
          <w:spacing w:val="0"/>
          <w:sz w:val="32"/>
          <w:szCs w:val="32"/>
          <w:lang w:val="en-US" w:eastAsia="zh-CN"/>
        </w:rPr>
        <w:t>需采购物资具体情况</w:t>
      </w:r>
      <w:r>
        <w:rPr>
          <w:rFonts w:hint="eastAsia" w:eastAsia="仿宋_GB2312"/>
          <w:color w:val="000000"/>
          <w:spacing w:val="0"/>
          <w:sz w:val="32"/>
          <w:szCs w:val="32"/>
          <w:lang w:val="en-US" w:eastAsia="zh-CN"/>
        </w:rPr>
        <w:t>围绕项目立项、资金落实、业务管理、财务管理、项目产出、项目效益等内容，对照已确定的绩效评价指标进行详细全面的分析评价，逐项打分并形成绩效评价最终结果。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三、综合评价情况及评价结论</w:t>
      </w:r>
      <w:bookmarkEnd w:id="9"/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lang w:eastAsia="zh-CN"/>
        </w:rPr>
      </w:pPr>
      <w:bookmarkStart w:id="10" w:name="_Toc68703835"/>
      <w:r>
        <w:rPr>
          <w:rFonts w:hint="eastAsia" w:ascii="仿宋_GB2312" w:eastAsia="仿宋_GB2312"/>
          <w:b w:val="0"/>
          <w:bCs w:val="0"/>
        </w:rPr>
        <w:t>（一）综合评价情况</w:t>
      </w:r>
      <w:bookmarkEnd w:id="10"/>
      <w:r>
        <w:rPr>
          <w:rFonts w:hint="eastAsia" w:ascii="仿宋_GB2312" w:eastAsia="仿宋_GB2312"/>
          <w:b w:val="0"/>
          <w:bCs w:val="0"/>
          <w:lang w:eastAsia="zh-CN"/>
        </w:rPr>
        <w:t>及评价结论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eastAsia" w:ascii="仿宋_GB2312"/>
          <w:b w:val="0"/>
          <w:bCs w:val="0"/>
          <w:lang w:val="en-US" w:eastAsia="zh-CN"/>
        </w:rPr>
        <w:t>1.</w:t>
      </w:r>
      <w:r>
        <w:rPr>
          <w:rFonts w:hint="eastAsia" w:ascii="仿宋_GB2312" w:eastAsia="仿宋_GB2312"/>
          <w:b w:val="0"/>
          <w:bCs w:val="0"/>
        </w:rPr>
        <w:t>综合评价情况</w:t>
      </w:r>
      <w:r>
        <w:rPr>
          <w:rFonts w:hint="eastAsia" w:ascii="仿宋_GB2312"/>
          <w:b w:val="0"/>
          <w:bCs w:val="0"/>
          <w:lang w:eastAsia="zh-CN"/>
        </w:rPr>
        <w:t>：</w:t>
      </w: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/>
          <w:b w:val="0"/>
          <w:bCs w:val="0"/>
        </w:rPr>
        <w:t>本项目严格按照科学公正、统筹兼顾、激励约束、公开透明的绩</w:t>
      </w: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效评价原则，采用最低成本法</w:t>
      </w:r>
      <w:r>
        <w:rPr>
          <w:rFonts w:hint="eastAsia" w:cs="Times New Roman"/>
          <w:b w:val="0"/>
          <w:bCs w:val="0"/>
          <w:kern w:val="28"/>
          <w:sz w:val="32"/>
          <w:szCs w:val="32"/>
          <w:lang w:val="en-US" w:eastAsia="zh-CN" w:bidi="ar-SA"/>
        </w:rPr>
        <w:t>和</w:t>
      </w: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公众评价法，</w:t>
      </w:r>
      <w:r>
        <w:rPr>
          <w:rFonts w:hint="eastAsia" w:ascii="仿宋_GB2312" w:eastAsia="仿宋_GB2312"/>
          <w:b w:val="0"/>
          <w:bCs w:val="0"/>
        </w:rPr>
        <w:t>坚持</w:t>
      </w:r>
      <w:r>
        <w:rPr>
          <w:rFonts w:hint="eastAsia" w:eastAsia="仿宋_GB2312"/>
          <w:color w:val="000000"/>
          <w:spacing w:val="0"/>
          <w:sz w:val="32"/>
          <w:szCs w:val="32"/>
        </w:rPr>
        <w:t>计划标准、行业标准、历史标准等</w:t>
      </w:r>
      <w:r>
        <w:rPr>
          <w:rFonts w:hint="eastAsia" w:ascii="仿宋_GB2312" w:eastAsia="仿宋_GB2312"/>
          <w:b w:val="0"/>
          <w:bCs w:val="0"/>
        </w:rPr>
        <w:t>对本项目的立项、绩效目标、资金投入、资金管理、组织实施、产出数量、产出质量、产出时效、产出成本、项目效益进行了综合评价。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</w:rPr>
      </w:pPr>
      <w:bookmarkStart w:id="11" w:name="_Toc68703836"/>
      <w:r>
        <w:rPr>
          <w:rFonts w:hint="eastAsia" w:ascii="仿宋_GB2312" w:eastAsia="仿宋_GB2312"/>
          <w:b w:val="0"/>
          <w:bCs w:val="0"/>
          <w:lang w:val="en-US" w:eastAsia="zh-CN"/>
        </w:rPr>
        <w:t>2.</w:t>
      </w:r>
      <w:r>
        <w:rPr>
          <w:rFonts w:hint="eastAsia" w:ascii="仿宋_GB2312" w:eastAsia="仿宋_GB2312"/>
          <w:b w:val="0"/>
          <w:bCs w:val="0"/>
        </w:rPr>
        <w:t>评价结论</w:t>
      </w:r>
      <w:bookmarkEnd w:id="11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/>
          <w:b w:val="0"/>
          <w:bCs w:val="0"/>
        </w:rPr>
      </w:pPr>
      <w:r>
        <w:rPr>
          <w:rFonts w:hint="eastAsia" w:ascii="Times New Roman" w:hAnsi="Times New Roman" w:eastAsia="仿宋_GB2312"/>
          <w:b w:val="0"/>
          <w:bCs w:val="0"/>
        </w:rPr>
        <w:t xml:space="preserve">运用绩效评价组制定的评价指标体系以及财政部《项目支出绩效评价管理办法》（财预〔2020〕10号）文件的评分标准，通过数据采集、问卷调查及访谈等方式，对本项目进行客观评价，最终评分结果：总得分为 </w:t>
      </w:r>
      <w:r>
        <w:rPr>
          <w:rFonts w:hint="eastAsia" w:ascii="Times New Roman" w:hAnsi="Times New Roman" w:eastAsia="仿宋_GB2312"/>
          <w:b w:val="0"/>
          <w:bCs w:val="0"/>
          <w:lang w:val="en-US" w:eastAsia="zh-CN"/>
        </w:rPr>
        <w:t>100</w:t>
      </w:r>
      <w:r>
        <w:rPr>
          <w:rFonts w:hint="eastAsia" w:ascii="Times New Roman" w:hAnsi="Times New Roman" w:eastAsia="仿宋_GB2312"/>
          <w:b w:val="0"/>
          <w:bCs w:val="0"/>
        </w:rPr>
        <w:t>分，属于“优”。其中，项目决策类指标权重为20分，得分为</w:t>
      </w:r>
      <w:r>
        <w:rPr>
          <w:rFonts w:hint="eastAsia" w:ascii="Times New Roman" w:hAnsi="Times New Roman" w:eastAsia="仿宋_GB2312"/>
          <w:b w:val="0"/>
          <w:bCs w:val="0"/>
          <w:lang w:val="en-US" w:eastAsia="zh-CN"/>
        </w:rPr>
        <w:t>20</w:t>
      </w:r>
      <w:r>
        <w:rPr>
          <w:rFonts w:hint="eastAsia" w:ascii="Times New Roman" w:hAnsi="Times New Roman" w:eastAsia="仿宋_GB2312"/>
          <w:b w:val="0"/>
          <w:bCs w:val="0"/>
        </w:rPr>
        <w:t xml:space="preserve">分，得分率为 </w:t>
      </w:r>
      <w:r>
        <w:rPr>
          <w:rFonts w:hint="eastAsia" w:ascii="Times New Roman" w:hAnsi="Times New Roman" w:eastAsia="仿宋_GB2312"/>
          <w:b w:val="0"/>
          <w:bCs w:val="0"/>
          <w:lang w:val="en-US" w:eastAsia="zh-CN"/>
        </w:rPr>
        <w:t>100</w:t>
      </w:r>
      <w:r>
        <w:rPr>
          <w:rFonts w:hint="eastAsia" w:ascii="Times New Roman" w:hAnsi="Times New Roman" w:eastAsia="仿宋_GB2312"/>
          <w:b w:val="0"/>
          <w:bCs w:val="0"/>
        </w:rPr>
        <w:t>%。项目过程类指标权重为20分，得分为</w:t>
      </w:r>
      <w:r>
        <w:rPr>
          <w:rFonts w:hint="eastAsia" w:ascii="Times New Roman" w:hAnsi="Times New Roman" w:eastAsia="仿宋_GB2312"/>
          <w:b w:val="0"/>
          <w:bCs w:val="0"/>
          <w:lang w:val="en-US" w:eastAsia="zh-CN"/>
        </w:rPr>
        <w:t>20</w:t>
      </w:r>
      <w:r>
        <w:rPr>
          <w:rFonts w:hint="eastAsia" w:ascii="Times New Roman" w:hAnsi="Times New Roman" w:eastAsia="仿宋_GB2312"/>
          <w:b w:val="0"/>
          <w:bCs w:val="0"/>
        </w:rPr>
        <w:t xml:space="preserve">分，得分率为 </w:t>
      </w:r>
      <w:r>
        <w:rPr>
          <w:rFonts w:hint="eastAsia" w:ascii="Times New Roman" w:hAnsi="Times New Roman" w:eastAsia="仿宋_GB2312"/>
          <w:b w:val="0"/>
          <w:bCs w:val="0"/>
          <w:lang w:val="en-US" w:eastAsia="zh-CN"/>
        </w:rPr>
        <w:t>100</w:t>
      </w:r>
      <w:r>
        <w:rPr>
          <w:rFonts w:hint="eastAsia" w:ascii="Times New Roman" w:hAnsi="Times New Roman" w:eastAsia="仿宋_GB2312"/>
          <w:b w:val="0"/>
          <w:bCs w:val="0"/>
        </w:rPr>
        <w:t>%。项目产出类指标权重为40分，得分为</w:t>
      </w:r>
      <w:r>
        <w:rPr>
          <w:rFonts w:hint="eastAsia" w:ascii="Times New Roman" w:hAnsi="Times New Roman" w:eastAsia="仿宋_GB2312"/>
          <w:b w:val="0"/>
          <w:bCs w:val="0"/>
          <w:lang w:val="en-US" w:eastAsia="zh-CN"/>
        </w:rPr>
        <w:t>40</w:t>
      </w:r>
      <w:r>
        <w:rPr>
          <w:rFonts w:hint="eastAsia" w:ascii="Times New Roman" w:hAnsi="Times New Roman" w:eastAsia="仿宋_GB2312"/>
          <w:b w:val="0"/>
          <w:bCs w:val="0"/>
        </w:rPr>
        <w:t>分，得分率为</w:t>
      </w:r>
      <w:r>
        <w:rPr>
          <w:rFonts w:hint="eastAsia" w:ascii="Times New Roman" w:hAnsi="Times New Roman" w:eastAsia="仿宋_GB2312"/>
          <w:b w:val="0"/>
          <w:bCs w:val="0"/>
          <w:lang w:val="en-US" w:eastAsia="zh-CN"/>
        </w:rPr>
        <w:t>100</w:t>
      </w:r>
      <w:r>
        <w:rPr>
          <w:rFonts w:hint="eastAsia" w:ascii="Times New Roman" w:hAnsi="Times New Roman" w:eastAsia="仿宋_GB2312"/>
          <w:b w:val="0"/>
          <w:bCs w:val="0"/>
        </w:rPr>
        <w:t>%。项目效益类指标权重为20分，得分为</w:t>
      </w:r>
      <w:r>
        <w:rPr>
          <w:rFonts w:hint="eastAsia" w:ascii="Times New Roman" w:hAnsi="Times New Roman" w:eastAsia="仿宋_GB2312"/>
          <w:b w:val="0"/>
          <w:bCs w:val="0"/>
          <w:lang w:val="en-US" w:eastAsia="zh-CN"/>
        </w:rPr>
        <w:t>20</w:t>
      </w:r>
      <w:r>
        <w:rPr>
          <w:rFonts w:hint="eastAsia" w:ascii="Times New Roman" w:hAnsi="Times New Roman" w:eastAsia="仿宋_GB2312"/>
          <w:b w:val="0"/>
          <w:bCs w:val="0"/>
        </w:rPr>
        <w:t>分，得分率为</w:t>
      </w:r>
      <w:r>
        <w:rPr>
          <w:rFonts w:hint="eastAsia" w:ascii="Times New Roman" w:hAnsi="Times New Roman" w:eastAsia="仿宋_GB2312"/>
          <w:b w:val="0"/>
          <w:bCs w:val="0"/>
          <w:lang w:val="en-US" w:eastAsia="zh-CN"/>
        </w:rPr>
        <w:t>100</w:t>
      </w:r>
      <w:r>
        <w:rPr>
          <w:rFonts w:hint="eastAsia" w:ascii="Times New Roman" w:hAnsi="Times New Roman" w:eastAsia="仿宋_GB2312"/>
          <w:b w:val="0"/>
          <w:bCs w:val="0"/>
        </w:rPr>
        <w:t>%。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eastAsia="仿宋_GB2312"/>
          <w:b w:val="0"/>
          <w:bCs w:val="0"/>
          <w:highlight w:val="none"/>
          <w:lang w:eastAsia="zh-CN"/>
        </w:rPr>
      </w:pPr>
      <w:r>
        <w:rPr>
          <w:rFonts w:hint="eastAsia" w:ascii="仿宋_GB2312" w:eastAsia="仿宋_GB2312"/>
          <w:b w:val="0"/>
          <w:bCs w:val="0"/>
          <w:highlight w:val="none"/>
        </w:rPr>
        <w:t>（</w:t>
      </w:r>
      <w:r>
        <w:rPr>
          <w:rFonts w:hint="eastAsia" w:ascii="仿宋_GB2312" w:eastAsia="仿宋_GB2312"/>
          <w:b w:val="0"/>
          <w:bCs w:val="0"/>
          <w:highlight w:val="none"/>
          <w:lang w:eastAsia="zh-CN"/>
        </w:rPr>
        <w:t>二</w:t>
      </w:r>
      <w:r>
        <w:rPr>
          <w:rFonts w:hint="eastAsia" w:ascii="仿宋_GB2312" w:eastAsia="仿宋_GB2312"/>
          <w:b w:val="0"/>
          <w:bCs w:val="0"/>
          <w:highlight w:val="none"/>
        </w:rPr>
        <w:t>）</w:t>
      </w:r>
      <w:r>
        <w:rPr>
          <w:rFonts w:hint="eastAsia" w:ascii="仿宋_GB2312" w:eastAsia="仿宋_GB2312"/>
          <w:b w:val="0"/>
          <w:bCs w:val="0"/>
          <w:highlight w:val="none"/>
          <w:lang w:eastAsia="zh-CN"/>
        </w:rPr>
        <w:t>相关评分表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/>
          <w:b w:val="0"/>
          <w:bCs w:val="0"/>
          <w:highlight w:val="none"/>
          <w:lang w:eastAsia="zh-CN"/>
        </w:rPr>
      </w:pPr>
      <w:r>
        <w:rPr>
          <w:rFonts w:hint="eastAsia" w:ascii="Times New Roman" w:hAnsi="Times New Roman" w:eastAsia="仿宋_GB2312"/>
          <w:b w:val="0"/>
          <w:bCs w:val="0"/>
          <w:highlight w:val="none"/>
        </w:rPr>
        <w:t>具体打分情况详见：附件1综合评分表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eastAsia="zh-CN"/>
        </w:rPr>
        <w:t>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center"/>
        <w:textAlignment w:val="auto"/>
        <w:rPr>
          <w:color w:val="FF0000"/>
          <w:sz w:val="24"/>
          <w:szCs w:val="21"/>
        </w:rPr>
      </w:pPr>
      <w:r>
        <w:rPr>
          <w:rFonts w:hint="eastAsia" w:ascii="Times New Roman" w:hAnsi="Times New Roman" w:eastAsia="方正仿宋_GBK" w:cs="Times New Roman"/>
          <w:sz w:val="24"/>
          <w:szCs w:val="24"/>
          <w:highlight w:val="none"/>
          <w:lang w:val="en-US" w:eastAsia="zh-CN"/>
        </w:rPr>
        <w:t>202</w:t>
      </w:r>
      <w:r>
        <w:rPr>
          <w:rFonts w:hint="eastAsia" w:eastAsia="方正仿宋_GBK" w:cs="Times New Roman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Times New Roman" w:hAnsi="Times New Roman" w:eastAsia="方正仿宋_GBK" w:cs="Times New Roman"/>
          <w:sz w:val="24"/>
          <w:szCs w:val="24"/>
          <w:highlight w:val="none"/>
          <w:lang w:val="en-US" w:eastAsia="zh-CN"/>
        </w:rPr>
        <w:t>年</w:t>
      </w:r>
      <w:r>
        <w:rPr>
          <w:rFonts w:hint="eastAsia" w:eastAsia="方正仿宋_GBK" w:cs="Times New Roman"/>
          <w:sz w:val="24"/>
          <w:szCs w:val="24"/>
          <w:highlight w:val="none"/>
          <w:lang w:val="en-US" w:eastAsia="zh-CN"/>
        </w:rPr>
        <w:t>自治区农业生产发展资金（农业防灾减灾）项目评价得分情况</w:t>
      </w:r>
    </w:p>
    <w:tbl>
      <w:tblPr>
        <w:tblStyle w:val="13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 w:themeFill="background1" w:themeFillShade="BF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contextualSpacing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方正仿宋_GBK"/>
                <w:color w:val="000000"/>
                <w:sz w:val="24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contextualSpacing/>
              <w:jc w:val="center"/>
              <w:rPr>
                <w:rFonts w:hint="default" w:eastAsia="方正仿宋_GBK"/>
                <w:color w:val="000000"/>
                <w:sz w:val="24"/>
                <w:lang w:val="en-US" w:eastAsia="zh-CN"/>
              </w:rPr>
            </w:pPr>
            <w:r>
              <w:rPr>
                <w:rFonts w:hint="eastAsia" w:eastAsia="方正仿宋_GBK"/>
                <w:color w:val="000000"/>
                <w:sz w:val="24"/>
                <w:lang w:val="en-US" w:eastAsia="zh-CN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contextualSpacing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方正仿宋_GBK"/>
                <w:color w:val="000000"/>
                <w:sz w:val="24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contextualSpacing/>
              <w:jc w:val="center"/>
              <w:rPr>
                <w:rFonts w:hint="default" w:eastAsia="方正仿宋_GBK"/>
                <w:color w:val="000000"/>
                <w:sz w:val="24"/>
                <w:lang w:val="en-US" w:eastAsia="zh-CN"/>
              </w:rPr>
            </w:pPr>
            <w:r>
              <w:rPr>
                <w:rFonts w:hint="eastAsia" w:eastAsia="方正仿宋_GBK"/>
                <w:color w:val="000000"/>
                <w:sz w:val="24"/>
                <w:lang w:val="en-US" w:eastAsia="zh-CN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contextualSpacing/>
              <w:jc w:val="center"/>
              <w:rPr>
                <w:rFonts w:ascii="Times New Roman" w:hAnsi="Times New Roman" w:eastAsia="方正仿宋_GBK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方正仿宋_GBK"/>
                <w:color w:val="000000"/>
                <w:sz w:val="24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contextualSpacing/>
              <w:jc w:val="center"/>
              <w:rPr>
                <w:rFonts w:hint="default" w:eastAsia="方正仿宋_GBK"/>
                <w:color w:val="000000"/>
                <w:sz w:val="24"/>
                <w:lang w:val="en-US" w:eastAsia="zh-CN"/>
              </w:rPr>
            </w:pPr>
            <w:r>
              <w:rPr>
                <w:rFonts w:hint="eastAsia" w:eastAsia="方正仿宋_GBK"/>
                <w:color w:val="000000"/>
                <w:sz w:val="24"/>
                <w:lang w:val="en-US" w:eastAsia="zh-CN"/>
              </w:rPr>
              <w:t>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0" w:firstLineChars="200"/>
              <w:jc w:val="center"/>
              <w:textAlignment w:val="auto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contextualSpacing/>
              <w:jc w:val="center"/>
              <w:rPr>
                <w:rFonts w:ascii="Times New Roman" w:hAnsi="Times New Roman" w:eastAsia="方正仿宋_GBK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方正仿宋_GBK"/>
                <w:color w:val="000000"/>
                <w:sz w:val="24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contextualSpacing/>
              <w:jc w:val="center"/>
              <w:rPr>
                <w:rFonts w:hint="default" w:eastAsia="方正仿宋_GBK"/>
                <w:color w:val="000000"/>
                <w:sz w:val="24"/>
                <w:lang w:val="en-US" w:eastAsia="zh-CN"/>
              </w:rPr>
            </w:pPr>
            <w:r>
              <w:rPr>
                <w:rFonts w:hint="eastAsia" w:eastAsia="方正仿宋_GBK"/>
                <w:color w:val="000000"/>
                <w:sz w:val="24"/>
                <w:lang w:val="en-US" w:eastAsia="zh-CN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42" w:firstLineChars="200"/>
              <w:jc w:val="center"/>
              <w:textAlignment w:val="auto"/>
              <w:rPr>
                <w:rFonts w:cs="宋体"/>
                <w:b/>
                <w:bCs/>
                <w:color w:val="000000"/>
                <w:sz w:val="22"/>
              </w:rPr>
            </w:pPr>
            <w:r>
              <w:rPr>
                <w:rFonts w:hint="eastAsia" w:cs="宋体"/>
                <w:b/>
                <w:bCs/>
                <w:color w:val="000000"/>
                <w:sz w:val="22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eastAsia="仿宋_GB2312"/>
                <w:b/>
                <w:bCs/>
                <w:color w:val="000000"/>
                <w:sz w:val="22"/>
                <w:lang w:val="en-US" w:eastAsia="zh-CN"/>
              </w:rPr>
            </w:pPr>
            <w:r>
              <w:rPr>
                <w:rFonts w:hint="eastAsia" w:eastAsia="方正仿宋_GBK"/>
                <w:color w:val="000000"/>
                <w:sz w:val="24"/>
                <w:lang w:val="en-US" w:eastAsia="zh-CN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contextualSpacing/>
              <w:jc w:val="center"/>
              <w:rPr>
                <w:rFonts w:hint="default" w:eastAsia="方正仿宋_GBK"/>
                <w:color w:val="000000"/>
                <w:sz w:val="24"/>
                <w:lang w:val="en-US" w:eastAsia="zh-CN"/>
              </w:rPr>
            </w:pPr>
            <w:r>
              <w:rPr>
                <w:rFonts w:hint="eastAsia" w:eastAsia="方正仿宋_GBK"/>
                <w:color w:val="000000"/>
                <w:sz w:val="24"/>
                <w:lang w:val="en-US" w:eastAsia="zh-CN"/>
              </w:rPr>
              <w:t>100</w:t>
            </w:r>
          </w:p>
        </w:tc>
      </w:tr>
    </w:tbl>
    <w:p>
      <w:pPr>
        <w:pStyle w:val="11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</w:pP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sz w:val="32"/>
          <w:szCs w:val="32"/>
        </w:rPr>
      </w:pPr>
      <w:bookmarkStart w:id="12" w:name="_Toc68703837"/>
      <w:r>
        <w:rPr>
          <w:rFonts w:hint="eastAsia" w:ascii="宋体" w:hAnsi="宋体" w:eastAsia="宋体"/>
          <w:sz w:val="32"/>
          <w:szCs w:val="32"/>
        </w:rPr>
        <w:t>四、绩效评价指标分析</w:t>
      </w:r>
      <w:bookmarkEnd w:id="12"/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</w:rPr>
      </w:pPr>
      <w:bookmarkStart w:id="13" w:name="_Toc68703838"/>
      <w:r>
        <w:rPr>
          <w:rFonts w:hint="eastAsia" w:ascii="仿宋_GB2312" w:eastAsia="仿宋_GB2312"/>
          <w:b w:val="0"/>
          <w:bCs w:val="0"/>
        </w:rPr>
        <w:t>（一）项目决策情况。</w:t>
      </w:r>
      <w:bookmarkEnd w:id="13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立项依据充分性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该项目立项符合国家法律法规、符合</w:t>
      </w: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《关于印发《2023年自治区农业防灾减灾资金实施方案》的通知》（新农办植[2023]55号）</w:t>
      </w: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文件要求，符合行业发展规划和政策要求，围绕本年度工作重点和工作计划制定经费预算，属于公共财政支持范围。本项目与部门内部其他相关项目不重复。</w:t>
      </w:r>
    </w:p>
    <w:p>
      <w:pPr>
        <w:pStyle w:val="11"/>
        <w:ind w:firstLine="60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此项权重分4分，得分4分。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立项程序规范性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项目申请、设立过程符合</w:t>
      </w: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《2023年自治区农业防灾减灾资金实施方案》</w:t>
      </w: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相关要求，</w:t>
      </w: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Hans" w:bidi="ar-SA"/>
        </w:rPr>
        <w:t>严格按照审批流程准备符合要求的文件、材料；</w:t>
      </w: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根据</w:t>
      </w:r>
      <w:r>
        <w:rPr>
          <w:rFonts w:hint="eastAsia" w:cs="Times New Roman"/>
          <w:b w:val="0"/>
          <w:bCs w:val="0"/>
          <w:kern w:val="28"/>
          <w:sz w:val="32"/>
          <w:szCs w:val="32"/>
          <w:lang w:val="en-US" w:eastAsia="zh-CN" w:bidi="ar-SA"/>
        </w:rPr>
        <w:t>项目</w:t>
      </w: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决算依据编制工作计划和经费预算，经过与</w:t>
      </w:r>
      <w:r>
        <w:rPr>
          <w:rFonts w:hint="eastAsia" w:cs="Times New Roman"/>
          <w:b w:val="0"/>
          <w:bCs w:val="0"/>
          <w:kern w:val="28"/>
          <w:sz w:val="32"/>
          <w:szCs w:val="32"/>
          <w:lang w:val="en-US" w:eastAsia="zh-CN" w:bidi="ar-SA"/>
        </w:rPr>
        <w:t>巴州农业技术推广中心该</w:t>
      </w: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项目分管领导沟通、筛选确定经费预算计划，确定最终预算方案。项目的审批文件、材料符合相关要求，项目事前经过必要的可行性研究、绩效评估、集体决策，保障了程序的规范性。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firstLine="60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此项权重分4分，得分4分。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绩效目标合理性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Hans" w:bidi="ar-SA"/>
        </w:rPr>
        <w:t>年初结合实际工作内容</w:t>
      </w: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设定绩效目标</w:t>
      </w: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Hans" w:bidi="ar-SA"/>
        </w:rPr>
        <w:t>，绩效目标</w:t>
      </w: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</w:t>
      </w: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00" w:firstLineChars="200"/>
        <w:jc w:val="left"/>
        <w:textAlignment w:val="auto"/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此项权重分3分，得分3分。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绩效指标明确性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contextualSpacing/>
        <w:textAlignment w:val="auto"/>
        <w:outlineLvl w:val="0"/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项目设置了明确的预期产出效益和效果，将绩效目标细化分解为具体的绩效指标，一级指标共4条，二级指标共</w:t>
      </w:r>
      <w:r>
        <w:rPr>
          <w:rFonts w:hint="eastAsia" w:cs="Times New Roman"/>
          <w:b w:val="0"/>
          <w:bCs w:val="0"/>
          <w:kern w:val="28"/>
          <w:sz w:val="32"/>
          <w:szCs w:val="32"/>
          <w:lang w:val="en-US" w:eastAsia="zh-CN" w:bidi="ar-SA"/>
        </w:rPr>
        <w:t>7</w:t>
      </w: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条，三级指标共17条，其中量化指标条数共12条，所有绩效指标均通过清晰、可衡量的指标值予以体现，并且做到了与项目目标任务数或计划数相对应。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contextualSpacing/>
        <w:textAlignment w:val="auto"/>
        <w:outlineLvl w:val="0"/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此项权重分3分，得分3分。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预算编制科学性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contextualSpacing/>
        <w:textAlignment w:val="auto"/>
        <w:outlineLvl w:val="0"/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预算编制按照关于印发</w:t>
      </w: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《关于印发《2023年自治区农业防灾减灾资金实施方案》的通知》（新农办植[2023]55号）</w:t>
      </w: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文件要求，经过科学论证，提供充分的测算依据佐证资料，预算内容与项目内容相匹配。项目投资额与工作任务相匹配。</w:t>
      </w:r>
    </w:p>
    <w:p>
      <w:pPr>
        <w:pStyle w:val="11"/>
        <w:ind w:firstLine="600" w:firstLineChars="200"/>
        <w:jc w:val="left"/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此项权重分3分，得分3分。</w:t>
      </w:r>
    </w:p>
    <w:p>
      <w:pPr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资金分配合理性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contextualSpacing/>
        <w:textAlignment w:val="auto"/>
        <w:outlineLvl w:val="0"/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按照关于印发</w:t>
      </w: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《关于印发《2023年自治区农业防灾减灾资金实施方案》的通知》（新农办植[2023]55号）</w:t>
      </w: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文件要求，将</w:t>
      </w: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资金分配额度与项目单位实际工作内容相适应，资金分配额度合理，资金分配依据充分。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contextualSpacing/>
        <w:textAlignment w:val="auto"/>
        <w:outlineLvl w:val="0"/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此项权重分3分，得分3分。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</w:rPr>
      </w:pPr>
      <w:bookmarkStart w:id="14" w:name="_Toc68703839"/>
      <w:r>
        <w:rPr>
          <w:rFonts w:hint="eastAsia" w:ascii="仿宋_GB2312" w:eastAsia="仿宋_GB2312"/>
          <w:b w:val="0"/>
          <w:bCs w:val="0"/>
        </w:rPr>
        <w:t>（二）项目过程情况。</w:t>
      </w:r>
      <w:bookmarkEnd w:id="14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资金到位率：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contextualSpacing/>
        <w:textAlignment w:val="auto"/>
        <w:outlineLvl w:val="0"/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预算资金50万元，实际到位资金50万元，资金到位率100%。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contextualSpacing/>
        <w:textAlignment w:val="auto"/>
        <w:outlineLvl w:val="0"/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此项权重分4分，得分4分。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预算执行率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contextualSpacing/>
        <w:textAlignment w:val="auto"/>
        <w:outlineLvl w:val="0"/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年初预算数50万元，全年预算数50万元，全年执行数50万元，预算执行率为100%。</w:t>
      </w:r>
    </w:p>
    <w:p>
      <w:pPr>
        <w:pStyle w:val="11"/>
        <w:ind w:firstLine="600" w:firstLineChars="200"/>
        <w:jc w:val="left"/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此项权重分4分，得分4分。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资金使用合规性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contextualSpacing/>
        <w:textAlignment w:val="auto"/>
        <w:outlineLvl w:val="0"/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项目严格按照预期绩效目标执行预算资金。根据</w:t>
      </w:r>
      <w:r>
        <w:rPr>
          <w:rFonts w:hint="eastAsia" w:cs="Times New Roman"/>
          <w:b w:val="0"/>
          <w:bCs w:val="0"/>
          <w:kern w:val="28"/>
          <w:sz w:val="32"/>
          <w:szCs w:val="32"/>
          <w:lang w:val="en-US" w:eastAsia="zh-CN" w:bidi="ar-SA"/>
        </w:rPr>
        <w:t>《巴州农业技术推广中心项目绩效管理制度》</w:t>
      </w: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，对项目经费使用进行规范管理，财务制度健全、执行严格。资金的拨付有完整的审批程序和手续，在项目资金拨付和使用过程中，为确保项目资金的安全性，提高项目资金使用效率，严格遵循</w:t>
      </w: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《关于印发《2023年自治区农业防灾减灾资金实施方案》的通知》（新农办植[2023]55号）</w:t>
      </w: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文件资金的拨付程序，认真审核项目实施各阶段的相关材料和手续，根据项目实施进展情况拨付资金。资金使用符合该项目的立项批复。资金不存在截留、挤占、挪用、虚列支出等情况。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contextualSpacing/>
        <w:textAlignment w:val="auto"/>
        <w:outlineLvl w:val="0"/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此项权重分4分，得分4分。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管理制度健全性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contextualSpacing/>
        <w:textAlignment w:val="auto"/>
        <w:outlineLvl w:val="0"/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eastAsia" w:cs="Times New Roman"/>
          <w:b w:val="0"/>
          <w:bCs w:val="0"/>
          <w:kern w:val="28"/>
          <w:sz w:val="32"/>
          <w:szCs w:val="32"/>
          <w:lang w:val="en-US" w:eastAsia="zh-CN" w:bidi="ar-SA"/>
        </w:rPr>
        <w:t>制定巴州农业技术推广中心项目管理</w:t>
      </w: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、项目实施及项目档案收集整理工作制度，</w:t>
      </w:r>
      <w:r>
        <w:rPr>
          <w:rFonts w:hint="eastAsia" w:cs="Times New Roman"/>
          <w:b w:val="0"/>
          <w:bCs w:val="0"/>
          <w:kern w:val="28"/>
          <w:sz w:val="32"/>
          <w:szCs w:val="32"/>
          <w:lang w:val="en-US" w:eastAsia="zh-CN" w:bidi="ar-SA"/>
        </w:rPr>
        <w:t>并严格执行《中华人民共和国政府采购法》等相关制度，</w:t>
      </w: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contextualSpacing/>
        <w:textAlignment w:val="auto"/>
        <w:outlineLvl w:val="0"/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此项权重分4分，得分4分。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制度执行有效性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contextualSpacing/>
        <w:textAlignment w:val="auto"/>
        <w:outlineLvl w:val="0"/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</w:pPr>
      <w:r>
        <w:rPr>
          <w:rFonts w:hint="eastAsia" w:cs="Times New Roman"/>
          <w:b w:val="0"/>
          <w:bCs w:val="0"/>
          <w:kern w:val="28"/>
          <w:sz w:val="32"/>
          <w:szCs w:val="32"/>
          <w:lang w:val="en-US" w:eastAsia="zh-CN" w:bidi="ar-SA"/>
        </w:rPr>
        <w:t>项目单位严格遵守《中华人民共和国政府采购法》、单位制定的项目相关制度</w:t>
      </w:r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对资金使用的合法合规性进行监督，年末对资金使用效果进行评价。</w:t>
      </w:r>
      <w:bookmarkStart w:id="22" w:name="_GoBack"/>
      <w:bookmarkEnd w:id="22"/>
      <w:r>
        <w:rPr>
          <w:rFonts w:hint="eastAsia" w:ascii="Times New Roman" w:hAnsi="Times New Roman" w:eastAsia="仿宋_GB2312" w:cs="Times New Roman"/>
          <w:b w:val="0"/>
          <w:bCs w:val="0"/>
          <w:kern w:val="28"/>
          <w:sz w:val="32"/>
          <w:szCs w:val="32"/>
          <w:lang w:val="en-US" w:eastAsia="zh-CN" w:bidi="ar-SA"/>
        </w:rPr>
        <w:t>项目管理、实施人员落实到位，有效按照计划执行。项目执行情况等资料齐全，项目相关手续完备，及时进行归档。</w:t>
      </w:r>
    </w:p>
    <w:p>
      <w:pPr>
        <w:pStyle w:val="11"/>
        <w:ind w:firstLine="600" w:firstLineChars="200"/>
        <w:jc w:val="left"/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此项权重分4分，得分4分。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textAlignment w:val="auto"/>
        <w:rPr>
          <w:rFonts w:hint="eastAsia" w:ascii="仿宋_GB2312" w:eastAsia="仿宋_GB2312"/>
          <w:b w:val="0"/>
          <w:bCs w:val="0"/>
          <w:highlight w:val="none"/>
        </w:rPr>
      </w:pPr>
      <w:bookmarkStart w:id="15" w:name="_Toc68703840"/>
      <w:r>
        <w:rPr>
          <w:rFonts w:hint="eastAsia" w:eastAsia="方正仿宋_GBK"/>
          <w:sz w:val="31"/>
          <w:szCs w:val="31"/>
          <w:lang w:val="en-US" w:eastAsia="zh-CN"/>
        </w:rPr>
        <w:t>（三）</w:t>
      </w:r>
      <w:r>
        <w:rPr>
          <w:rFonts w:hint="eastAsia" w:ascii="仿宋_GB2312" w:eastAsia="仿宋_GB2312"/>
          <w:b w:val="0"/>
          <w:bCs w:val="0"/>
          <w:highlight w:val="none"/>
        </w:rPr>
        <w:t>项目产出情况。</w:t>
      </w:r>
      <w:bookmarkEnd w:id="15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contextualSpacing/>
        <w:textAlignment w:val="auto"/>
        <w:outlineLvl w:val="0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1.数量指标：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contextualSpacing/>
        <w:textAlignment w:val="auto"/>
        <w:outlineLvl w:val="0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指标1：采购杀虫剂种类，指标值：≥4种 ，实际完成值：购买杀虫剂4种，指标完成率100%，无偏差。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contextualSpacing/>
        <w:textAlignment w:val="auto"/>
        <w:outlineLvl w:val="0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指标2：采购杀菌剂种类，指标值：≥2种 ，实际完成值：购买杀菌剂2种，指标完成率100%，无偏差。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contextualSpacing/>
        <w:textAlignment w:val="auto"/>
        <w:outlineLvl w:val="0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指标3：采购理化诱控物资数量，指标值：≥2000粒 ，实际完成值：购买理化诱控物资2000粒，指标完成率100%，无偏差。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firstLine="60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此项权重分10分，得分10分。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contextualSpacing/>
        <w:textAlignment w:val="auto"/>
        <w:outlineLvl w:val="0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2.质量指标完成情况：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contextualSpacing/>
        <w:textAlignment w:val="auto"/>
        <w:outlineLvl w:val="0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指标1：采购物资验收合格率，指标值：=100%，指标完成率100%，无偏差。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contextualSpacing/>
        <w:textAlignment w:val="auto"/>
        <w:outlineLvl w:val="0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指标2：防控效果指标值：有效遏制暴发流行成灾，实际完成值：达成目标，指标完成率100%。无偏差。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contextualSpacing/>
        <w:textAlignment w:val="auto"/>
        <w:outlineLvl w:val="0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指标3：政府采购率，指标值：=100%，指标完成率100%，无偏差。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contextualSpacing/>
        <w:textAlignment w:val="auto"/>
        <w:outlineLvl w:val="0"/>
        <w:rPr>
          <w:rFonts w:hint="default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指标4：采购物资质量合格率，指标值：=100%，指标完成率100%，无偏差。</w:t>
      </w:r>
    </w:p>
    <w:p>
      <w:pPr>
        <w:pStyle w:val="11"/>
        <w:ind w:firstLine="600" w:firstLineChars="200"/>
        <w:jc w:val="left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此项权重分10分，得分10分。</w:t>
      </w:r>
    </w:p>
    <w:p>
      <w:pPr>
        <w:pageBreakBefore w:val="0"/>
        <w:numPr>
          <w:ilvl w:val="0"/>
          <w:numId w:val="2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时效指标完成情况：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contextualSpacing/>
        <w:textAlignment w:val="auto"/>
        <w:outlineLvl w:val="0"/>
        <w:rPr>
          <w:rFonts w:hint="default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指标1：农作物病虫疫情监测防控组织实施时效，指标值：在农作物病虫害防控期及时组织实施，指标完成率100%，无偏差。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0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指标2：采购物资按时完成率，指标值：=100%，指标完成率=100%，无偏差。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0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指标3：资金支付及时率，指标值：=100%，指标完成率=100%，无偏差。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/>
        <w:ind w:firstLine="60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此项权重分10分，得分10分。</w:t>
      </w:r>
    </w:p>
    <w:p>
      <w:pPr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00" w:leftChars="200" w:firstLine="0" w:firstLineChars="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经济成本指标完成情况：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contextualSpacing/>
        <w:textAlignment w:val="auto"/>
        <w:outlineLvl w:val="0"/>
        <w:rPr>
          <w:rFonts w:hint="default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指标1：采购物资或服务价格，指标值：不超过市场价格，指标完成率=100%，无偏差。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指标2：采购杀虫剂成本，指标值：≦31万元，实际购买成本31万元，指标完成率=100%，无偏差。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指标3：采购杀菌剂成本，指标值：≦17.40万元，实际购买成本17.40万元，指标完成率=100%，无偏差。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指标4：采购理化诱控物资成本，指标值：≦1.60万元，实际购买成本1.60万元，指标完成率=100%，无偏差。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firstLine="600" w:firstLineChars="200"/>
        <w:jc w:val="left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0"/>
          <w:szCs w:val="24"/>
          <w:lang w:val="en-US" w:eastAsia="zh-CN" w:bidi="ar-SA"/>
        </w:rPr>
        <w:t>此项权重分10分，得分10分。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  <w:color w:val="auto"/>
          <w:highlight w:val="none"/>
        </w:rPr>
      </w:pPr>
      <w:bookmarkStart w:id="16" w:name="_Toc68703841"/>
      <w:r>
        <w:rPr>
          <w:rFonts w:hint="eastAsia" w:ascii="仿宋_GB2312" w:eastAsia="仿宋_GB2312"/>
          <w:b w:val="0"/>
          <w:bCs w:val="0"/>
          <w:color w:val="auto"/>
          <w:highlight w:val="none"/>
        </w:rPr>
        <w:t>（</w:t>
      </w:r>
      <w:r>
        <w:rPr>
          <w:rFonts w:hint="eastAsia" w:ascii="仿宋_GB2312" w:eastAsia="仿宋_GB2312"/>
          <w:b w:val="0"/>
          <w:bCs w:val="0"/>
          <w:color w:val="auto"/>
          <w:highlight w:val="none"/>
          <w:lang w:eastAsia="zh-CN"/>
        </w:rPr>
        <w:t>四</w:t>
      </w:r>
      <w:r>
        <w:rPr>
          <w:rFonts w:hint="eastAsia" w:ascii="仿宋_GB2312" w:eastAsia="仿宋_GB2312"/>
          <w:b w:val="0"/>
          <w:bCs w:val="0"/>
          <w:color w:val="auto"/>
          <w:highlight w:val="none"/>
        </w:rPr>
        <w:t>）项目效益情况。</w:t>
      </w:r>
      <w:bookmarkEnd w:id="16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1.社会效益指标完成情况：防灾措施保障粮食安全和农业生产安全，指标值：重发区域病虫害得到有效控制，农作物不出现大范围成灾绝收，指标完成率=100%，无偏差。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2.生态效益指标完成情况：有效保持重大病虫疫情灾情监测预警能力，指标值：病虫防控期内，指标完成率=100%，无偏差。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4.满意度指标完成情况分析：受灾农民或防治组织满意度，指标值：≥85%，实际满意度100%，指标完成率=117.64%，偏差原因是项目实施过程中及时指导农户及合作社进行病虫害防治，对发放的药剂及技术人员的指导较满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此项权重分20分，得分20分。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sz w:val="32"/>
          <w:szCs w:val="32"/>
          <w:lang w:eastAsia="zh-Hans"/>
        </w:rPr>
      </w:pPr>
      <w:bookmarkStart w:id="17" w:name="_Toc68703842"/>
      <w:r>
        <w:rPr>
          <w:rFonts w:hint="eastAsia" w:ascii="Times New Roman" w:hAnsi="Times New Roman" w:eastAsia="黑体" w:cs="Times New Roman"/>
          <w:sz w:val="32"/>
          <w:szCs w:val="32"/>
          <w:lang w:eastAsia="zh-Hans"/>
        </w:rPr>
        <w:t>五、预算执行进度与绩效指标总体完成率偏差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color w:val="auto"/>
          <w:kern w:val="2"/>
          <w:sz w:val="30"/>
          <w:szCs w:val="24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0"/>
          <w:szCs w:val="24"/>
          <w:highlight w:val="none"/>
          <w:lang w:val="en-US" w:eastAsia="zh-CN" w:bidi="ar-SA"/>
        </w:rPr>
        <w:t>2023年自治区农业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24"/>
          <w:highlight w:val="none"/>
          <w:lang w:val="en-US" w:eastAsia="zh-CN" w:bidi="ar-SA"/>
        </w:rPr>
        <w:t>生产发展资金（农业防灾减灾）项目年初预算50万元，全年预算50万元，实际支出50万元，预算执行率为100%，项目绩效指标总体完成率为10</w:t>
      </w:r>
      <w:r>
        <w:rPr>
          <w:rFonts w:hint="eastAsia" w:cs="Times New Roman"/>
          <w:color w:val="auto"/>
          <w:kern w:val="2"/>
          <w:sz w:val="30"/>
          <w:szCs w:val="24"/>
          <w:highlight w:val="none"/>
          <w:lang w:val="en-US" w:eastAsia="zh-CN" w:bidi="ar-SA"/>
        </w:rPr>
        <w:t>1.04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24"/>
          <w:highlight w:val="none"/>
          <w:lang w:val="en-US" w:eastAsia="zh-CN" w:bidi="ar-SA"/>
        </w:rPr>
        <w:t>%，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24"/>
          <w:highlight w:val="none"/>
          <w:lang w:val="en-US" w:eastAsia="zh-Hans" w:bidi="ar-SA"/>
        </w:rPr>
        <w:t>总体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24"/>
          <w:highlight w:val="none"/>
          <w:lang w:val="en-US" w:eastAsia="zh-CN" w:bidi="ar-SA"/>
        </w:rPr>
        <w:t>偏差率为</w:t>
      </w:r>
      <w:r>
        <w:rPr>
          <w:rFonts w:hint="eastAsia" w:cs="Times New Roman"/>
          <w:color w:val="auto"/>
          <w:kern w:val="2"/>
          <w:sz w:val="30"/>
          <w:szCs w:val="24"/>
          <w:highlight w:val="none"/>
          <w:lang w:val="en-US" w:eastAsia="zh-CN" w:bidi="ar-SA"/>
        </w:rPr>
        <w:t>1.04</w:t>
      </w:r>
      <w:r>
        <w:rPr>
          <w:rFonts w:hint="eastAsia" w:ascii="Times New Roman" w:hAnsi="Times New Roman" w:eastAsia="仿宋_GB2312" w:cs="Times New Roman"/>
          <w:color w:val="auto"/>
          <w:kern w:val="2"/>
          <w:sz w:val="30"/>
          <w:szCs w:val="24"/>
          <w:highlight w:val="none"/>
          <w:lang w:val="en-US" w:eastAsia="zh-CN" w:bidi="ar-SA"/>
        </w:rPr>
        <w:t>%。</w:t>
      </w:r>
      <w:r>
        <w:rPr>
          <w:rFonts w:hint="eastAsia"/>
          <w:color w:val="auto"/>
          <w:highlight w:val="none"/>
          <w:lang w:val="en-US" w:eastAsia="zh-CN"/>
        </w:rPr>
        <w:t>偏差原因是项目实施过程中及时指导农户及合作社进行病虫害防治，对发放的药剂及技术人员的指导较满意。改进措施：根据项目要求，准确做好项目指标设定。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  <w:lang w:val="en-US" w:eastAsia="zh-CN"/>
        </w:rPr>
        <w:t>六</w:t>
      </w:r>
      <w:r>
        <w:rPr>
          <w:rFonts w:hint="eastAsia" w:ascii="宋体" w:hAnsi="宋体" w:eastAsia="宋体"/>
          <w:sz w:val="32"/>
          <w:szCs w:val="32"/>
        </w:rPr>
        <w:t>、主要经验及做法、存在的问题及原因分析</w:t>
      </w:r>
      <w:bookmarkEnd w:id="17"/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</w:rPr>
      </w:pPr>
      <w:bookmarkStart w:id="18" w:name="_Toc68703843"/>
      <w:r>
        <w:rPr>
          <w:rFonts w:hint="eastAsia" w:ascii="仿宋_GB2312" w:eastAsia="仿宋_GB2312"/>
          <w:b w:val="0"/>
          <w:bCs w:val="0"/>
        </w:rPr>
        <w:t>（一）主要经验及做法</w:t>
      </w:r>
      <w:bookmarkEnd w:id="18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  <w:highlight w:val="none"/>
          <w:lang w:val="en-US" w:eastAsia="zh-CN"/>
        </w:rPr>
      </w:pPr>
      <w:bookmarkStart w:id="19" w:name="_Toc68703844"/>
      <w:r>
        <w:rPr>
          <w:rFonts w:hint="eastAsia"/>
          <w:color w:val="auto"/>
          <w:highlight w:val="none"/>
          <w:lang w:val="en-US" w:eastAsia="zh-CN"/>
        </w:rPr>
        <w:t>为确保项目顺利进行，严格按照单位预算绩效管理制度、项目实施及项目档案收集整理工作制度，提前做好项目规划，将所列计划再三审核。在项目实施过程中做好定期监督检查，在项目资金使用过程中，严格落实把关，按照项目资金使用范围做好审核工作，让项目资金落于实处。在项目完成后，做好受益群众民意调查及项目防范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</w:p>
    <w:p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_GB2312" w:eastAsia="仿宋_GB2312"/>
          <w:b w:val="0"/>
          <w:bCs w:val="0"/>
        </w:rPr>
      </w:pPr>
      <w:r>
        <w:rPr>
          <w:rFonts w:hint="eastAsia" w:ascii="仿宋_GB2312" w:eastAsia="仿宋_GB2312"/>
          <w:b w:val="0"/>
          <w:bCs w:val="0"/>
        </w:rPr>
        <w:t>（二）存在的问题及原因分析</w:t>
      </w:r>
      <w:bookmarkEnd w:id="19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  <w:highlight w:val="none"/>
          <w:lang w:val="en-US" w:eastAsia="zh-CN"/>
        </w:rPr>
      </w:pPr>
      <w:bookmarkStart w:id="20" w:name="_Toc68703845"/>
      <w:r>
        <w:rPr>
          <w:rFonts w:hint="eastAsia"/>
          <w:color w:val="auto"/>
          <w:highlight w:val="none"/>
          <w:lang w:val="en-US" w:eastAsia="zh-CN"/>
        </w:rPr>
        <w:t>相关绩效管理方面专业知识的系统性学习有待加强。单位项目负责人均未专业技术人员，在相关绩效管理方面专业知识缺乏，需系统学习，开展工作。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黑体"/>
          <w:color w:val="0000FF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  <w:lang w:val="en-US" w:eastAsia="zh-CN"/>
        </w:rPr>
        <w:t>七</w:t>
      </w:r>
      <w:r>
        <w:rPr>
          <w:rFonts w:hint="eastAsia" w:ascii="宋体" w:hAnsi="宋体" w:eastAsia="宋体"/>
          <w:sz w:val="32"/>
          <w:szCs w:val="32"/>
        </w:rPr>
        <w:t>、有关建议</w:t>
      </w:r>
      <w:bookmarkEnd w:id="2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  <w:highlight w:val="none"/>
          <w:lang w:val="en-US" w:eastAsia="zh-CN"/>
        </w:rPr>
      </w:pPr>
      <w:bookmarkStart w:id="21" w:name="_Toc68703846"/>
      <w:r>
        <w:rPr>
          <w:rFonts w:hint="eastAsia"/>
          <w:color w:val="auto"/>
          <w:highlight w:val="none"/>
          <w:lang w:val="en-US" w:eastAsia="zh-CN"/>
        </w:rPr>
        <w:t>1.多进行有关绩效管理工作方面的培训。积极组织第三方开展绩效管理工作培训，进一步夯实业务基础，提高我单位绩效人员水平。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2.专门设定对绩效工作人员定职、定岗、定责等相关制度措施，进一步提升我单位绩效管理工作业务水平，扎实做好绩效管理工作。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textAlignment w:val="auto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  <w:lang w:val="en-US" w:eastAsia="zh-CN"/>
        </w:rPr>
        <w:t>八</w:t>
      </w:r>
      <w:r>
        <w:rPr>
          <w:rFonts w:hint="eastAsia" w:ascii="宋体" w:hAnsi="宋体" w:eastAsia="宋体"/>
          <w:sz w:val="32"/>
          <w:szCs w:val="32"/>
        </w:rPr>
        <w:t>、其他需要说明的问题</w:t>
      </w:r>
      <w:bookmarkEnd w:id="21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Hans"/>
        </w:rPr>
        <w:t>本项目无其他需说明的问题。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红豆小标宋简体">
    <w:altName w:val="宋体"/>
    <w:panose1 w:val="02000509000000000000"/>
    <w:charset w:val="86"/>
    <w:family w:val="auto"/>
    <w:pitch w:val="default"/>
    <w:sig w:usb0="00000000" w:usb1="00000000" w:usb2="00000012" w:usb3="00000000" w:csb0="00040001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8519D3"/>
    <w:multiLevelType w:val="singleLevel"/>
    <w:tmpl w:val="9D8519D3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879C031"/>
    <w:multiLevelType w:val="singleLevel"/>
    <w:tmpl w:val="A879C031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RkOTIwZjc5YmU2ZTY5MjQ2MTljMmZlZWEzNGY0OTAifQ=="/>
    <w:docVar w:name="KSO_WPS_MARK_KEY" w:val="b3fc2acd-51a9-45ce-8d80-18e6d2738da8"/>
  </w:docVars>
  <w:rsids>
    <w:rsidRoot w:val="007D49C5"/>
    <w:rsid w:val="000D63FA"/>
    <w:rsid w:val="005B64E8"/>
    <w:rsid w:val="00614288"/>
    <w:rsid w:val="00792CFE"/>
    <w:rsid w:val="007D49C5"/>
    <w:rsid w:val="008175E0"/>
    <w:rsid w:val="008C631D"/>
    <w:rsid w:val="00A114ED"/>
    <w:rsid w:val="00B24331"/>
    <w:rsid w:val="00EB3433"/>
    <w:rsid w:val="031A7868"/>
    <w:rsid w:val="05227DA5"/>
    <w:rsid w:val="06C47634"/>
    <w:rsid w:val="077E129C"/>
    <w:rsid w:val="08690523"/>
    <w:rsid w:val="08D20D13"/>
    <w:rsid w:val="09A27873"/>
    <w:rsid w:val="0AAF4C57"/>
    <w:rsid w:val="0B7600D9"/>
    <w:rsid w:val="0BC5609C"/>
    <w:rsid w:val="0C4D0F1B"/>
    <w:rsid w:val="0C5D0F46"/>
    <w:rsid w:val="0EA818A8"/>
    <w:rsid w:val="0F2A6BF7"/>
    <w:rsid w:val="0F810375"/>
    <w:rsid w:val="12861D78"/>
    <w:rsid w:val="18691A0F"/>
    <w:rsid w:val="19204AAD"/>
    <w:rsid w:val="19473AA0"/>
    <w:rsid w:val="1B9C52AA"/>
    <w:rsid w:val="1D723F37"/>
    <w:rsid w:val="1D785367"/>
    <w:rsid w:val="1E6878B2"/>
    <w:rsid w:val="24A86DA8"/>
    <w:rsid w:val="25A76874"/>
    <w:rsid w:val="2A836830"/>
    <w:rsid w:val="31F714E4"/>
    <w:rsid w:val="32AE0DEC"/>
    <w:rsid w:val="36B72533"/>
    <w:rsid w:val="36BB14CE"/>
    <w:rsid w:val="38CB2E0B"/>
    <w:rsid w:val="3A850D40"/>
    <w:rsid w:val="3E9F1325"/>
    <w:rsid w:val="40517446"/>
    <w:rsid w:val="4057649F"/>
    <w:rsid w:val="42F948B4"/>
    <w:rsid w:val="43182414"/>
    <w:rsid w:val="453D2F23"/>
    <w:rsid w:val="46507BB3"/>
    <w:rsid w:val="4739676B"/>
    <w:rsid w:val="4A7C25BE"/>
    <w:rsid w:val="4BF962B2"/>
    <w:rsid w:val="4C22332E"/>
    <w:rsid w:val="4C490976"/>
    <w:rsid w:val="4D3D30A5"/>
    <w:rsid w:val="4F0B7A65"/>
    <w:rsid w:val="4FD91A1E"/>
    <w:rsid w:val="53675CD4"/>
    <w:rsid w:val="56796849"/>
    <w:rsid w:val="56F63AC5"/>
    <w:rsid w:val="57D52649"/>
    <w:rsid w:val="57FB1BE5"/>
    <w:rsid w:val="58073549"/>
    <w:rsid w:val="5B422379"/>
    <w:rsid w:val="5C990449"/>
    <w:rsid w:val="5DA95371"/>
    <w:rsid w:val="5EB77B22"/>
    <w:rsid w:val="5F200C0A"/>
    <w:rsid w:val="6270236F"/>
    <w:rsid w:val="62756C87"/>
    <w:rsid w:val="629C7113"/>
    <w:rsid w:val="68F11999"/>
    <w:rsid w:val="693275D5"/>
    <w:rsid w:val="696638FC"/>
    <w:rsid w:val="6DC30987"/>
    <w:rsid w:val="70297222"/>
    <w:rsid w:val="73D1306F"/>
    <w:rsid w:val="73E37605"/>
    <w:rsid w:val="75261DDA"/>
    <w:rsid w:val="757E7355"/>
    <w:rsid w:val="759D3D62"/>
    <w:rsid w:val="75D34781"/>
    <w:rsid w:val="763A0251"/>
    <w:rsid w:val="7BC6265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3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1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 Indent"/>
    <w:basedOn w:val="1"/>
    <w:qFormat/>
    <w:uiPriority w:val="0"/>
    <w:pPr>
      <w:spacing w:after="120"/>
      <w:ind w:left="420" w:leftChars="200"/>
    </w:pPr>
    <w:rPr>
      <w:rFonts w:ascii="Calibri" w:hAnsi="Calibri"/>
    </w:rPr>
  </w:style>
  <w:style w:type="paragraph" w:styleId="7">
    <w:name w:val="footer"/>
    <w:basedOn w:val="1"/>
    <w:link w:val="2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pPr>
      <w:widowControl/>
      <w:spacing w:after="100" w:line="259" w:lineRule="auto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10">
    <w:name w:val="toc 2"/>
    <w:basedOn w:val="1"/>
    <w:next w:val="1"/>
    <w:unhideWhenUsed/>
    <w:qFormat/>
    <w:uiPriority w:val="39"/>
    <w:pPr>
      <w:widowControl/>
      <w:spacing w:after="100" w:line="259" w:lineRule="auto"/>
      <w:ind w:left="220"/>
      <w:jc w:val="left"/>
    </w:pPr>
    <w:rPr>
      <w:rFonts w:asciiTheme="minorHAnsi" w:hAnsiTheme="minorHAnsi" w:eastAsiaTheme="minorEastAsia"/>
      <w:kern w:val="0"/>
      <w:sz w:val="22"/>
      <w:szCs w:val="22"/>
    </w:rPr>
  </w:style>
  <w:style w:type="paragraph" w:styleId="11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12">
    <w:name w:val="Body Text First Indent 2"/>
    <w:basedOn w:val="6"/>
    <w:qFormat/>
    <w:uiPriority w:val="0"/>
    <w:pPr>
      <w:ind w:firstLine="420" w:firstLineChars="200"/>
    </w:pPr>
  </w:style>
  <w:style w:type="character" w:styleId="15">
    <w:name w:val="Hyperlink"/>
    <w:basedOn w:val="14"/>
    <w:unhideWhenUsed/>
    <w:qFormat/>
    <w:uiPriority w:val="99"/>
    <w:rPr>
      <w:color w:val="0563C1" w:themeColor="hyperlink"/>
      <w:u w:val="single"/>
    </w:rPr>
  </w:style>
  <w:style w:type="character" w:customStyle="1" w:styleId="16">
    <w:name w:val="标题 1 Char"/>
    <w:basedOn w:val="14"/>
    <w:link w:val="3"/>
    <w:qFormat/>
    <w:uiPriority w:val="9"/>
    <w:rPr>
      <w:rFonts w:ascii="Times New Roman" w:hAnsi="Times New Roman" w:eastAsia="仿宋_GB2312" w:cs="Times New Roman"/>
      <w:b/>
      <w:bCs/>
      <w:kern w:val="44"/>
      <w:sz w:val="44"/>
      <w:szCs w:val="44"/>
    </w:rPr>
  </w:style>
  <w:style w:type="character" w:customStyle="1" w:styleId="17">
    <w:name w:val="标题 2 Char"/>
    <w:basedOn w:val="14"/>
    <w:link w:val="4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18">
    <w:name w:val="TOC Heading"/>
    <w:basedOn w:val="3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19">
    <w:name w:val="页眉 Char"/>
    <w:basedOn w:val="14"/>
    <w:link w:val="8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20">
    <w:name w:val="页脚 Char"/>
    <w:basedOn w:val="14"/>
    <w:link w:val="7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paragraph" w:customStyle="1" w:styleId="21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5042</Words>
  <Characters>5242</Characters>
  <Lines>37</Lines>
  <Paragraphs>10</Paragraphs>
  <TotalTime>0</TotalTime>
  <ScaleCrop>false</ScaleCrop>
  <LinksUpToDate>false</LinksUpToDate>
  <CharactersWithSpaces>5253</CharactersWithSpaces>
  <Application>WPS Office_11.8.2.11500_F1E327BC-269C-435d-A152-05C5408002CA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2021-04-07T08:01:00Z</dcterms:created>
  <dc:creator>翘楚</dc:creator>
  <cp:lastModifiedBy>new</cp:lastModifiedBy>
  <dcterms:modified xsi:type="dcterms:W3CDTF">2024-05-15T10:56:32Z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2052-11.8.2.11500</vt:lpwstr>
  </property>
  <property fmtid="{D5CDD505-2E9C-101B-9397-08002B2CF9AE}" pid="3" name="ICV">
    <vt:lpwstr>DFF0787588C34603A74FA104BC3FC087</vt:lpwstr>
  </property>
</Properties>
</file>