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宋体" w:hAnsi="宋体" w:eastAsia="宋体" w:cs="Arial"/>
          <w:b/>
          <w:bCs/>
          <w:sz w:val="48"/>
          <w:szCs w:val="48"/>
          <w:lang w:val="en-US"/>
        </w:rPr>
      </w:pPr>
      <w:r>
        <w:rPr>
          <w:rFonts w:hint="default" w:ascii="宋体" w:hAnsi="宋体" w:eastAsia="宋体" w:cs="Arial"/>
          <w:b/>
          <w:bCs/>
          <w:sz w:val="48"/>
          <w:szCs w:val="48"/>
          <w:lang w:val="en-US"/>
        </w:rPr>
        <w:t xml:space="preserve">       </w:t>
      </w: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left="2242" w:leftChars="212" w:hanging="1606" w:hangingChars="5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宋体"/>
          <w:kern w:val="0"/>
          <w:sz w:val="32"/>
          <w:szCs w:val="32"/>
          <w:lang w:val="en-US" w:eastAsia="zh-CN"/>
        </w:rPr>
        <w:t>2023年自治区人才发展基金项目-产业技术创新团队支持计划-现代农业产业技术体系人才-蔬菜体系</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宋体"/>
          <w:kern w:val="0"/>
          <w:sz w:val="32"/>
          <w:szCs w:val="32"/>
        </w:rPr>
        <w:t>巴州农业科学研究院</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宋体"/>
          <w:kern w:val="0"/>
          <w:sz w:val="32"/>
          <w:szCs w:val="32"/>
          <w:lang w:val="en-US" w:eastAsia="zh-CN"/>
        </w:rPr>
        <w:t>巴州农业农村局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宋体"/>
          <w:kern w:val="0"/>
          <w:sz w:val="32"/>
          <w:szCs w:val="32"/>
          <w:lang w:val="en-US" w:eastAsia="zh-CN"/>
        </w:rPr>
        <w:t>董洁</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highlight w:val="none"/>
          <w:lang w:val="en-US" w:eastAsia="zh-CN"/>
        </w:rPr>
      </w:pPr>
      <w:r>
        <w:rPr>
          <w:rFonts w:hint="eastAsia"/>
          <w:lang w:val="en-US" w:eastAsia="zh-CN"/>
        </w:rPr>
        <w:t>自治区</w:t>
      </w:r>
      <w:r>
        <w:rPr>
          <w:rFonts w:hint="eastAsia"/>
          <w:lang w:eastAsia="zh-CN"/>
        </w:rPr>
        <w:t>现代农业产业技术体系是根据</w:t>
      </w:r>
      <w:r>
        <w:rPr>
          <w:rFonts w:hint="eastAsia"/>
          <w:lang w:val="en-US" w:eastAsia="zh-CN"/>
        </w:rPr>
        <w:t>自治区</w:t>
      </w:r>
      <w:r>
        <w:rPr>
          <w:rFonts w:hint="eastAsia"/>
          <w:lang w:eastAsia="zh-CN"/>
        </w:rPr>
        <w:t>得天独厚的自然资源和农业产业优势，围绕优势特色产业发展需求，在不打破现有管理体制的前提下，依托具有创新优势的现有科研力量与科技资源，按照全产业链配置科技力量，建设从产地到餐桌、从生产到消费、从研发到市场，服务产业发展各环节，相互紧密衔接的现代农业产业技术体系，提升农业科技创新能力，增强我区农业竞争力。</w:t>
      </w:r>
      <w:r>
        <w:rPr>
          <w:rFonts w:hint="eastAsia"/>
          <w:lang w:val="en-US" w:eastAsia="zh-CN"/>
        </w:rPr>
        <w:t>焉耆盆地综合试验站</w:t>
      </w:r>
      <w:r>
        <w:rPr>
          <w:rFonts w:hint="eastAsia"/>
          <w:lang w:eastAsia="zh-CN"/>
        </w:rPr>
        <w:t>承接本产业技术体系创新成果的试验示范、推厂服务，调查收集</w:t>
      </w:r>
      <w:r>
        <w:rPr>
          <w:rFonts w:hint="eastAsia"/>
          <w:lang w:val="en-US" w:eastAsia="zh-CN"/>
        </w:rPr>
        <w:t>加工番茄、色素辣椒</w:t>
      </w:r>
      <w:r>
        <w:rPr>
          <w:rFonts w:hint="eastAsia"/>
          <w:lang w:eastAsia="zh-CN"/>
        </w:rPr>
        <w:t>生产</w:t>
      </w:r>
      <w:r>
        <w:rPr>
          <w:rFonts w:hint="eastAsia"/>
          <w:lang w:val="en-US" w:eastAsia="zh-CN"/>
        </w:rPr>
        <w:t>中</w:t>
      </w:r>
      <w:r>
        <w:rPr>
          <w:rFonts w:hint="eastAsia"/>
          <w:lang w:eastAsia="zh-CN"/>
        </w:rPr>
        <w:t>实际问题、技术与市场需求信息等。协助首席科学家及岗位科学家开展技术综合集成和试验示范工作，负责与当地农业行政和技术推广部门联系，收集本区域生产现状、存在问题与技术需求信息，监测分析本区域农作物病虫害、动物疫情、灾情等变化，将地方产业政策等动态变化上报岗位科学家，预测分析本区域本产业生产、技术、市场发展趋势；配合岗位科学家组织技术交流和观摩活动，培训技术推广人员和农业生产经营主体，为村级农业技术综合服务站开展技术服务与培训提供技</w:t>
      </w:r>
      <w:r>
        <w:rPr>
          <w:rFonts w:hint="eastAsia"/>
          <w:lang w:val="en-US" w:eastAsia="zh-CN"/>
        </w:rPr>
        <w:t>术支持。</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spacing w:line="500" w:lineRule="exact"/>
        <w:ind w:firstLine="640"/>
        <w:rPr>
          <w:rFonts w:hint="eastAsia"/>
          <w:color w:val="auto"/>
        </w:rPr>
      </w:pPr>
      <w:r>
        <w:rPr>
          <w:rFonts w:hint="eastAsia" w:ascii="仿宋_GB2312"/>
          <w:highlight w:val="none"/>
        </w:rPr>
        <w:t>主要内容：</w:t>
      </w:r>
      <w:r>
        <w:rPr>
          <w:rFonts w:hint="eastAsia"/>
          <w:color w:val="auto"/>
          <w:lang w:val="en-US" w:eastAsia="zh-CN"/>
        </w:rPr>
        <w:t>1、</w:t>
      </w:r>
      <w:r>
        <w:rPr>
          <w:rFonts w:hint="eastAsia"/>
          <w:color w:val="auto"/>
        </w:rPr>
        <w:t>组建本试验站创新团队并与</w:t>
      </w:r>
      <w:r>
        <w:rPr>
          <w:rFonts w:hint="eastAsia"/>
          <w:color w:val="auto"/>
          <w:lang w:val="en-US" w:eastAsia="zh-CN"/>
        </w:rPr>
        <w:t>巴</w:t>
      </w:r>
      <w:r>
        <w:rPr>
          <w:rFonts w:hint="eastAsia"/>
          <w:color w:val="auto"/>
        </w:rPr>
        <w:t>州农业技术推广</w:t>
      </w:r>
      <w:r>
        <w:rPr>
          <w:rFonts w:hint="eastAsia"/>
          <w:color w:val="auto"/>
          <w:lang w:val="en-US" w:eastAsia="zh-CN"/>
        </w:rPr>
        <w:t>中心</w:t>
      </w:r>
      <w:r>
        <w:rPr>
          <w:rFonts w:hint="eastAsia"/>
          <w:color w:val="auto"/>
        </w:rPr>
        <w:t>、</w:t>
      </w:r>
      <w:r>
        <w:rPr>
          <w:rFonts w:hint="eastAsia"/>
          <w:color w:val="auto"/>
          <w:lang w:val="en-US" w:eastAsia="zh-CN"/>
        </w:rPr>
        <w:t>焉耆盆地</w:t>
      </w:r>
      <w:r>
        <w:rPr>
          <w:rFonts w:hint="eastAsia"/>
          <w:color w:val="auto"/>
        </w:rPr>
        <w:t>各县农业</w:t>
      </w:r>
      <w:r>
        <w:rPr>
          <w:rFonts w:hint="eastAsia"/>
          <w:color w:val="auto"/>
          <w:lang w:val="en-US" w:eastAsia="zh-CN"/>
        </w:rPr>
        <w:t>局、农业</w:t>
      </w:r>
      <w:r>
        <w:rPr>
          <w:rFonts w:hint="eastAsia"/>
          <w:color w:val="auto"/>
        </w:rPr>
        <w:t>技术推广</w:t>
      </w:r>
      <w:r>
        <w:rPr>
          <w:rFonts w:hint="eastAsia"/>
          <w:color w:val="auto"/>
          <w:lang w:val="en-US" w:eastAsia="zh-CN"/>
        </w:rPr>
        <w:t>中心</w:t>
      </w:r>
      <w:r>
        <w:rPr>
          <w:rFonts w:hint="eastAsia"/>
          <w:color w:val="auto"/>
        </w:rPr>
        <w:t>建立联系，调查收集生产</w:t>
      </w:r>
      <w:r>
        <w:rPr>
          <w:rFonts w:hint="eastAsia"/>
          <w:color w:val="auto"/>
          <w:lang w:val="en-US" w:eastAsia="zh-CN"/>
        </w:rPr>
        <w:t>中的</w:t>
      </w:r>
      <w:r>
        <w:rPr>
          <w:rFonts w:hint="eastAsia"/>
          <w:color w:val="auto"/>
        </w:rPr>
        <w:t>实际问题、技术需求；</w:t>
      </w:r>
      <w:r>
        <w:rPr>
          <w:rFonts w:hint="eastAsia"/>
          <w:color w:val="auto"/>
          <w:lang w:val="en-US" w:eastAsia="zh-CN"/>
        </w:rPr>
        <w:t>2</w:t>
      </w:r>
      <w:r>
        <w:rPr>
          <w:rFonts w:hint="eastAsia"/>
          <w:color w:val="auto"/>
        </w:rPr>
        <w:t>、</w:t>
      </w:r>
      <w:r>
        <w:rPr>
          <w:rFonts w:hint="eastAsia"/>
          <w:color w:val="auto"/>
          <w:lang w:val="en-US" w:eastAsia="zh-CN"/>
        </w:rPr>
        <w:t>根据岗位科学家团队的要求</w:t>
      </w:r>
      <w:r>
        <w:rPr>
          <w:rFonts w:hint="eastAsia"/>
          <w:color w:val="auto"/>
        </w:rPr>
        <w:t>开展优异种质收集创新及新品种比较示范，对加工番茄新品种（系）进行比较试验，引进加工番茄新品种（系）每年30份</w:t>
      </w:r>
      <w:r>
        <w:rPr>
          <w:rFonts w:hint="eastAsia"/>
          <w:color w:val="auto"/>
          <w:lang w:val="en-US" w:eastAsia="zh-CN"/>
        </w:rPr>
        <w:t>以上</w:t>
      </w:r>
      <w:r>
        <w:rPr>
          <w:rFonts w:hint="eastAsia"/>
          <w:color w:val="auto"/>
        </w:rPr>
        <w:t>，测定产量、可溶性固形物、番茄红素等，预期筛选出2个优良品种，其中早熟品种1个，固形物含量5%左右，生育期98天左右。中晚熟品种1个，固形物含量5.5%左右，生育期110-125天。番茄红素均13mg/100g</w:t>
      </w:r>
      <w:r>
        <w:rPr>
          <w:rFonts w:hint="eastAsia"/>
          <w:color w:val="auto"/>
          <w:lang w:val="en-US" w:eastAsia="zh-CN"/>
        </w:rPr>
        <w:t>以上</w:t>
      </w:r>
      <w:r>
        <w:rPr>
          <w:rFonts w:hint="eastAsia"/>
          <w:color w:val="auto"/>
        </w:rPr>
        <w:t xml:space="preserve">。 </w:t>
      </w:r>
      <w:r>
        <w:rPr>
          <w:rFonts w:hint="eastAsia"/>
          <w:color w:val="auto"/>
          <w:lang w:val="en-US" w:eastAsia="zh-CN"/>
        </w:rPr>
        <w:t>3</w:t>
      </w:r>
      <w:r>
        <w:rPr>
          <w:rFonts w:hint="eastAsia"/>
          <w:color w:val="auto"/>
        </w:rPr>
        <w:t>、在加工番茄主产区建立3个病虫害监测点，定期开展“四定一查”工作，在病虫害发生关键时期，开展普查工作，发布病虫害发生防治预测预报信息，及时指导种植户进行科学防治。4、培养基层农业技术人员</w:t>
      </w:r>
      <w:r>
        <w:rPr>
          <w:rFonts w:hint="eastAsia"/>
          <w:color w:val="auto"/>
          <w:lang w:val="en-US" w:eastAsia="zh-CN"/>
        </w:rPr>
        <w:t>2名</w:t>
      </w:r>
      <w:r>
        <w:rPr>
          <w:rFonts w:hint="eastAsia"/>
          <w:color w:val="auto"/>
        </w:rPr>
        <w:t>，</w:t>
      </w:r>
      <w:r>
        <w:rPr>
          <w:rFonts w:hint="eastAsia"/>
          <w:color w:val="auto"/>
          <w:lang w:val="en-US" w:eastAsia="zh-CN"/>
        </w:rPr>
        <w:t>在生产中的关键节点</w:t>
      </w:r>
      <w:r>
        <w:rPr>
          <w:rFonts w:hint="eastAsia"/>
          <w:color w:val="auto"/>
        </w:rPr>
        <w:t>对种植户在加工番茄育苗、栽培技术、病虫害综合绿色防治、机械采收等方面进行培训观摩，培训人数100人/次以上。5.完成蔬菜产业技术体系安排的其他工作。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ascii="仿宋_GB2312"/>
          <w:highlight w:val="none"/>
        </w:rPr>
        <w:t>实施情况：</w:t>
      </w:r>
      <w:r>
        <w:rPr>
          <w:rFonts w:hint="eastAsia"/>
          <w:color w:val="auto"/>
        </w:rPr>
        <w:t>一是在焉耆盆地主产区建立2个加工番茄新品种（系）生产示范基地，辐射带动示范面积0.14万亩。30个加工番茄新品种（系）比较试验中两个品系的可溶性固形物5%</w:t>
      </w:r>
      <w:r>
        <w:rPr>
          <w:rFonts w:hint="eastAsia"/>
          <w:color w:val="auto"/>
          <w:lang w:val="en-US" w:eastAsia="zh-CN"/>
        </w:rPr>
        <w:t>以上</w:t>
      </w:r>
      <w:r>
        <w:rPr>
          <w:rFonts w:hint="eastAsia"/>
          <w:color w:val="auto"/>
        </w:rPr>
        <w:t>，番茄红素12mg/100g</w:t>
      </w:r>
      <w:r>
        <w:rPr>
          <w:rFonts w:hint="eastAsia"/>
          <w:color w:val="auto"/>
          <w:lang w:val="en-US" w:eastAsia="zh-CN"/>
        </w:rPr>
        <w:t>以上</w:t>
      </w:r>
      <w:r>
        <w:rPr>
          <w:rFonts w:hint="eastAsia"/>
          <w:color w:val="auto"/>
        </w:rPr>
        <w:t>，折合亩产10t</w:t>
      </w:r>
      <w:r>
        <w:rPr>
          <w:rFonts w:hint="eastAsia"/>
          <w:color w:val="auto"/>
          <w:lang w:val="en-US" w:eastAsia="zh-CN"/>
        </w:rPr>
        <w:t>以上</w:t>
      </w:r>
      <w:r>
        <w:rPr>
          <w:rFonts w:hint="eastAsia"/>
          <w:color w:val="auto"/>
        </w:rPr>
        <w:t>，明年可进行示范推广。32个色素辣椒新品种（系）比较试验中两个品系的小区平均产量和色价均高于红龙23。二是根据产业需求制定了6个加工辣椒、加工番茄的巴州地方标准。三是向各县市发布了农时农事提示、防冻减灾措施和农作物防冻防寒措施各1套。四是在生产的关键节点对种植户开展育苗、栽培技术、病虫害综合防治、机械移栽等方面的培训和观摩会。累计培训5场次，合计培训农民技术员400余人次。邀请岗位专家许建军研究员为农户开展多场病虫害综合防治培训并发放防治彩页。开展4场农业系统加工番茄、色素辣椒新品种（系）示范观摩会及1场高产示范观摩交流会。9月协助蔬菜产业体系沙湾试验站在巴州召开新疆加工辣椒产业高质量发展论坛暨机采现场观摩会。</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万元，实际总投入</w:t>
      </w:r>
      <w:r>
        <w:rPr>
          <w:rFonts w:hint="eastAsia"/>
          <w:color w:val="auto"/>
          <w:lang w:val="en-US" w:eastAsia="zh-CN"/>
        </w:rPr>
        <w:t>20</w:t>
      </w:r>
      <w:r>
        <w:rPr>
          <w:rFonts w:hint="eastAsia"/>
          <w:color w:val="auto"/>
        </w:rPr>
        <w:t>万元，该项目资金已全部落实到位，资金来源为</w:t>
      </w:r>
      <w:r>
        <w:rPr>
          <w:rFonts w:hint="eastAsia"/>
          <w:color w:val="auto"/>
          <w:lang w:val="en-US" w:eastAsia="zh-CN"/>
        </w:rPr>
        <w:t>自治区人才发展基金</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lang w:val="en-US" w:eastAsia="zh-CN"/>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color w:val="auto"/>
        </w:rPr>
        <w:t>该项目年初预算数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%，用于：物资采购费用</w:t>
      </w:r>
      <w:r>
        <w:rPr>
          <w:rFonts w:hint="eastAsia"/>
          <w:color w:val="auto"/>
          <w:lang w:val="en-US" w:eastAsia="zh-CN"/>
        </w:rPr>
        <w:t>12</w:t>
      </w:r>
      <w:r>
        <w:rPr>
          <w:rFonts w:hint="eastAsia"/>
          <w:color w:val="auto"/>
        </w:rPr>
        <w:t>万元</w:t>
      </w:r>
      <w:r>
        <w:rPr>
          <w:rFonts w:hint="eastAsia"/>
          <w:color w:val="auto"/>
          <w:lang w:eastAsia="zh-CN"/>
        </w:rPr>
        <w:t>，基本科研业务费用</w:t>
      </w:r>
      <w:r>
        <w:rPr>
          <w:rFonts w:hint="eastAsia"/>
          <w:color w:val="auto"/>
          <w:lang w:val="en-US" w:eastAsia="zh-CN"/>
        </w:rPr>
        <w:t>8万元。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rPr>
        <w:t>1</w:t>
      </w:r>
      <w:r>
        <w:rPr>
          <w:rFonts w:hint="eastAsia"/>
          <w:lang w:val="en-US" w:eastAsia="zh-CN"/>
        </w:rPr>
        <w:t>.</w:t>
      </w:r>
      <w:r>
        <w:rPr>
          <w:rFonts w:hint="eastAsia"/>
        </w:rPr>
        <w:t>总体目标：</w:t>
      </w:r>
      <w:r>
        <w:rPr>
          <w:rFonts w:hint="eastAsia"/>
          <w:color w:val="auto"/>
          <w:lang w:val="en-US" w:eastAsia="zh-CN"/>
        </w:rPr>
        <w:t>示范面积15亩以上，辐射带动面积200亩以上，引进新材料30个以上，项目执行将遵守自治区现代农业产业体系建设实施方案、管理办法及其它有关规定以及首席专家、副首席、岗位专家的要求做好工作的宣传报道及加工番茄种植技术培训工作，进一步扩大自治区现代农业产业技术体系社会影响。有利于我国农业参与国际竞争，也有利于发展农村经济、增加农民收入，促进我州各县的农业产业结构调整和农业增收。</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t>2</w:t>
      </w:r>
      <w:r>
        <w:rPr>
          <w:rFonts w:hint="eastAsia"/>
          <w:lang w:val="en-US" w:eastAsia="zh-CN"/>
        </w:rPr>
        <w:t>.</w:t>
      </w:r>
      <w:r>
        <w:rPr>
          <w:rFonts w:hint="eastAsia"/>
        </w:rPr>
        <w:t>阶段性目标：</w:t>
      </w:r>
      <w:r>
        <w:rPr>
          <w:rFonts w:hint="default"/>
          <w:lang w:val="en-US"/>
        </w:rPr>
        <w:t>2023</w:t>
      </w:r>
      <w:r>
        <w:rPr>
          <w:rFonts w:hint="eastAsia"/>
          <w:lang w:val="en-US" w:eastAsia="zh-CN"/>
        </w:rPr>
        <w:t>年1月至3月，制定项目计划与绩效考核指标，完成项目的准备工作。2023年4月至9月，</w:t>
      </w:r>
      <w:r>
        <w:rPr>
          <w:rFonts w:hint="eastAsia"/>
          <w:color w:val="auto"/>
          <w:lang w:val="en-US" w:eastAsia="zh-CN"/>
        </w:rPr>
        <w:t>完成加工番茄示范面积15亩，辐射带动农户200亩以上。引进加工番茄品种（系）和种质资源37个，在加工番茄主产区建立3个病虫害监测点，在病虫害发生关键时期，及时指导种植户进行科学防治。在项目实施过程中，完成产业体系安排的调查研究及技术指导工作，共培训农业技术人员和种植户100人次。2023年10月至12月，进行项目数据整理与试验报告的撰写，对照年初制定的</w:t>
      </w:r>
      <w:r>
        <w:rPr>
          <w:rFonts w:hint="eastAsia"/>
          <w:lang w:val="en-US" w:eastAsia="zh-CN"/>
        </w:rPr>
        <w:t>绩效考核指标，完成项目的总结工作。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lang w:eastAsia="zh-CN"/>
        </w:rPr>
      </w:pPr>
      <w:r>
        <w:rPr>
          <w:rFonts w:hint="eastAsia" w:ascii="仿宋_GB2312"/>
          <w:bCs/>
          <w:color w:val="auto"/>
          <w:sz w:val="32"/>
          <w:szCs w:val="32"/>
        </w:rPr>
        <w:t>通</w:t>
      </w:r>
      <w:r>
        <w:rPr>
          <w:rFonts w:hint="eastAsia"/>
          <w:lang w:eastAsia="zh-CN"/>
        </w:rPr>
        <w:t>过绩效评价，客观地评判项目的管理绩效，了解和掌握</w:t>
      </w:r>
      <w:r>
        <w:rPr>
          <w:rFonts w:hint="eastAsia"/>
          <w:lang w:val="en-US" w:eastAsia="zh-CN"/>
        </w:rPr>
        <w:t>该</w:t>
      </w:r>
      <w:r>
        <w:rPr>
          <w:rFonts w:hint="eastAsia"/>
          <w:lang w:eastAsia="zh-CN"/>
        </w:rPr>
        <w:t>经费的具体情况，评价该项目资金安排的科学性、合理性、规范性和资金的使用成效，及时总结项目管理经验，完善项目管理办法，提高项目管理水平和资金使用效益。促使我</w:t>
      </w:r>
      <w:r>
        <w:rPr>
          <w:rFonts w:hint="eastAsia"/>
          <w:lang w:val="en-US" w:eastAsia="zh-CN"/>
        </w:rPr>
        <w:t>单位</w:t>
      </w:r>
      <w:r>
        <w:rPr>
          <w:rFonts w:hint="eastAsia"/>
          <w:lang w:eastAsia="zh-CN"/>
        </w:rPr>
        <w:t>根据绩效评价中发现的问题，认真加以整改，及时调整和完善单位的工作计划并加强项目</w:t>
      </w:r>
      <w:r>
        <w:rPr>
          <w:rFonts w:hint="eastAsia"/>
          <w:lang w:val="en-US" w:eastAsia="zh-CN"/>
        </w:rPr>
        <w:t>绩效</w:t>
      </w:r>
      <w:r>
        <w:rPr>
          <w:rFonts w:hint="eastAsia"/>
          <w:lang w:eastAsia="zh-CN"/>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lang w:val="en-US" w:eastAsia="zh-CN"/>
        </w:rPr>
        <w:t>2023年自治区人才发展基金项目-产业技术创新团队支持计划-现代农业产业技术体系人才-蔬菜体系</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val="en-US" w:eastAsia="zh-CN"/>
        </w:rPr>
        <w:t>2023年自治区人才发展基金项目-产业技术创新团队支持计划-现代农业产业技术体系人才-蔬菜体系</w:t>
      </w:r>
      <w:r>
        <w:rPr>
          <w:rFonts w:hint="eastAsia"/>
          <w:color w:val="auto"/>
        </w:rPr>
        <w:t>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w:t>
      </w:r>
      <w:r>
        <w:rPr>
          <w:rFonts w:hint="eastAsia" w:ascii="仿宋_GB2312" w:eastAsia="仿宋_GB2312"/>
          <w:b w:val="0"/>
          <w:bCs w:val="0"/>
          <w:lang w:val="en-US" w:eastAsia="zh-CN"/>
        </w:rPr>
        <w:t xml:space="preserve"> </w:t>
      </w:r>
      <w:r>
        <w:rPr>
          <w:rFonts w:hint="eastAsia" w:ascii="仿宋_GB2312" w:eastAsia="仿宋_GB2312"/>
          <w:b w:val="0"/>
          <w:bCs w:val="0"/>
        </w:rPr>
        <w:t>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（一）科学公正。本次项目支出绩效评价</w:t>
      </w:r>
      <w:r>
        <w:rPr>
          <w:rFonts w:hint="eastAsia" w:cs="Times New Roman"/>
          <w:color w:val="auto"/>
          <w:lang w:eastAsia="zh-CN"/>
        </w:rPr>
        <w:t>按照农业科研项目运行工作要求，坚持农业类科研发展项目独立、客观、公正以及科学的原则，</w:t>
      </w:r>
      <w:r>
        <w:rPr>
          <w:rFonts w:hint="default" w:ascii="Times New Roman" w:hAnsi="Times New Roman" w:eastAsia="仿宋_GB2312" w:cs="Times New Roman"/>
          <w:color w:val="auto"/>
        </w:rPr>
        <w:t>运用</w:t>
      </w:r>
      <w:r>
        <w:rPr>
          <w:rFonts w:hint="eastAsia" w:cs="Times New Roman"/>
          <w:color w:val="auto"/>
          <w:lang w:eastAsia="zh-CN"/>
        </w:rPr>
        <w:t>科学、规范的评价程序和操作过程，准确、全面、系统的针</w:t>
      </w:r>
      <w:r>
        <w:rPr>
          <w:rFonts w:hint="default" w:ascii="Times New Roman" w:hAnsi="Times New Roman" w:eastAsia="仿宋_GB2312" w:cs="Times New Roman"/>
          <w:color w:val="auto"/>
        </w:rPr>
        <w:t>对</w:t>
      </w:r>
      <w:r>
        <w:rPr>
          <w:rFonts w:hint="eastAsia" w:cs="Times New Roman"/>
          <w:color w:val="auto"/>
          <w:lang w:eastAsia="zh-CN"/>
        </w:rPr>
        <w:t>农业科研</w:t>
      </w:r>
      <w:r>
        <w:rPr>
          <w:rFonts w:hint="default" w:ascii="Times New Roman" w:hAnsi="Times New Roman" w:eastAsia="仿宋_GB2312" w:cs="Times New Roman"/>
          <w:color w:val="auto"/>
        </w:rPr>
        <w:t>项目绩效进行客观、公正的反映。</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（二）统筹兼顾。本次项目支出绩效评价由本单位自主实施</w:t>
      </w:r>
      <w:r>
        <w:rPr>
          <w:rFonts w:hint="eastAsia" w:cs="Times New Roman"/>
          <w:color w:val="auto"/>
          <w:lang w:eastAsia="zh-CN"/>
        </w:rPr>
        <w:t>并积极组织自评</w:t>
      </w:r>
      <w:r>
        <w:rPr>
          <w:rFonts w:hint="default" w:ascii="Times New Roman" w:hAnsi="Times New Roman" w:eastAsia="仿宋_GB2312" w:cs="Times New Roman"/>
          <w:color w:val="auto"/>
        </w:rPr>
        <w:t>，</w:t>
      </w:r>
      <w:r>
        <w:rPr>
          <w:rFonts w:hint="eastAsia" w:cs="Times New Roman"/>
          <w:color w:val="auto"/>
          <w:lang w:eastAsia="zh-CN"/>
        </w:rPr>
        <w:t>项目负责人或项目成员依据项目年度目标完成项目整体工作内容，按照农业科研项目绩效评价要求完成项目绩效评价，</w:t>
      </w:r>
      <w:r>
        <w:rPr>
          <w:rFonts w:hint="default" w:ascii="Times New Roman" w:hAnsi="Times New Roman" w:eastAsia="仿宋_GB2312" w:cs="Times New Roman"/>
          <w:color w:val="auto"/>
        </w:rPr>
        <w:t>即“谁支出、谁自评”。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（三）激励约束。本次项目支出绩效评价结果</w:t>
      </w:r>
      <w:r>
        <w:rPr>
          <w:rFonts w:hint="eastAsia" w:cs="Times New Roman"/>
          <w:color w:val="auto"/>
          <w:lang w:eastAsia="zh-CN"/>
        </w:rPr>
        <w:t>要贴合科研项目</w:t>
      </w:r>
      <w:r>
        <w:rPr>
          <w:rFonts w:hint="default" w:ascii="Times New Roman" w:hAnsi="Times New Roman" w:eastAsia="仿宋_GB2312" w:cs="Times New Roman"/>
          <w:color w:val="auto"/>
        </w:rPr>
        <w:t>预算</w:t>
      </w:r>
      <w:r>
        <w:rPr>
          <w:rFonts w:hint="eastAsia" w:cs="Times New Roman"/>
          <w:color w:val="auto"/>
          <w:lang w:eastAsia="zh-CN"/>
        </w:rPr>
        <w:t>计划</w:t>
      </w:r>
      <w:r>
        <w:rPr>
          <w:rFonts w:hint="default" w:ascii="Times New Roman" w:hAnsi="Times New Roman" w:eastAsia="仿宋_GB2312" w:cs="Times New Roman"/>
          <w:color w:val="auto"/>
        </w:rPr>
        <w:t>、</w:t>
      </w:r>
      <w:r>
        <w:rPr>
          <w:rFonts w:hint="eastAsia" w:cs="Times New Roman"/>
          <w:color w:val="auto"/>
          <w:lang w:eastAsia="zh-CN"/>
        </w:rPr>
        <w:t>农业</w:t>
      </w:r>
      <w:r>
        <w:rPr>
          <w:rFonts w:hint="default" w:ascii="Times New Roman" w:hAnsi="Times New Roman" w:eastAsia="仿宋_GB2312" w:cs="Times New Roman"/>
          <w:color w:val="auto"/>
        </w:rPr>
        <w:t>政策调整</w:t>
      </w:r>
      <w:r>
        <w:rPr>
          <w:rFonts w:hint="eastAsia" w:cs="Times New Roman"/>
          <w:color w:val="auto"/>
          <w:lang w:eastAsia="zh-CN"/>
        </w:rPr>
        <w:t>以及项目</w:t>
      </w:r>
      <w:r>
        <w:rPr>
          <w:rFonts w:hint="default" w:ascii="Times New Roman" w:hAnsi="Times New Roman" w:eastAsia="仿宋_GB2312" w:cs="Times New Roman"/>
          <w:color w:val="auto"/>
        </w:rPr>
        <w:t>改进管理，</w:t>
      </w:r>
      <w:r>
        <w:rPr>
          <w:rFonts w:hint="eastAsia" w:cs="Times New Roman"/>
          <w:color w:val="auto"/>
          <w:lang w:eastAsia="zh-CN"/>
        </w:rPr>
        <w:t>同时要</w:t>
      </w:r>
      <w:r>
        <w:rPr>
          <w:rFonts w:hint="default" w:ascii="Times New Roman" w:hAnsi="Times New Roman" w:eastAsia="仿宋_GB2312" w:cs="Times New Roman"/>
          <w:color w:val="auto"/>
        </w:rPr>
        <w:t>体现奖优罚劣和激励</w:t>
      </w:r>
      <w:r>
        <w:rPr>
          <w:rFonts w:hint="eastAsia" w:cs="Times New Roman"/>
          <w:color w:val="auto"/>
          <w:lang w:eastAsia="zh-CN"/>
        </w:rPr>
        <w:t>约束</w:t>
      </w:r>
      <w:r>
        <w:rPr>
          <w:rFonts w:hint="default" w:ascii="Times New Roman" w:hAnsi="Times New Roman" w:eastAsia="仿宋_GB2312" w:cs="Times New Roman"/>
          <w:color w:val="auto"/>
        </w:rPr>
        <w:t>，</w:t>
      </w:r>
      <w:r>
        <w:rPr>
          <w:rFonts w:hint="eastAsia" w:cs="Times New Roman"/>
          <w:color w:val="auto"/>
          <w:lang w:eastAsia="zh-CN"/>
        </w:rPr>
        <w:t>项目绩效评价结果</w:t>
      </w:r>
      <w:r>
        <w:rPr>
          <w:rFonts w:hint="default" w:ascii="Times New Roman" w:hAnsi="Times New Roman" w:eastAsia="仿宋_GB2312" w:cs="Times New Roman"/>
          <w:color w:val="auto"/>
        </w:rPr>
        <w:t>有效</w:t>
      </w:r>
      <w:r>
        <w:rPr>
          <w:rFonts w:hint="eastAsia" w:cs="Times New Roman"/>
          <w:color w:val="auto"/>
          <w:lang w:eastAsia="zh-CN"/>
        </w:rPr>
        <w:t>可支持</w:t>
      </w:r>
      <w:r>
        <w:rPr>
          <w:rFonts w:hint="default" w:ascii="Times New Roman" w:hAnsi="Times New Roman" w:eastAsia="仿宋_GB2312" w:cs="Times New Roman"/>
          <w:color w:val="auto"/>
        </w:rPr>
        <w:t>安排</w:t>
      </w:r>
      <w:r>
        <w:rPr>
          <w:rFonts w:hint="eastAsia" w:cs="Times New Roman"/>
          <w:color w:val="auto"/>
          <w:lang w:eastAsia="zh-CN"/>
        </w:rPr>
        <w:t>项目开展，评价结果低效</w:t>
      </w:r>
      <w:r>
        <w:rPr>
          <w:rFonts w:hint="default" w:ascii="Times New Roman" w:hAnsi="Times New Roman" w:eastAsia="仿宋_GB2312" w:cs="Times New Roman"/>
          <w:color w:val="auto"/>
        </w:rPr>
        <w:t>要压减</w:t>
      </w:r>
      <w:r>
        <w:rPr>
          <w:rFonts w:hint="eastAsia" w:cs="Times New Roman"/>
          <w:color w:val="auto"/>
          <w:lang w:eastAsia="zh-CN"/>
        </w:rPr>
        <w:t>相关类科研项目，评价结果</w:t>
      </w:r>
      <w:r>
        <w:rPr>
          <w:rFonts w:hint="default" w:ascii="Times New Roman" w:hAnsi="Times New Roman" w:eastAsia="仿宋_GB2312" w:cs="Times New Roman"/>
          <w:color w:val="auto"/>
        </w:rPr>
        <w:t>无效要</w:t>
      </w:r>
      <w:r>
        <w:rPr>
          <w:rFonts w:hint="eastAsia" w:cs="Times New Roman"/>
          <w:color w:val="auto"/>
          <w:lang w:eastAsia="zh-CN"/>
        </w:rPr>
        <w:t>追责</w:t>
      </w:r>
      <w:r>
        <w:rPr>
          <w:rFonts w:hint="default" w:ascii="Times New Roman" w:hAnsi="Times New Roman" w:eastAsia="仿宋_GB2312" w:cs="Times New Roman"/>
          <w:color w:val="auto"/>
        </w:rPr>
        <w:t>问责</w:t>
      </w:r>
      <w:r>
        <w:rPr>
          <w:rFonts w:hint="eastAsia" w:cs="Times New Roman"/>
          <w:color w:val="auto"/>
          <w:lang w:eastAsia="zh-CN"/>
        </w:rPr>
        <w:t>相关项目负责人</w:t>
      </w:r>
      <w:r>
        <w:rPr>
          <w:rFonts w:hint="default" w:ascii="Times New Roman" w:hAnsi="Times New Roman" w:eastAsia="仿宋_GB2312" w:cs="Times New Roman"/>
          <w:color w:val="auto"/>
        </w:rPr>
        <w:t>。</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default" w:ascii="Times New Roman" w:hAnsi="Times New Roman" w:eastAsia="仿宋_GB2312" w:cs="Times New Roman"/>
          <w:color w:val="auto"/>
        </w:rPr>
        <w:t>（四）公开透明。本次项目支出绩效评价结果</w:t>
      </w:r>
      <w:r>
        <w:rPr>
          <w:rFonts w:hint="eastAsia" w:cs="Times New Roman"/>
          <w:color w:val="auto"/>
          <w:lang w:eastAsia="zh-CN"/>
        </w:rPr>
        <w:t>由本单位科研管理办公室工作人员和财务人员协助审核，并在本单位公示栏进行公示公开，同时</w:t>
      </w:r>
      <w:r>
        <w:rPr>
          <w:rFonts w:hint="default" w:ascii="Times New Roman" w:hAnsi="Times New Roman" w:eastAsia="仿宋_GB2312" w:cs="Times New Roman"/>
          <w:color w:val="auto"/>
        </w:rPr>
        <w:t>依法依规公开在</w:t>
      </w:r>
      <w:r>
        <w:rPr>
          <w:rFonts w:hint="default" w:ascii="Times New Roman" w:hAnsi="Times New Roman" w:eastAsia="仿宋_GB2312" w:cs="Times New Roman"/>
          <w:color w:val="auto"/>
          <w:lang w:val="en-US" w:eastAsia="zh-CN"/>
        </w:rPr>
        <w:t>新疆农业农村厅</w:t>
      </w:r>
      <w:r>
        <w:rPr>
          <w:rFonts w:hint="default" w:ascii="Times New Roman" w:hAnsi="Times New Roman" w:eastAsia="仿宋_GB2312" w:cs="Times New Roman"/>
          <w:color w:val="auto"/>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2、评价指标体系</w:t>
      </w:r>
      <w:r>
        <w:rPr>
          <w:rFonts w:hint="eastAsia"/>
        </w:rPr>
        <w:t>（附表说明）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eastAsia="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hint="eastAsia"/>
          <w:color w:val="000000"/>
          <w:spacing w:val="17"/>
          <w:sz w:val="32"/>
          <w:szCs w:val="32"/>
          <w:lang w:eastAsia="zh-CN"/>
        </w:rPr>
        <w:t>，</w:t>
      </w:r>
      <w:r>
        <w:rPr>
          <w:rFonts w:eastAsia="仿宋_GB2312"/>
          <w:color w:val="000000"/>
          <w:spacing w:val="17"/>
          <w:sz w:val="32"/>
          <w:szCs w:val="32"/>
        </w:rPr>
        <w:t>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rPr>
      </w:pPr>
      <w:r>
        <w:rPr>
          <w:rFonts w:hint="eastAsia"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本次项目支出绩效自评采用因素分析法，原因是：</w:t>
      </w:r>
      <w:r>
        <w:rPr>
          <w:rFonts w:hint="eastAsia" w:ascii="Times New Roman" w:hAnsi="Times New Roman" w:cs="Times New Roman"/>
          <w:color w:val="000000"/>
          <w:spacing w:val="17"/>
          <w:sz w:val="32"/>
          <w:szCs w:val="32"/>
          <w:lang w:eastAsia="zh-CN"/>
        </w:rPr>
        <w:t>农业科研</w:t>
      </w:r>
      <w:r>
        <w:rPr>
          <w:rFonts w:hint="eastAsia" w:ascii="Times New Roman" w:hAnsi="Times New Roman" w:eastAsia="仿宋_GB2312" w:cs="Times New Roman"/>
          <w:color w:val="000000"/>
          <w:spacing w:val="17"/>
          <w:sz w:val="32"/>
          <w:szCs w:val="32"/>
        </w:rPr>
        <w:t>项目的实施</w:t>
      </w:r>
      <w:r>
        <w:rPr>
          <w:rFonts w:hint="eastAsia" w:ascii="Times New Roman" w:hAnsi="Times New Roman" w:cs="Times New Roman"/>
          <w:color w:val="000000"/>
          <w:spacing w:val="17"/>
          <w:sz w:val="32"/>
          <w:szCs w:val="32"/>
          <w:lang w:eastAsia="zh-CN"/>
        </w:rPr>
        <w:t>过程</w:t>
      </w:r>
      <w:r>
        <w:rPr>
          <w:rFonts w:hint="eastAsia" w:ascii="Times New Roman" w:hAnsi="Times New Roman" w:eastAsia="仿宋_GB2312" w:cs="Times New Roman"/>
          <w:color w:val="000000"/>
          <w:spacing w:val="17"/>
          <w:sz w:val="32"/>
          <w:szCs w:val="32"/>
        </w:rPr>
        <w:t>存在诸多内外影响因素，从而影响项目的结果，故本次项目支出绩效自评采用因素分析法，综合分析影响绩效目标实现、实施效果的内外部因素结合项目实施情况，客观准确的对项目进行自评。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auto"/>
          <w:spacing w:val="17"/>
          <w:sz w:val="32"/>
          <w:szCs w:val="32"/>
        </w:rPr>
      </w:pPr>
      <w:bookmarkStart w:id="6" w:name="_Toc68703833"/>
      <w:r>
        <w:rPr>
          <w:rFonts w:hint="eastAsia" w:eastAsia="仿宋_GB2312"/>
          <w:color w:val="auto"/>
          <w:spacing w:val="17"/>
          <w:sz w:val="32"/>
          <w:szCs w:val="32"/>
        </w:rPr>
        <w:t>绩效评价标准通常包括计划标准、行业标准、历史标准等，用于对绩效指标完成情况进行比较、分析、评价。本次评价主要采用了</w:t>
      </w:r>
      <w:r>
        <w:rPr>
          <w:rFonts w:hint="eastAsia"/>
          <w:color w:val="auto"/>
          <w:spacing w:val="17"/>
          <w:sz w:val="32"/>
          <w:szCs w:val="32"/>
          <w:lang w:eastAsia="zh-CN"/>
        </w:rPr>
        <w:t>计划标准，</w:t>
      </w:r>
      <w:r>
        <w:rPr>
          <w:rFonts w:hint="eastAsia" w:ascii="Times New Roman" w:hAnsi="Times New Roman" w:eastAsia="仿宋_GB2312" w:cs="Times New Roman"/>
          <w:color w:val="auto"/>
          <w:spacing w:val="17"/>
          <w:sz w:val="32"/>
          <w:szCs w:val="32"/>
        </w:rPr>
        <w:t>原因是</w:t>
      </w:r>
      <w:r>
        <w:rPr>
          <w:rFonts w:hint="eastAsia" w:ascii="Times New Roman" w:hAnsi="Times New Roman" w:cs="Times New Roman"/>
          <w:color w:val="auto"/>
          <w:spacing w:val="17"/>
          <w:sz w:val="32"/>
          <w:szCs w:val="32"/>
          <w:lang w:eastAsia="zh-CN"/>
        </w:rPr>
        <w:t>：</w:t>
      </w:r>
      <w:r>
        <w:rPr>
          <w:rFonts w:hint="eastAsia" w:ascii="Times New Roman" w:hAnsi="Times New Roman" w:eastAsia="仿宋_GB2312" w:cs="Times New Roman"/>
          <w:color w:val="auto"/>
          <w:spacing w:val="17"/>
          <w:sz w:val="32"/>
          <w:szCs w:val="32"/>
        </w:rPr>
        <w:t>项目</w:t>
      </w:r>
      <w:r>
        <w:rPr>
          <w:rFonts w:hint="eastAsia"/>
          <w:bCs/>
          <w:color w:val="auto"/>
          <w:sz w:val="32"/>
          <w:szCs w:val="32"/>
        </w:rPr>
        <w:t>预先制定</w:t>
      </w:r>
      <w:r>
        <w:rPr>
          <w:rFonts w:hint="eastAsia"/>
          <w:bCs/>
          <w:color w:val="auto"/>
          <w:sz w:val="32"/>
          <w:szCs w:val="32"/>
          <w:lang w:eastAsia="zh-CN"/>
        </w:rPr>
        <w:t>了详细的</w:t>
      </w:r>
      <w:r>
        <w:rPr>
          <w:rFonts w:hint="eastAsia"/>
          <w:bCs/>
          <w:color w:val="auto"/>
          <w:sz w:val="32"/>
          <w:szCs w:val="32"/>
        </w:rPr>
        <w:t>目标、计划、预算、定额</w:t>
      </w:r>
      <w:r>
        <w:rPr>
          <w:rFonts w:hint="eastAsia"/>
          <w:bCs/>
          <w:color w:val="auto"/>
          <w:sz w:val="32"/>
          <w:szCs w:val="32"/>
          <w:lang w:eastAsia="zh-CN"/>
        </w:rPr>
        <w:t>等标准，在项目的</w:t>
      </w:r>
      <w:r>
        <w:rPr>
          <w:rFonts w:hint="eastAsia" w:ascii="Times New Roman" w:hAnsi="Times New Roman" w:eastAsia="仿宋_GB2312" w:cs="Times New Roman"/>
          <w:color w:val="auto"/>
          <w:spacing w:val="17"/>
          <w:sz w:val="32"/>
          <w:szCs w:val="32"/>
        </w:rPr>
        <w:t>的实施</w:t>
      </w:r>
      <w:r>
        <w:rPr>
          <w:rFonts w:hint="eastAsia" w:ascii="Times New Roman" w:hAnsi="Times New Roman" w:cs="Times New Roman"/>
          <w:color w:val="auto"/>
          <w:spacing w:val="17"/>
          <w:sz w:val="32"/>
          <w:szCs w:val="32"/>
          <w:lang w:eastAsia="zh-CN"/>
        </w:rPr>
        <w:t>过程中</w:t>
      </w:r>
      <w:r>
        <w:rPr>
          <w:rFonts w:hint="eastAsia" w:ascii="Times New Roman" w:hAnsi="Times New Roman" w:eastAsia="仿宋_GB2312" w:cs="Times New Roman"/>
          <w:color w:val="auto"/>
          <w:spacing w:val="17"/>
          <w:sz w:val="32"/>
          <w:szCs w:val="32"/>
        </w:rPr>
        <w:t>严格按照项制定</w:t>
      </w:r>
      <w:r>
        <w:rPr>
          <w:rFonts w:hint="eastAsia" w:ascii="Times New Roman" w:hAnsi="Times New Roman" w:cs="Times New Roman"/>
          <w:color w:val="auto"/>
          <w:spacing w:val="17"/>
          <w:sz w:val="32"/>
          <w:szCs w:val="32"/>
          <w:lang w:eastAsia="zh-CN"/>
        </w:rPr>
        <w:t>的</w:t>
      </w:r>
      <w:r>
        <w:rPr>
          <w:rFonts w:hint="eastAsia" w:ascii="Times New Roman" w:hAnsi="Times New Roman" w:eastAsia="仿宋_GB2312" w:cs="Times New Roman"/>
          <w:color w:val="auto"/>
          <w:spacing w:val="17"/>
          <w:sz w:val="32"/>
          <w:szCs w:val="32"/>
        </w:rPr>
        <w:t>目标、计划、预算逐步开展工作</w:t>
      </w:r>
      <w:r>
        <w:rPr>
          <w:rFonts w:hint="eastAsia" w:ascii="Times New Roman" w:hAnsi="Times New Roman" w:cs="Times New Roman"/>
          <w:color w:val="auto"/>
          <w:spacing w:val="17"/>
          <w:sz w:val="32"/>
          <w:szCs w:val="32"/>
          <w:lang w:eastAsia="zh-CN"/>
        </w:rPr>
        <w:t>，并按照</w:t>
      </w:r>
      <w:r>
        <w:rPr>
          <w:rFonts w:hint="eastAsia"/>
          <w:bCs/>
          <w:color w:val="auto"/>
          <w:sz w:val="32"/>
          <w:szCs w:val="32"/>
        </w:rPr>
        <w:t>预先制定的目标、计划、预算、定额等作为</w:t>
      </w:r>
      <w:r>
        <w:rPr>
          <w:rFonts w:hint="eastAsia"/>
          <w:bCs/>
          <w:color w:val="auto"/>
          <w:sz w:val="32"/>
          <w:szCs w:val="32"/>
          <w:lang w:eastAsia="zh-CN"/>
        </w:rPr>
        <w:t>项目的</w:t>
      </w:r>
      <w:r>
        <w:rPr>
          <w:rFonts w:hint="eastAsia"/>
          <w:bCs/>
          <w:color w:val="auto"/>
          <w:sz w:val="32"/>
          <w:szCs w:val="32"/>
        </w:rPr>
        <w:t>评价标准。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（三）绩效评价工作过程</w:t>
      </w:r>
      <w:bookmarkEnd w:id="6"/>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auto"/>
          <w:spacing w:val="17"/>
          <w:sz w:val="32"/>
          <w:szCs w:val="32"/>
          <w:lang w:eastAsia="zh-CN"/>
        </w:rPr>
      </w:pPr>
      <w:bookmarkStart w:id="7" w:name="_Toc68703834"/>
      <w:r>
        <w:rPr>
          <w:rFonts w:hint="eastAsia" w:ascii="Times New Roman" w:hAnsi="Times New Roman" w:cs="Times New Roman"/>
          <w:color w:val="auto"/>
          <w:spacing w:val="17"/>
          <w:sz w:val="32"/>
          <w:szCs w:val="32"/>
          <w:lang w:val="en-US" w:eastAsia="zh-CN"/>
        </w:rPr>
        <w:t>1.</w:t>
      </w:r>
      <w:r>
        <w:rPr>
          <w:rFonts w:hint="eastAsia" w:ascii="Times New Roman" w:hAnsi="Times New Roman" w:eastAsia="仿宋_GB2312" w:cs="Times New Roman"/>
          <w:color w:val="auto"/>
          <w:spacing w:val="17"/>
          <w:sz w:val="32"/>
          <w:szCs w:val="32"/>
          <w:lang w:eastAsia="zh-CN"/>
        </w:rPr>
        <w:t>前期准备。</w:t>
      </w:r>
      <w:r>
        <w:rPr>
          <w:rFonts w:hint="eastAsia" w:ascii="Times New Roman" w:hAnsi="Times New Roman" w:cs="Times New Roman"/>
          <w:color w:val="auto"/>
          <w:spacing w:val="17"/>
          <w:sz w:val="32"/>
          <w:szCs w:val="32"/>
          <w:lang w:val="en-US" w:eastAsia="zh-CN"/>
        </w:rPr>
        <w:t>2023年1月我单位</w:t>
      </w:r>
      <w:r>
        <w:rPr>
          <w:rFonts w:hint="eastAsia" w:ascii="Times New Roman" w:hAnsi="Times New Roman" w:eastAsia="仿宋_GB2312" w:cs="Times New Roman"/>
          <w:color w:val="auto"/>
          <w:spacing w:val="17"/>
          <w:sz w:val="32"/>
          <w:szCs w:val="32"/>
          <w:lang w:eastAsia="zh-CN"/>
        </w:rPr>
        <w:t>根据实际情况，对项目进行前期调研，根据调研实际情况，及单位实际，设定项目绩效目标，并根据项目绩效目标，设计实用的绩效评价体系，根据不同项目，召集各项目主持人，根据客观情况开会研讨确定项目评价方法，并根据项目情况，确定项目指标评价范围，</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auto"/>
          <w:spacing w:val="17"/>
          <w:sz w:val="32"/>
          <w:szCs w:val="32"/>
          <w:lang w:eastAsia="zh-CN"/>
        </w:rPr>
      </w:pPr>
      <w:r>
        <w:rPr>
          <w:rFonts w:hint="eastAsia" w:ascii="Times New Roman" w:hAnsi="Times New Roman" w:cs="Times New Roman"/>
          <w:color w:val="auto"/>
          <w:spacing w:val="17"/>
          <w:sz w:val="32"/>
          <w:szCs w:val="32"/>
          <w:lang w:val="en-US" w:eastAsia="zh-CN"/>
        </w:rPr>
        <w:t>2.</w:t>
      </w:r>
      <w:r>
        <w:rPr>
          <w:rFonts w:hint="eastAsia" w:ascii="Times New Roman" w:hAnsi="Times New Roman" w:eastAsia="仿宋_GB2312" w:cs="Times New Roman"/>
          <w:color w:val="auto"/>
          <w:spacing w:val="17"/>
          <w:sz w:val="32"/>
          <w:szCs w:val="32"/>
        </w:rPr>
        <w:t>组织实施</w:t>
      </w:r>
      <w:r>
        <w:rPr>
          <w:rFonts w:hint="eastAsia" w:ascii="Times New Roman" w:hAnsi="Times New Roman" w:eastAsia="仿宋_GB2312" w:cs="Times New Roman"/>
          <w:color w:val="auto"/>
          <w:spacing w:val="17"/>
          <w:sz w:val="32"/>
          <w:szCs w:val="32"/>
          <w:lang w:eastAsia="zh-CN"/>
        </w:rPr>
        <w:t>。</w:t>
      </w:r>
      <w:r>
        <w:rPr>
          <w:rFonts w:hint="eastAsia" w:ascii="Times New Roman" w:hAnsi="Times New Roman" w:cs="Times New Roman"/>
          <w:color w:val="auto"/>
          <w:spacing w:val="17"/>
          <w:sz w:val="32"/>
          <w:szCs w:val="32"/>
          <w:lang w:val="en-US" w:eastAsia="zh-CN"/>
        </w:rPr>
        <w:t>2023年2月至3月</w:t>
      </w:r>
      <w:r>
        <w:rPr>
          <w:rFonts w:hint="eastAsia" w:ascii="Times New Roman" w:hAnsi="Times New Roman" w:eastAsia="仿宋_GB2312" w:cs="Times New Roman"/>
          <w:color w:val="auto"/>
          <w:spacing w:val="17"/>
          <w:sz w:val="32"/>
          <w:szCs w:val="32"/>
          <w:lang w:val="en-US" w:eastAsia="zh-CN"/>
        </w:rPr>
        <w:t>根据前期准备制订绩效评价方案，根据不同项目实际情况，设立了包含项目评价思路、评价方法手段、组织实施方案、阶段性进度安排的评价方案，并定期收集相关评价印证资料，包含</w:t>
      </w:r>
      <w:r>
        <w:rPr>
          <w:rFonts w:hint="eastAsia" w:ascii="Times New Roman" w:hAnsi="Times New Roman" w:eastAsia="仿宋_GB2312" w:cs="Times New Roman"/>
          <w:color w:val="auto"/>
          <w:spacing w:val="17"/>
          <w:sz w:val="32"/>
          <w:szCs w:val="32"/>
        </w:rPr>
        <w:t>项目立项依据、相关会议纪要、实施方案、财政资金分配方案、支付管理情况</w:t>
      </w:r>
      <w:r>
        <w:rPr>
          <w:rFonts w:hint="eastAsia" w:ascii="Times New Roman" w:hAnsi="Times New Roman" w:eastAsia="仿宋_GB2312" w:cs="Times New Roman"/>
          <w:color w:val="auto"/>
          <w:spacing w:val="17"/>
          <w:sz w:val="32"/>
          <w:szCs w:val="32"/>
          <w:lang w:eastAsia="zh-CN"/>
        </w:rPr>
        <w:t>。</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auto"/>
          <w:spacing w:val="17"/>
          <w:sz w:val="32"/>
          <w:szCs w:val="32"/>
          <w:lang w:val="en-US" w:eastAsia="zh-CN"/>
        </w:rPr>
      </w:pPr>
      <w:r>
        <w:rPr>
          <w:rFonts w:hint="eastAsia" w:ascii="Times New Roman" w:hAnsi="Times New Roman" w:cs="Times New Roman"/>
          <w:color w:val="auto"/>
          <w:spacing w:val="17"/>
          <w:sz w:val="32"/>
          <w:szCs w:val="32"/>
          <w:lang w:val="en-US" w:eastAsia="zh-CN"/>
        </w:rPr>
        <w:t>3.</w:t>
      </w:r>
      <w:r>
        <w:rPr>
          <w:rFonts w:hint="eastAsia" w:ascii="Times New Roman" w:hAnsi="Times New Roman" w:eastAsia="仿宋_GB2312" w:cs="Times New Roman"/>
          <w:color w:val="auto"/>
          <w:spacing w:val="17"/>
          <w:sz w:val="32"/>
          <w:szCs w:val="32"/>
        </w:rPr>
        <w:t>分析评价</w:t>
      </w:r>
      <w:r>
        <w:rPr>
          <w:rFonts w:hint="eastAsia" w:ascii="Times New Roman" w:hAnsi="Times New Roman" w:cs="Times New Roman"/>
          <w:color w:val="auto"/>
          <w:spacing w:val="17"/>
          <w:sz w:val="32"/>
          <w:szCs w:val="32"/>
          <w:lang w:eastAsia="zh-CN"/>
        </w:rPr>
        <w:t>。</w:t>
      </w:r>
      <w:r>
        <w:rPr>
          <w:rFonts w:hint="eastAsia" w:ascii="Times New Roman" w:hAnsi="Times New Roman" w:cs="Times New Roman"/>
          <w:color w:val="auto"/>
          <w:spacing w:val="17"/>
          <w:sz w:val="32"/>
          <w:szCs w:val="32"/>
          <w:lang w:val="en-US" w:eastAsia="zh-CN"/>
        </w:rPr>
        <w:t>2023年4月</w:t>
      </w:r>
      <w:r>
        <w:rPr>
          <w:rFonts w:hint="eastAsia" w:ascii="Times New Roman" w:hAnsi="Times New Roman" w:eastAsia="仿宋_GB2312" w:cs="Times New Roman"/>
          <w:color w:val="auto"/>
          <w:spacing w:val="17"/>
          <w:sz w:val="32"/>
          <w:szCs w:val="32"/>
          <w:lang w:eastAsia="zh-CN"/>
        </w:rPr>
        <w:t>对定期收集的相关印证资料等内容，根据</w:t>
      </w:r>
      <w:r>
        <w:rPr>
          <w:rFonts w:hint="eastAsia" w:ascii="Times New Roman" w:hAnsi="Times New Roman" w:eastAsia="仿宋_GB2312" w:cs="Times New Roman"/>
          <w:color w:val="auto"/>
          <w:spacing w:val="17"/>
          <w:sz w:val="32"/>
          <w:szCs w:val="32"/>
          <w:lang w:val="en-US" w:eastAsia="zh-CN"/>
        </w:rPr>
        <w:t>前期制订的绩效评价方案对项目已确定的绩效评价指标，巴州农科院评价工作组严格客观的对各项目进行全面的分析评价，逐项打分并形成绩效评价最终结果。</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auto"/>
          <w:spacing w:val="17"/>
          <w:sz w:val="32"/>
          <w:szCs w:val="32"/>
        </w:rPr>
      </w:pPr>
      <w:r>
        <w:rPr>
          <w:rFonts w:hint="eastAsia" w:ascii="Times New Roman" w:hAnsi="Times New Roman" w:eastAsia="仿宋_GB2312" w:cs="Times New Roman"/>
          <w:color w:val="auto"/>
          <w:spacing w:val="17"/>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val="en-US" w:eastAsia="zh-CN"/>
        </w:rPr>
        <w:t>因素分析法</w:t>
      </w:r>
      <w:r>
        <w:rPr>
          <w:rFonts w:hint="eastAsia"/>
          <w:color w:val="auto"/>
        </w:rPr>
        <w:t>，坚持</w:t>
      </w:r>
      <w:r>
        <w:rPr>
          <w:rFonts w:hint="eastAsia"/>
          <w:color w:val="auto"/>
          <w:lang w:eastAsia="zh-CN"/>
        </w:rPr>
        <w:t>计划</w:t>
      </w:r>
      <w:r>
        <w:rPr>
          <w:rFonts w:hint="eastAsia"/>
          <w:color w:val="auto"/>
          <w:lang w:val="en-US" w:eastAsia="zh-CN"/>
        </w:rPr>
        <w:t>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rPr>
        <w:t>：</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分，属于“优”。其中，项目决策类指标权重为20分，得分为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color w:val="auto"/>
          <w:lang w:val="en-US" w:eastAsia="zh-CN"/>
        </w:rPr>
        <w:t>2023年自治区人才发展基金项目-产业技术创新团队支持计划-现代农业产业技术体系人才-蔬菜体系</w:t>
      </w:r>
      <w:r>
        <w:rPr>
          <w:rFonts w:hint="eastAsia"/>
          <w:color w:val="auto"/>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color w:val="000000"/>
                <w:kern w:val="2"/>
                <w:sz w:val="22"/>
                <w:szCs w:val="24"/>
                <w:lang w:val="en-US" w:eastAsia="zh-CN" w:bidi="ar-SA"/>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kern w:val="2"/>
                <w:sz w:val="22"/>
                <w:szCs w:val="24"/>
                <w:lang w:val="en-US" w:eastAsia="zh-CN" w:bidi="ar-SA"/>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ascii="Times New Roman" w:hAnsi="Times New Roman" w:eastAsia="仿宋_GB2312" w:cs="Times New Roman"/>
                <w:b/>
                <w:bCs/>
                <w:color w:val="000000"/>
                <w:kern w:val="2"/>
                <w:sz w:val="22"/>
                <w:szCs w:val="24"/>
                <w:lang w:val="en-US" w:eastAsia="zh-CN" w:bidi="ar-SA"/>
              </w:rPr>
            </w:pPr>
            <w:r>
              <w:rPr>
                <w:rFonts w:hint="eastAsia"/>
                <w:b/>
                <w:bCs/>
                <w:color w:val="000000"/>
                <w:sz w:val="22"/>
              </w:rPr>
              <w:t>100</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highlight w:val="none"/>
        </w:rPr>
        <w:t>本项目立项依据</w:t>
      </w:r>
      <w:r>
        <w:rPr>
          <w:rFonts w:hint="eastAsia"/>
          <w:color w:val="auto"/>
          <w:highlight w:val="none"/>
          <w:lang w:eastAsia="zh-CN"/>
        </w:rPr>
        <w:t>：</w:t>
      </w:r>
      <w:r>
        <w:rPr>
          <w:rFonts w:hint="eastAsia"/>
          <w:color w:val="auto"/>
          <w:highlight w:val="none"/>
        </w:rPr>
        <w:t>《</w:t>
      </w:r>
      <w:r>
        <w:rPr>
          <w:rFonts w:hint="eastAsia"/>
          <w:color w:val="auto"/>
          <w:highlight w:val="none"/>
          <w:lang w:eastAsia="zh-CN"/>
        </w:rPr>
        <w:t>关于下达</w:t>
      </w:r>
      <w:r>
        <w:rPr>
          <w:rFonts w:hint="eastAsia"/>
          <w:color w:val="auto"/>
          <w:highlight w:val="none"/>
          <w:lang w:val="en-US" w:eastAsia="zh-CN"/>
        </w:rPr>
        <w:t>2023年度新疆人才发展基金第一批重大人才计划项目支持资金的通知</w:t>
      </w:r>
      <w:r>
        <w:rPr>
          <w:rFonts w:hint="eastAsia"/>
          <w:color w:val="auto"/>
          <w:highlight w:val="none"/>
        </w:rPr>
        <w:t>》</w:t>
      </w:r>
      <w:r>
        <w:rPr>
          <w:rFonts w:hint="eastAsia"/>
          <w:color w:val="auto"/>
          <w:highlight w:val="none"/>
          <w:lang w:eastAsia="zh-CN"/>
        </w:rPr>
        <w:t>巴财行</w:t>
      </w:r>
      <w:r>
        <w:rPr>
          <w:rFonts w:hint="eastAsia"/>
          <w:color w:val="auto"/>
          <w:highlight w:val="none"/>
          <w:lang w:val="en-US" w:eastAsia="zh-CN"/>
        </w:rPr>
        <w:t>[2023] 5号</w:t>
      </w:r>
      <w:r>
        <w:rPr>
          <w:rFonts w:hint="eastAsia"/>
          <w:color w:val="auto"/>
          <w:highlight w:val="none"/>
        </w:rPr>
        <w:t>，</w:t>
      </w:r>
      <w:r>
        <w:rPr>
          <w:rFonts w:hint="eastAsia"/>
          <w:color w:val="auto"/>
        </w:rPr>
        <w:t>属于公共财政支持范围，符合中央、地方事权支出责任划分原则；</w:t>
      </w:r>
      <w:r>
        <w:rPr>
          <w:rFonts w:hint="eastAsia"/>
          <w:color w:val="auto"/>
          <w:highlight w:val="none"/>
        </w:rPr>
        <w:t>该</w:t>
      </w:r>
      <w:r>
        <w:rPr>
          <w:rFonts w:hint="eastAsia"/>
          <w:color w:val="auto"/>
        </w:rPr>
        <w:t>项目符合</w:t>
      </w:r>
      <w:r>
        <w:rPr>
          <w:rFonts w:hint="eastAsia"/>
          <w:color w:val="auto"/>
          <w:lang w:eastAsia="zh-CN"/>
        </w:rPr>
        <w:t>农业</w:t>
      </w:r>
      <w:r>
        <w:rPr>
          <w:rFonts w:hint="eastAsia"/>
          <w:color w:val="auto"/>
        </w:rPr>
        <w:t>发展规划和政策要求，属于</w:t>
      </w:r>
      <w:r>
        <w:rPr>
          <w:rFonts w:hint="eastAsia"/>
          <w:color w:val="auto"/>
          <w:lang w:eastAsia="zh-CN"/>
        </w:rPr>
        <w:t>农业</w:t>
      </w:r>
      <w:r>
        <w:rPr>
          <w:rFonts w:hint="eastAsia"/>
          <w:color w:val="auto"/>
        </w:rPr>
        <w:t>部门履职所需，与相关部门同类项目或部门内部相关项目</w:t>
      </w:r>
      <w:r>
        <w:rPr>
          <w:rFonts w:hint="eastAsia"/>
          <w:color w:val="auto"/>
          <w:lang w:eastAsia="zh-CN"/>
        </w:rPr>
        <w:t>不存在</w:t>
      </w:r>
      <w:r>
        <w:rPr>
          <w:rFonts w:hint="eastAsia"/>
          <w:color w:val="auto"/>
        </w:rPr>
        <w:t>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项目申请、设立过程符合《新疆维吾尔自治区现代农业产业技术体系建设实施方案（试行）的通知》，</w:t>
      </w:r>
      <w:r>
        <w:rPr>
          <w:rFonts w:hint="eastAsia"/>
          <w:lang w:val="en-US" w:eastAsia="zh-Hans"/>
        </w:rPr>
        <w:t>严格按照审批流程准备符合要求的文件、材料；</w:t>
      </w:r>
      <w:r>
        <w:rPr>
          <w:rFonts w:hint="eastAsia"/>
          <w:lang w:val="en-US" w:eastAsia="zh-CN"/>
        </w:rPr>
        <w:t>根据决算依据编制工作计划和经费预算，经过与部门项目分管领导沟通、筛选确定经费预算计划，确定最终预算方案。项目的审批文件、材料符合要求，项目事前经过必要的可行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现代农业产业技术体系人才-蔬菜体系</w:t>
      </w:r>
      <w:r>
        <w:rPr>
          <w:rFonts w:hint="eastAsia"/>
          <w:color w:val="auto"/>
        </w:rPr>
        <w:t>项目设立了项目绩效目标，</w:t>
      </w:r>
      <w:r>
        <w:rPr>
          <w:rFonts w:hint="eastAsia"/>
          <w:color w:val="auto"/>
          <w:lang w:eastAsia="zh-CN"/>
        </w:rPr>
        <w:t>与</w:t>
      </w:r>
      <w:r>
        <w:rPr>
          <w:rFonts w:hint="eastAsia"/>
          <w:color w:val="auto"/>
          <w:lang w:val="en-US" w:eastAsia="zh-CN"/>
        </w:rPr>
        <w:t>示范面积，辐射带动效应，引进种质资源，建立病虫害监测点，及时指导种植户进行科学防治等</w:t>
      </w:r>
      <w:r>
        <w:rPr>
          <w:rFonts w:hint="eastAsia"/>
          <w:color w:val="auto"/>
        </w:rPr>
        <w:t>具有相关性，项目的预期产出效益和效果也均能符合正常的业绩水平，并且与预算确定的项目投资额或资金量相匹配。</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lang w:val="en-US" w:eastAsia="zh-CN"/>
        </w:rPr>
        <w:t>现代农业产业技术体系人才-蔬菜体系</w:t>
      </w:r>
      <w:r>
        <w:rPr>
          <w:rFonts w:hint="eastAsia"/>
          <w:color w:val="auto"/>
        </w:rPr>
        <w:t>项目项目将项目绩效目标细化分解为具体的绩效指标，一级指标共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16</w:t>
      </w:r>
      <w:r>
        <w:rPr>
          <w:rFonts w:hint="eastAsia"/>
          <w:color w:val="auto"/>
        </w:rPr>
        <w:t>条，其中量化指标条数共</w:t>
      </w:r>
      <w:r>
        <w:rPr>
          <w:rFonts w:hint="eastAsia"/>
          <w:color w:val="auto"/>
          <w:lang w:val="en-US" w:eastAsia="zh-CN"/>
        </w:rPr>
        <w:t>15</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cs="Times New Roman"/>
          <w:color w:val="auto"/>
          <w:lang w:val="en-US" w:eastAsia="zh-CN"/>
        </w:rPr>
        <w:t>本项目的预算编制经过科学论证，与项目实施内容相匹配，按照预算额度科学测算、严格按照标准编制而成的。本项目预算编制以项目业务过程及其控制为核心，从项目目标出发设定好了预算内部关联逻辑，确保预算编制承接住项目规划，本项目路径存在、目标存在、路径合理、目标合理，预算额度测算充分且合理，按照预算编制标准编制，预算确定的项目资金量与工作任务项匹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rPr>
      </w:pPr>
      <w:r>
        <w:rPr>
          <w:rFonts w:hint="eastAsia" w:ascii="Times New Roman" w:hAnsi="Times New Roman" w:cs="Times New Roman"/>
          <w:color w:val="auto"/>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rPr>
      </w:pPr>
      <w:r>
        <w:rPr>
          <w:rFonts w:hint="default" w:ascii="Times New Roman" w:hAnsi="Times New Roman" w:eastAsia="仿宋_GB2312" w:cs="Times New Roman"/>
        </w:rPr>
        <w:t>6</w:t>
      </w:r>
      <w:r>
        <w:rPr>
          <w:rFonts w:hint="eastAsia" w:cs="Times New Roman"/>
          <w:lang w:val="en-US" w:eastAsia="zh-CN"/>
        </w:rPr>
        <w:t>.</w:t>
      </w:r>
      <w:r>
        <w:rPr>
          <w:rFonts w:hint="default" w:ascii="Times New Roman" w:hAnsi="Times New Roman" w:eastAsia="仿宋_GB2312" w:cs="Times New Roman"/>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本次评价的项目预算资金分配依据项目内容、所需试验材料、仪器设备以及劳务等情况进行综合的财务预算，结合以往科研项目实施经验，充分、合理以及科学的进行资金分配，与本单位农业科研项目开展实际相适应，与本地区实际农业生产相适应</w:t>
      </w:r>
      <w:r>
        <w:rPr>
          <w:rFonts w:hint="default" w:ascii="Times New Roman" w:hAnsi="Times New Roman" w:cs="Times New Roman"/>
          <w:color w:val="auto"/>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rPr>
      </w:pPr>
      <w:r>
        <w:rPr>
          <w:rFonts w:hint="eastAsia" w:ascii="Times New Roman" w:hAnsi="Times New Roman" w:cs="Times New Roman"/>
          <w:color w:val="auto"/>
          <w:lang w:val="en-US" w:eastAsia="zh-CN"/>
        </w:rPr>
        <w:t>此项权重分4分，得分4分。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20.00</w:t>
      </w:r>
      <w:r>
        <w:rPr>
          <w:rFonts w:hint="eastAsia"/>
          <w:color w:val="auto"/>
        </w:rPr>
        <w:t>万元，实际到位资金</w:t>
      </w:r>
      <w:r>
        <w:rPr>
          <w:rFonts w:hint="eastAsia"/>
          <w:color w:val="auto"/>
          <w:lang w:val="en-US" w:eastAsia="zh-CN"/>
        </w:rPr>
        <w:t>20</w:t>
      </w:r>
      <w:r>
        <w:rPr>
          <w:rFonts w:hint="eastAsia"/>
          <w:color w:val="auto"/>
        </w:rPr>
        <w:t>.</w:t>
      </w:r>
      <w:r>
        <w:rPr>
          <w:rFonts w:hint="eastAsia"/>
          <w:color w:val="auto"/>
          <w:lang w:val="en-US" w:eastAsia="zh-CN"/>
        </w:rPr>
        <w:t>00</w:t>
      </w:r>
      <w:r>
        <w:rPr>
          <w:rFonts w:hint="eastAsia"/>
          <w:color w:val="auto"/>
        </w:rPr>
        <w:t>万元，资金到位率</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年初预算数</w:t>
      </w:r>
      <w:r>
        <w:rPr>
          <w:rFonts w:hint="eastAsia"/>
          <w:color w:val="auto"/>
          <w:lang w:val="en-US" w:eastAsia="zh-CN"/>
        </w:rPr>
        <w:t>20.00</w:t>
      </w:r>
      <w:r>
        <w:rPr>
          <w:rFonts w:hint="eastAsia"/>
          <w:color w:val="auto"/>
        </w:rPr>
        <w:t>万元，全年预算数</w:t>
      </w:r>
      <w:r>
        <w:rPr>
          <w:rFonts w:hint="eastAsia"/>
          <w:color w:val="auto"/>
          <w:lang w:val="en-US" w:eastAsia="zh-CN"/>
        </w:rPr>
        <w:t>20.00</w:t>
      </w:r>
      <w:r>
        <w:rPr>
          <w:rFonts w:hint="eastAsia"/>
          <w:color w:val="auto"/>
        </w:rPr>
        <w:t>万元，全年执行数</w:t>
      </w:r>
      <w:r>
        <w:rPr>
          <w:rFonts w:hint="eastAsia"/>
          <w:color w:val="auto"/>
          <w:lang w:val="en-US" w:eastAsia="zh-CN"/>
        </w:rPr>
        <w:t>20</w:t>
      </w:r>
      <w:r>
        <w:rPr>
          <w:rFonts w:hint="eastAsia"/>
          <w:color w:val="auto"/>
        </w:rPr>
        <w:t>.</w:t>
      </w:r>
      <w:r>
        <w:rPr>
          <w:rFonts w:hint="eastAsia"/>
          <w:color w:val="auto"/>
          <w:lang w:val="en-US" w:eastAsia="zh-CN"/>
        </w:rPr>
        <w:t>00</w:t>
      </w:r>
      <w:r>
        <w:rPr>
          <w:rFonts w:hint="eastAsia"/>
          <w:color w:val="auto"/>
        </w:rPr>
        <w:t>万元，预算执行率为</w:t>
      </w:r>
      <w:r>
        <w:rPr>
          <w:rFonts w:hint="eastAsia"/>
          <w:color w:val="auto"/>
          <w:lang w:val="en-US" w:eastAsia="zh-CN"/>
        </w:rPr>
        <w:t>100</w:t>
      </w:r>
      <w:r>
        <w:rPr>
          <w:color w:val="auto"/>
        </w:rPr>
        <w:t>.</w:t>
      </w:r>
      <w:r>
        <w:rPr>
          <w:rFonts w:hint="eastAsia"/>
          <w:color w:val="auto"/>
          <w:lang w:val="en-US" w:eastAsia="zh-CN"/>
        </w:rPr>
        <w:t>00</w:t>
      </w:r>
      <w:r>
        <w:rPr>
          <w:rFonts w:hint="eastAsia"/>
          <w:color w:val="auto"/>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FF0000"/>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根据《新疆维吾尔自治区财政科研项目资金管理办法》，</w:t>
      </w:r>
      <w:r>
        <w:rPr>
          <w:rFonts w:hint="eastAsia" w:ascii="仿宋_GB2312" w:hAnsi="仿宋_GB2312" w:eastAsia="仿宋_GB2312" w:cs="仿宋_GB2312"/>
          <w:color w:val="auto"/>
          <w:sz w:val="32"/>
          <w:szCs w:val="32"/>
          <w:lang w:val="en-US" w:eastAsia="zh-CN"/>
        </w:rPr>
        <w:t>项目严格按照预期绩效目标执行预算资金。制定了</w:t>
      </w:r>
      <w:r>
        <w:rPr>
          <w:rFonts w:hint="eastAsia" w:ascii="仿宋_GB2312" w:hAnsi="仿宋_GB2312" w:cs="仿宋_GB2312"/>
          <w:color w:val="auto"/>
          <w:sz w:val="32"/>
          <w:szCs w:val="32"/>
          <w:lang w:val="en-US" w:eastAsia="zh-CN"/>
        </w:rPr>
        <w:t>《巴州农科院科研项目经费管理办法》</w:t>
      </w:r>
      <w:r>
        <w:rPr>
          <w:rFonts w:hint="eastAsia" w:ascii="仿宋_GB2312" w:hAnsi="仿宋_GB2312" w:eastAsia="仿宋_GB2312" w:cs="仿宋_GB2312"/>
          <w:color w:val="auto"/>
          <w:sz w:val="32"/>
          <w:szCs w:val="32"/>
          <w:lang w:val="en-US" w:eastAsia="zh-CN"/>
        </w:rPr>
        <w:t>，对</w:t>
      </w:r>
      <w:r>
        <w:rPr>
          <w:rFonts w:hint="eastAsia" w:ascii="仿宋_GB2312" w:hAnsi="仿宋_GB2312" w:cs="仿宋_GB2312"/>
          <w:color w:val="auto"/>
          <w:sz w:val="32"/>
          <w:szCs w:val="32"/>
          <w:lang w:val="en-US" w:eastAsia="zh-CN"/>
        </w:rPr>
        <w:t>本单位科研</w:t>
      </w:r>
      <w:r>
        <w:rPr>
          <w:rFonts w:hint="eastAsia" w:ascii="仿宋_GB2312" w:hAnsi="仿宋_GB2312" w:eastAsia="仿宋_GB2312" w:cs="仿宋_GB2312"/>
          <w:color w:val="auto"/>
          <w:sz w:val="32"/>
          <w:szCs w:val="32"/>
          <w:lang w:val="en-US" w:eastAsia="zh-CN"/>
        </w:rPr>
        <w:t>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制定了</w:t>
      </w:r>
      <w:r>
        <w:rPr>
          <w:rFonts w:hint="eastAsia" w:ascii="仿宋_GB2312" w:hAnsi="仿宋_GB2312" w:cs="仿宋_GB2312"/>
          <w:color w:val="auto"/>
          <w:sz w:val="32"/>
          <w:szCs w:val="32"/>
          <w:lang w:val="en-US" w:eastAsia="zh-CN"/>
        </w:rPr>
        <w:t>《巴州农科院科研项目经费管理办法》</w:t>
      </w:r>
      <w:r>
        <w:rPr>
          <w:rFonts w:hint="eastAsia" w:ascii="Times New Roman" w:hAnsi="Times New Roman" w:eastAsia="仿宋_GB2312" w:cs="Times New Roman"/>
          <w:b w:val="0"/>
          <w:bCs w:val="0"/>
          <w:color w:val="auto"/>
          <w:kern w:val="2"/>
          <w:sz w:val="30"/>
          <w:szCs w:val="24"/>
          <w:lang w:val="en-US" w:eastAsia="zh-CN" w:bidi="ar-SA"/>
        </w:rPr>
        <w:t>，对</w:t>
      </w:r>
      <w:r>
        <w:rPr>
          <w:rFonts w:hint="eastAsia" w:ascii="Times New Roman" w:hAnsi="Times New Roman" w:eastAsia="仿宋_GB2312" w:cs="Times New Roman"/>
          <w:b w:val="0"/>
          <w:bCs w:val="0"/>
          <w:kern w:val="2"/>
          <w:sz w:val="30"/>
          <w:szCs w:val="24"/>
          <w:lang w:val="en-US" w:eastAsia="zh-CN" w:bidi="ar-SA"/>
        </w:rPr>
        <w:t>财政资金进行严格管理，做到专款专用，项目资金使用符合相关的财务管理制度规定，能够反映和考核项目资金的规范运行情况；项目实施单位的财务和业务管理制度健全，</w:t>
      </w:r>
      <w:r>
        <w:rPr>
          <w:rFonts w:hint="eastAsia" w:ascii="仿宋_GB2312" w:hAnsi="仿宋_GB2312" w:eastAsia="仿宋_GB2312" w:cs="仿宋_GB2312"/>
          <w:color w:val="auto"/>
          <w:sz w:val="32"/>
          <w:szCs w:val="32"/>
          <w:lang w:val="en-US" w:eastAsia="zh-CN"/>
        </w:rPr>
        <w:t>能够反映和考核财务和业务管理制度对项目顺利实施的保障情况。</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此项权重分4分，得分4分。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5</w:t>
      </w:r>
      <w:r>
        <w:rPr>
          <w:rFonts w:hint="eastAsia" w:ascii="Times New Roman" w:hAnsi="Times New Roman" w:eastAsia="仿宋_GB2312" w:cs="Times New Roman"/>
          <w:b w:val="0"/>
          <w:bCs w:val="0"/>
          <w:kern w:val="2"/>
          <w:sz w:val="30"/>
          <w:szCs w:val="24"/>
          <w:lang w:val="en-US" w:eastAsia="zh-CN" w:bidi="ar-SA"/>
        </w:rPr>
        <w:t>.</w:t>
      </w:r>
      <w:r>
        <w:rPr>
          <w:rFonts w:hint="default" w:ascii="Times New Roman" w:hAnsi="Times New Roman" w:eastAsia="仿宋_GB2312" w:cs="Times New Roman"/>
          <w:b w:val="0"/>
          <w:bCs w:val="0"/>
          <w:kern w:val="2"/>
          <w:sz w:val="30"/>
          <w:szCs w:val="24"/>
          <w:lang w:val="en-US" w:eastAsia="zh-CN" w:bidi="ar-SA"/>
        </w:rPr>
        <w:t>制度执行有效性</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pPr>
      <w:r>
        <w:rPr>
          <w:rFonts w:hint="default" w:ascii="Times New Roman" w:hAnsi="Times New Roman" w:eastAsia="仿宋_GB2312" w:cs="Times New Roman"/>
          <w:b w:val="0"/>
          <w:bCs w:val="0"/>
          <w:kern w:val="2"/>
          <w:sz w:val="30"/>
          <w:szCs w:val="24"/>
          <w:lang w:val="en-US" w:eastAsia="zh-CN" w:bidi="ar-SA"/>
        </w:rPr>
        <w:t>本项目遵守</w:t>
      </w:r>
      <w:r>
        <w:rPr>
          <w:rFonts w:hint="eastAsia" w:ascii="Times New Roman" w:hAnsi="Times New Roman" w:eastAsia="仿宋_GB2312" w:cs="Times New Roman"/>
          <w:b w:val="0"/>
          <w:bCs w:val="0"/>
          <w:kern w:val="2"/>
          <w:sz w:val="30"/>
          <w:szCs w:val="24"/>
          <w:lang w:val="en-US" w:eastAsia="zh-CN" w:bidi="ar-SA"/>
        </w:rPr>
        <w:t>《巴州农科院科研项目经费管理办法 》</w:t>
      </w:r>
      <w:r>
        <w:rPr>
          <w:rFonts w:hint="default" w:ascii="Times New Roman" w:hAnsi="Times New Roman" w:eastAsia="仿宋_GB2312" w:cs="Times New Roman"/>
          <w:b w:val="0"/>
          <w:bCs w:val="0"/>
          <w:kern w:val="2"/>
          <w:sz w:val="30"/>
          <w:szCs w:val="24"/>
          <w:lang w:val="en-US" w:eastAsia="zh-CN" w:bidi="ar-SA"/>
        </w:rPr>
        <w:t>规定，</w:t>
      </w:r>
      <w:r>
        <w:rPr>
          <w:rFonts w:hint="eastAsia" w:ascii="Times New Roman" w:hAnsi="Times New Roman" w:eastAsia="仿宋_GB2312" w:cs="Times New Roman"/>
          <w:b w:val="0"/>
          <w:bCs w:val="0"/>
          <w:kern w:val="2"/>
          <w:sz w:val="30"/>
          <w:szCs w:val="24"/>
          <w:lang w:val="en-US" w:eastAsia="zh-CN" w:bidi="ar-SA"/>
        </w:rPr>
        <w:t>项目经费调整均需要提交本单位支委会以及党委会研究通过，方可调整，经费调整和支出手续齐全。</w:t>
      </w:r>
      <w:r>
        <w:rPr>
          <w:rFonts w:hint="default" w:ascii="Times New Roman" w:hAnsi="Times New Roman" w:eastAsia="仿宋_GB2312" w:cs="Times New Roman"/>
          <w:b w:val="0"/>
          <w:bCs w:val="0"/>
          <w:kern w:val="2"/>
          <w:sz w:val="30"/>
          <w:szCs w:val="24"/>
          <w:lang w:val="en-US" w:eastAsia="zh-CN" w:bidi="ar-SA"/>
        </w:rPr>
        <w:t>项目申请书、</w:t>
      </w:r>
      <w:r>
        <w:rPr>
          <w:rFonts w:hint="eastAsia" w:ascii="Times New Roman" w:hAnsi="Times New Roman" w:eastAsia="仿宋_GB2312" w:cs="Times New Roman"/>
          <w:b w:val="0"/>
          <w:bCs w:val="0"/>
          <w:kern w:val="2"/>
          <w:sz w:val="30"/>
          <w:szCs w:val="24"/>
          <w:lang w:val="en-US" w:eastAsia="zh-CN" w:bidi="ar-SA"/>
        </w:rPr>
        <w:t>任务</w:t>
      </w:r>
      <w:r>
        <w:rPr>
          <w:rFonts w:hint="default" w:ascii="Times New Roman" w:hAnsi="Times New Roman" w:eastAsia="仿宋_GB2312" w:cs="Times New Roman"/>
          <w:b w:val="0"/>
          <w:bCs w:val="0"/>
          <w:kern w:val="2"/>
          <w:sz w:val="30"/>
          <w:szCs w:val="24"/>
          <w:lang w:val="en-US" w:eastAsia="zh-CN" w:bidi="ar-SA"/>
        </w:rPr>
        <w:t>书等材料按照项目实施单位管理办法，整理完毕后装订成册，及时上交实施</w:t>
      </w:r>
      <w:r>
        <w:rPr>
          <w:rFonts w:hint="eastAsia" w:ascii="Times New Roman" w:hAnsi="Times New Roman" w:eastAsia="仿宋_GB2312" w:cs="Times New Roman"/>
          <w:b w:val="0"/>
          <w:bCs w:val="0"/>
          <w:kern w:val="2"/>
          <w:sz w:val="30"/>
          <w:szCs w:val="24"/>
          <w:lang w:val="en-US" w:eastAsia="zh-CN" w:bidi="ar-SA"/>
        </w:rPr>
        <w:t>本单位</w:t>
      </w:r>
      <w:r>
        <w:rPr>
          <w:rFonts w:hint="default" w:ascii="Times New Roman" w:hAnsi="Times New Roman" w:eastAsia="仿宋_GB2312" w:cs="Times New Roman"/>
          <w:b w:val="0"/>
          <w:bCs w:val="0"/>
          <w:kern w:val="2"/>
          <w:sz w:val="30"/>
          <w:szCs w:val="24"/>
          <w:lang w:val="en-US" w:eastAsia="zh-CN" w:bidi="ar-SA"/>
        </w:rPr>
        <w:t>科研管理办公室留档。</w:t>
      </w:r>
      <w:r>
        <w:rPr>
          <w:rFonts w:hint="eastAsia" w:ascii="Times New Roman" w:hAnsi="Times New Roman" w:eastAsia="仿宋_GB2312" w:cs="Times New Roman"/>
          <w:b w:val="0"/>
          <w:bCs w:val="0"/>
          <w:kern w:val="2"/>
          <w:sz w:val="30"/>
          <w:szCs w:val="24"/>
          <w:lang w:val="en-US" w:eastAsia="zh-CN" w:bidi="ar-SA"/>
        </w:rPr>
        <w:t>本项目开展执行过程中所需</w:t>
      </w:r>
      <w:r>
        <w:rPr>
          <w:rFonts w:hint="eastAsia" w:ascii="Times New Roman" w:hAnsi="Times New Roman" w:cs="Times New Roman"/>
          <w:b w:val="0"/>
          <w:bCs w:val="0"/>
          <w:kern w:val="2"/>
          <w:sz w:val="30"/>
          <w:szCs w:val="24"/>
          <w:lang w:val="en-US" w:eastAsia="zh-CN" w:bidi="ar-SA"/>
        </w:rPr>
        <w:t>人员条件、</w:t>
      </w:r>
      <w:r>
        <w:rPr>
          <w:rFonts w:hint="eastAsia" w:ascii="Times New Roman" w:hAnsi="Times New Roman" w:eastAsia="仿宋_GB2312" w:cs="Times New Roman"/>
          <w:b w:val="0"/>
          <w:bCs w:val="0"/>
          <w:kern w:val="2"/>
          <w:sz w:val="30"/>
          <w:szCs w:val="24"/>
          <w:lang w:val="en-US" w:eastAsia="zh-CN" w:bidi="ar-SA"/>
        </w:rPr>
        <w:t>试验地、物资以及</w:t>
      </w:r>
      <w:r>
        <w:rPr>
          <w:rFonts w:hint="eastAsia" w:ascii="Times New Roman" w:hAnsi="Times New Roman" w:cs="Times New Roman"/>
          <w:b w:val="0"/>
          <w:bCs w:val="0"/>
          <w:kern w:val="2"/>
          <w:sz w:val="30"/>
          <w:szCs w:val="24"/>
          <w:lang w:val="en-US" w:eastAsia="zh-CN" w:bidi="ar-SA"/>
        </w:rPr>
        <w:t>仪器</w:t>
      </w:r>
      <w:r>
        <w:rPr>
          <w:rFonts w:hint="eastAsia" w:ascii="Times New Roman" w:hAnsi="Times New Roman" w:eastAsia="仿宋_GB2312" w:cs="Times New Roman"/>
          <w:b w:val="0"/>
          <w:bCs w:val="0"/>
          <w:kern w:val="2"/>
          <w:sz w:val="30"/>
          <w:szCs w:val="24"/>
          <w:lang w:val="en-US" w:eastAsia="zh-CN" w:bidi="ar-SA"/>
        </w:rPr>
        <w:t>设备均</w:t>
      </w:r>
      <w:r>
        <w:rPr>
          <w:rFonts w:hint="eastAsia" w:ascii="Times New Roman" w:hAnsi="Times New Roman" w:cs="Times New Roman"/>
          <w:b w:val="0"/>
          <w:bCs w:val="0"/>
          <w:kern w:val="2"/>
          <w:sz w:val="30"/>
          <w:szCs w:val="24"/>
          <w:lang w:val="en-US" w:eastAsia="zh-CN" w:bidi="ar-SA"/>
        </w:rPr>
        <w:t>得到本单位全力支持。</w:t>
      </w:r>
    </w:p>
    <w:p>
      <w:pPr>
        <w:spacing w:line="360" w:lineRule="auto"/>
        <w:ind w:firstLine="600" w:firstLineChars="200"/>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1.</w:t>
      </w:r>
      <w:r>
        <w:rPr>
          <w:rFonts w:hint="eastAsia"/>
          <w:color w:val="auto"/>
        </w:rPr>
        <w:t>数量指标</w:t>
      </w:r>
      <w:r>
        <w:rPr>
          <w:rFonts w:hint="eastAsia"/>
          <w:color w:val="auto"/>
          <w:lang w:eastAsia="zh-CN"/>
        </w:rPr>
        <w:t>完成情况</w:t>
      </w:r>
      <w:r>
        <w:rPr>
          <w:rFonts w:hint="eastAsia"/>
          <w:color w:val="auto"/>
        </w:rPr>
        <w:t>：指标1：</w:t>
      </w:r>
      <w:r>
        <w:rPr>
          <w:rFonts w:hint="eastAsia"/>
          <w:color w:val="auto"/>
          <w:lang w:val="en-US" w:eastAsia="zh-CN"/>
        </w:rPr>
        <w:t>示范面积</w:t>
      </w:r>
      <w:r>
        <w:rPr>
          <w:rFonts w:hint="eastAsia"/>
          <w:color w:val="auto"/>
        </w:rPr>
        <w:t>，指标值：</w:t>
      </w:r>
      <w:r>
        <w:rPr>
          <w:rFonts w:hint="eastAsia"/>
          <w:color w:val="auto"/>
          <w:lang w:eastAsia="zh-CN"/>
        </w:rPr>
        <w:t>≥</w:t>
      </w:r>
      <w:r>
        <w:rPr>
          <w:rFonts w:hint="eastAsia"/>
          <w:color w:val="auto"/>
          <w:lang w:val="en-US" w:eastAsia="zh-CN"/>
        </w:rPr>
        <w:t>15亩</w:t>
      </w:r>
      <w:r>
        <w:rPr>
          <w:rFonts w:hint="eastAsia"/>
          <w:color w:val="auto"/>
        </w:rPr>
        <w:t>，实际完成值</w:t>
      </w:r>
      <w:r>
        <w:rPr>
          <w:rFonts w:hint="eastAsia"/>
          <w:color w:val="auto"/>
          <w:lang w:eastAsia="zh-CN"/>
        </w:rPr>
        <w:t>：</w:t>
      </w:r>
      <w:r>
        <w:rPr>
          <w:rFonts w:hint="eastAsia"/>
          <w:color w:val="auto"/>
          <w:lang w:val="en-US" w:eastAsia="zh-CN"/>
        </w:rPr>
        <w:t>20亩</w:t>
      </w:r>
      <w:r>
        <w:rPr>
          <w:rFonts w:hint="eastAsia"/>
          <w:color w:val="auto"/>
        </w:rPr>
        <w:t>，指标完成率</w:t>
      </w:r>
      <w:r>
        <w:rPr>
          <w:rFonts w:hint="eastAsia"/>
          <w:color w:val="auto"/>
          <w:lang w:val="en-US" w:eastAsia="zh-CN"/>
        </w:rPr>
        <w:t>133.33</w:t>
      </w:r>
      <w:r>
        <w:rPr>
          <w:rFonts w:hint="eastAsia"/>
          <w:color w:val="auto"/>
        </w:rPr>
        <w:t>%；偏差原因：项目实施前计划为30个，项目实施过程中，项目团队成员临时增加材料至37个，使得比预算中的示范面积增加5亩。在今后的项目执行中加强试验计划的精准性，提高项目执行率</w:t>
      </w:r>
      <w:r>
        <w:rPr>
          <w:rFonts w:hint="eastAsia"/>
          <w:color w:val="auto"/>
          <w:lang w:eastAsia="zh-CN"/>
        </w:rPr>
        <w:t>；</w:t>
      </w:r>
      <w:r>
        <w:rPr>
          <w:rFonts w:hint="eastAsia"/>
          <w:color w:val="auto"/>
        </w:rPr>
        <w:t>指标2：</w:t>
      </w:r>
      <w:r>
        <w:rPr>
          <w:rFonts w:hint="eastAsia"/>
          <w:color w:val="auto"/>
          <w:lang w:val="en-US" w:eastAsia="zh-CN"/>
        </w:rPr>
        <w:t>辐射带动面积</w:t>
      </w:r>
      <w:r>
        <w:rPr>
          <w:rFonts w:hint="eastAsia"/>
          <w:color w:val="auto"/>
        </w:rPr>
        <w:t>，指标值：</w:t>
      </w:r>
      <w:r>
        <w:rPr>
          <w:rFonts w:hint="eastAsia"/>
          <w:color w:val="auto"/>
          <w:lang w:eastAsia="zh-CN"/>
        </w:rPr>
        <w:t>≥</w:t>
      </w:r>
      <w:r>
        <w:rPr>
          <w:rFonts w:hint="eastAsia"/>
          <w:color w:val="auto"/>
          <w:lang w:val="en-US" w:eastAsia="zh-CN"/>
        </w:rPr>
        <w:t>200亩</w:t>
      </w:r>
      <w:r>
        <w:rPr>
          <w:rFonts w:hint="eastAsia"/>
          <w:color w:val="auto"/>
        </w:rPr>
        <w:t>，实际完成值</w:t>
      </w:r>
      <w:r>
        <w:rPr>
          <w:rFonts w:hint="eastAsia"/>
          <w:color w:val="auto"/>
          <w:lang w:eastAsia="zh-CN"/>
        </w:rPr>
        <w:t>：</w:t>
      </w:r>
      <w:r>
        <w:rPr>
          <w:rFonts w:hint="eastAsia"/>
          <w:color w:val="auto"/>
          <w:lang w:val="en-US" w:eastAsia="zh-CN"/>
        </w:rPr>
        <w:t>200亩</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lang w:val="en-US" w:eastAsia="zh-CN"/>
        </w:rPr>
        <w:t>指标3：引进新材</w:t>
      </w:r>
      <w:r>
        <w:rPr>
          <w:rFonts w:hint="eastAsia"/>
          <w:color w:val="auto"/>
        </w:rPr>
        <w:t>：</w:t>
      </w:r>
      <w:r>
        <w:rPr>
          <w:rFonts w:hint="eastAsia"/>
          <w:color w:val="auto"/>
          <w:lang w:eastAsia="zh-CN"/>
        </w:rPr>
        <w:t>≥</w:t>
      </w:r>
      <w:r>
        <w:rPr>
          <w:rFonts w:hint="eastAsia"/>
          <w:color w:val="auto"/>
          <w:lang w:val="en-US" w:eastAsia="zh-CN"/>
        </w:rPr>
        <w:t>30个，</w:t>
      </w:r>
      <w:r>
        <w:rPr>
          <w:rFonts w:hint="eastAsia"/>
          <w:color w:val="auto"/>
        </w:rPr>
        <w:t>实际完成值</w:t>
      </w:r>
      <w:r>
        <w:rPr>
          <w:rFonts w:hint="eastAsia"/>
          <w:color w:val="auto"/>
          <w:lang w:eastAsia="zh-CN"/>
        </w:rPr>
        <w:t>：</w:t>
      </w:r>
      <w:r>
        <w:rPr>
          <w:rFonts w:hint="eastAsia"/>
          <w:color w:val="auto"/>
          <w:lang w:val="en-US" w:eastAsia="zh-CN"/>
        </w:rPr>
        <w:t>37个，</w:t>
      </w:r>
      <w:r>
        <w:rPr>
          <w:rFonts w:hint="eastAsia"/>
          <w:color w:val="auto"/>
        </w:rPr>
        <w:t>指标完成率</w:t>
      </w:r>
      <w:r>
        <w:rPr>
          <w:rFonts w:hint="eastAsia"/>
          <w:color w:val="auto"/>
          <w:lang w:val="en-US" w:eastAsia="zh-CN"/>
        </w:rPr>
        <w:t>123.33</w:t>
      </w:r>
      <w:r>
        <w:rPr>
          <w:rFonts w:hint="eastAsia"/>
          <w:color w:val="auto"/>
        </w:rPr>
        <w:t>%</w:t>
      </w:r>
      <w:r>
        <w:rPr>
          <w:rFonts w:hint="eastAsia"/>
          <w:color w:val="auto"/>
          <w:lang w:eastAsia="zh-CN"/>
        </w:rPr>
        <w:t>，</w:t>
      </w:r>
      <w:r>
        <w:rPr>
          <w:rFonts w:hint="eastAsia"/>
          <w:color w:val="auto"/>
        </w:rPr>
        <w:t>偏差原因：项目实施前计划为30个，项目实施过程中，项目团队成员临时增加材料至37个。在今后的项目执行中加强试验计划的精准性，提高项目执行率</w:t>
      </w:r>
      <w:r>
        <w:rPr>
          <w:rFonts w:hint="eastAsia"/>
          <w:color w:val="auto"/>
          <w:lang w:eastAsia="zh-CN"/>
        </w:rPr>
        <w:t>；</w:t>
      </w:r>
      <w:r>
        <w:rPr>
          <w:rFonts w:hint="eastAsia"/>
          <w:color w:val="auto"/>
          <w:lang w:val="en-US" w:eastAsia="zh-CN"/>
        </w:rPr>
        <w:t>指标4：物资采购批次</w:t>
      </w:r>
      <w:r>
        <w:rPr>
          <w:rFonts w:hint="eastAsia"/>
          <w:color w:val="auto"/>
          <w:lang w:eastAsia="zh-CN"/>
        </w:rPr>
        <w:t>≥</w:t>
      </w:r>
      <w:r>
        <w:rPr>
          <w:rFonts w:hint="eastAsia"/>
          <w:color w:val="auto"/>
          <w:lang w:val="en-US" w:eastAsia="zh-CN"/>
        </w:rPr>
        <w:t>3批，</w:t>
      </w:r>
      <w:r>
        <w:rPr>
          <w:rFonts w:hint="eastAsia"/>
          <w:color w:val="auto"/>
        </w:rPr>
        <w:t>实际完成值</w:t>
      </w:r>
      <w:r>
        <w:rPr>
          <w:rFonts w:hint="eastAsia"/>
          <w:color w:val="auto"/>
          <w:lang w:eastAsia="zh-CN"/>
        </w:rPr>
        <w:t>：</w:t>
      </w:r>
      <w:r>
        <w:rPr>
          <w:rFonts w:hint="eastAsia"/>
          <w:color w:val="auto"/>
          <w:lang w:val="en-US" w:eastAsia="zh-CN"/>
        </w:rPr>
        <w:t>6批，</w:t>
      </w:r>
      <w:r>
        <w:rPr>
          <w:rFonts w:hint="eastAsia"/>
          <w:color w:val="auto"/>
        </w:rPr>
        <w:t>指标完成率</w:t>
      </w:r>
      <w:r>
        <w:rPr>
          <w:rFonts w:hint="eastAsia"/>
          <w:color w:val="auto"/>
          <w:lang w:val="en-US" w:eastAsia="zh-CN"/>
        </w:rPr>
        <w:t>200.00</w:t>
      </w:r>
      <w:r>
        <w:rPr>
          <w:rFonts w:hint="eastAsia"/>
          <w:color w:val="auto"/>
        </w:rPr>
        <w:t>%</w:t>
      </w:r>
      <w:r>
        <w:rPr>
          <w:rFonts w:hint="eastAsia"/>
          <w:color w:val="auto"/>
          <w:lang w:eastAsia="zh-CN"/>
        </w:rPr>
        <w:t>；</w:t>
      </w:r>
      <w:r>
        <w:rPr>
          <w:rFonts w:hint="eastAsia"/>
          <w:color w:val="auto"/>
        </w:rPr>
        <w:t>偏差原因：项目实施计划采购批次较少，主要原因是在项目资金使用中没有全盘考虑，存在想起什么买什么的现象，计划性不强。在今后的项目执行中加强项目资金全盘计划的能力。在今后的项目执行中提高资金支付计划执行率，避免多次，反复支付资金，提高预算执行能力。</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2.</w:t>
      </w:r>
      <w:r>
        <w:rPr>
          <w:rFonts w:hint="eastAsia"/>
          <w:color w:val="auto"/>
        </w:rPr>
        <w:t>质量指标</w:t>
      </w:r>
      <w:r>
        <w:rPr>
          <w:rFonts w:hint="eastAsia"/>
          <w:color w:val="auto"/>
          <w:lang w:eastAsia="zh-CN"/>
        </w:rPr>
        <w:t>完成情况</w:t>
      </w:r>
      <w:r>
        <w:rPr>
          <w:rFonts w:hint="eastAsia"/>
          <w:color w:val="auto"/>
        </w:rPr>
        <w:t>：指标1：</w:t>
      </w:r>
      <w:r>
        <w:rPr>
          <w:rFonts w:hint="eastAsia"/>
          <w:color w:val="auto"/>
          <w:lang w:val="en-US" w:eastAsia="zh-CN"/>
        </w:rPr>
        <w:t>物资验收合格率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在指标设定时考虑物资采购的合格率可能存在问题，但在项目执行中，通过政采云平台采购的物资，均达到了100%合格。在今后的项目执行中，会继续加强政采云平台采购力度，保证物资合格率；指标2：</w:t>
      </w:r>
      <w:r>
        <w:rPr>
          <w:rFonts w:hint="eastAsia"/>
          <w:color w:val="auto"/>
          <w:lang w:val="en-US" w:eastAsia="zh-CN"/>
        </w:rPr>
        <w:t>政府采购率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%，偏差原因：在项目指标设定时考虑因工作季节性较强，采购物资可能存在拖后的问题，但在项目执行过程中，按照财政资金使用要求，100%完成了物资的采购</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w:t>
      </w:r>
      <w:r>
        <w:rPr>
          <w:rFonts w:hint="eastAsia"/>
          <w:color w:val="auto"/>
          <w:lang w:val="en-US" w:eastAsia="zh-CN"/>
        </w:rPr>
        <w:t>采购物资质量合格率，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%，偏差原因：在指标设定时考虑物资采购的质量合格率可能存在问题，但在项目执行中，通过政采云平台采购的物资，均达到了100%合格。在今后的项目执行中，会继续加强政采云平台采购力度，保证物资合格率</w:t>
      </w:r>
      <w:r>
        <w:rPr>
          <w:rFonts w:hint="eastAsia"/>
          <w:color w:val="auto"/>
          <w:lang w:eastAsia="zh-CN"/>
        </w:rPr>
        <w:t>；</w:t>
      </w:r>
      <w:r>
        <w:rPr>
          <w:rFonts w:hint="eastAsia"/>
          <w:color w:val="auto"/>
        </w:rPr>
        <w:t>指标</w:t>
      </w:r>
      <w:r>
        <w:rPr>
          <w:rFonts w:hint="eastAsia"/>
          <w:color w:val="auto"/>
          <w:lang w:val="en-US" w:eastAsia="zh-CN"/>
        </w:rPr>
        <w:t>4</w:t>
      </w:r>
      <w:r>
        <w:rPr>
          <w:rFonts w:hint="eastAsia"/>
          <w:color w:val="auto"/>
        </w:rPr>
        <w:t>：</w:t>
      </w:r>
      <w:r>
        <w:rPr>
          <w:rFonts w:hint="eastAsia"/>
          <w:color w:val="auto"/>
          <w:lang w:val="en-US" w:eastAsia="zh-CN"/>
        </w:rPr>
        <w:t>新材料成活率，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%，偏差原因：考虑项目属于农业项目，大田种植，材料的成活存在一些不可控因素，故指标值设定根据经验所涉，2023年项目执行过程中，材料成活率达到了100%。</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val="en-US" w:eastAsia="zh-CN"/>
        </w:rPr>
        <w:t>时效</w:t>
      </w:r>
      <w:r>
        <w:rPr>
          <w:rFonts w:hint="eastAsia"/>
          <w:color w:val="auto"/>
        </w:rPr>
        <w:t>指标</w:t>
      </w:r>
      <w:r>
        <w:rPr>
          <w:rFonts w:hint="eastAsia"/>
          <w:color w:val="auto"/>
          <w:lang w:eastAsia="zh-CN"/>
        </w:rPr>
        <w:t>完成情况</w:t>
      </w:r>
      <w:r>
        <w:rPr>
          <w:rFonts w:hint="eastAsia"/>
          <w:color w:val="auto"/>
        </w:rPr>
        <w:t>：指标1：</w:t>
      </w:r>
      <w:r>
        <w:rPr>
          <w:rFonts w:hint="eastAsia"/>
          <w:color w:val="auto"/>
          <w:lang w:val="en-US" w:eastAsia="zh-CN"/>
        </w:rPr>
        <w:t>物资采购及时率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w:t>
      </w:r>
      <w:r>
        <w:rPr>
          <w:rFonts w:hint="eastAsia"/>
          <w:color w:val="auto"/>
          <w:lang w:eastAsia="zh-CN"/>
        </w:rPr>
        <w:t>：</w:t>
      </w:r>
      <w:r>
        <w:rPr>
          <w:rFonts w:hint="eastAsia"/>
          <w:color w:val="auto"/>
        </w:rPr>
        <w:t>考虑物资采购的合格率可能存在问题，但在项目执行中，通过政采云平台采购的物资，均达到了100%合格。在今后的项目执行中，会继续加强政采云平台采购力度，保证物资合格率；指标2：</w:t>
      </w:r>
      <w:r>
        <w:rPr>
          <w:rFonts w:hint="eastAsia"/>
          <w:color w:val="auto"/>
          <w:lang w:val="en-US" w:eastAsia="zh-CN"/>
        </w:rPr>
        <w:t>物资采购完成时间</w:t>
      </w:r>
      <w:r>
        <w:rPr>
          <w:rFonts w:hint="eastAsia"/>
          <w:color w:val="auto"/>
        </w:rPr>
        <w:t>，指标值：</w:t>
      </w:r>
      <w:r>
        <w:rPr>
          <w:rFonts w:hint="eastAsia"/>
          <w:color w:val="auto"/>
          <w:lang w:val="en-US" w:eastAsia="zh-CN"/>
        </w:rPr>
        <w:t>2023年11月前</w:t>
      </w:r>
      <w:r>
        <w:rPr>
          <w:rFonts w:hint="eastAsia"/>
          <w:color w:val="auto"/>
        </w:rPr>
        <w:t>，实际完成值</w:t>
      </w:r>
      <w:r>
        <w:rPr>
          <w:rFonts w:hint="eastAsia"/>
          <w:color w:val="auto"/>
          <w:lang w:eastAsia="zh-CN"/>
        </w:rPr>
        <w:t>：</w:t>
      </w:r>
      <w:r>
        <w:rPr>
          <w:rFonts w:hint="eastAsia"/>
          <w:color w:val="auto"/>
          <w:lang w:val="en-US" w:eastAsia="zh-CN"/>
        </w:rPr>
        <w:t>2023年10月30日</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rFonts w:hint="eastAsia"/>
          <w:color w:val="auto"/>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指标1：</w:t>
      </w:r>
      <w:r>
        <w:rPr>
          <w:rFonts w:hint="eastAsia"/>
          <w:color w:val="auto"/>
          <w:lang w:val="en-US" w:eastAsia="zh-CN"/>
        </w:rPr>
        <w:t>物资采购费用</w:t>
      </w:r>
      <w:r>
        <w:rPr>
          <w:rFonts w:hint="eastAsia"/>
          <w:color w:val="auto"/>
        </w:rPr>
        <w:t>，指标值：</w:t>
      </w:r>
      <w:r>
        <w:rPr>
          <w:rFonts w:hint="eastAsia"/>
          <w:color w:val="auto"/>
          <w:lang w:eastAsia="zh-CN"/>
        </w:rPr>
        <w:t>＝</w:t>
      </w:r>
      <w:r>
        <w:rPr>
          <w:rFonts w:hint="eastAsia"/>
          <w:color w:val="auto"/>
          <w:lang w:val="en-US" w:eastAsia="zh-CN"/>
        </w:rPr>
        <w:t>12万</w:t>
      </w:r>
      <w:r>
        <w:rPr>
          <w:rFonts w:hint="eastAsia"/>
          <w:color w:val="auto"/>
        </w:rPr>
        <w:t>，实际完成值</w:t>
      </w:r>
      <w:r>
        <w:rPr>
          <w:rFonts w:hint="eastAsia"/>
          <w:color w:val="auto"/>
          <w:lang w:eastAsia="zh-CN"/>
        </w:rPr>
        <w:t>：</w:t>
      </w:r>
      <w:r>
        <w:rPr>
          <w:rFonts w:hint="eastAsia"/>
          <w:color w:val="auto"/>
          <w:lang w:val="en-US" w:eastAsia="zh-CN"/>
        </w:rPr>
        <w:t>12万元</w:t>
      </w:r>
      <w:r>
        <w:rPr>
          <w:rFonts w:hint="eastAsia"/>
          <w:color w:val="auto"/>
        </w:rPr>
        <w:t>，指标完成率</w:t>
      </w:r>
      <w:r>
        <w:rPr>
          <w:rFonts w:hint="eastAsia"/>
          <w:color w:val="auto"/>
          <w:lang w:val="en-US" w:eastAsia="zh-CN"/>
        </w:rPr>
        <w:t>100</w:t>
      </w:r>
      <w:r>
        <w:rPr>
          <w:rFonts w:hint="eastAsia"/>
          <w:color w:val="auto"/>
        </w:rPr>
        <w:t>%；指标2：</w:t>
      </w:r>
      <w:r>
        <w:rPr>
          <w:rFonts w:hint="eastAsia"/>
          <w:color w:val="auto"/>
          <w:lang w:val="en-US" w:eastAsia="zh-CN"/>
        </w:rPr>
        <w:t>基本科研业务费用</w:t>
      </w:r>
      <w:r>
        <w:rPr>
          <w:rFonts w:hint="eastAsia"/>
          <w:color w:val="auto"/>
        </w:rPr>
        <w:t>，指标值：</w:t>
      </w:r>
      <w:r>
        <w:rPr>
          <w:rFonts w:hint="eastAsia"/>
          <w:color w:val="auto"/>
          <w:lang w:eastAsia="zh-CN"/>
        </w:rPr>
        <w:t>＝</w:t>
      </w:r>
      <w:r>
        <w:rPr>
          <w:rFonts w:hint="eastAsia"/>
          <w:color w:val="auto"/>
          <w:lang w:val="en-US" w:eastAsia="zh-CN"/>
        </w:rPr>
        <w:t>8万元</w:t>
      </w:r>
      <w:r>
        <w:rPr>
          <w:rFonts w:hint="eastAsia"/>
          <w:color w:val="auto"/>
        </w:rPr>
        <w:t>，实际完成值</w:t>
      </w:r>
      <w:r>
        <w:rPr>
          <w:rFonts w:hint="eastAsia"/>
          <w:color w:val="auto"/>
          <w:lang w:eastAsia="zh-CN"/>
        </w:rPr>
        <w:t>：</w:t>
      </w:r>
      <w:r>
        <w:rPr>
          <w:rFonts w:hint="eastAsia"/>
          <w:color w:val="auto"/>
          <w:lang w:val="en-US" w:eastAsia="zh-CN"/>
        </w:rPr>
        <w:t>8万元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rFonts w:hint="eastAsia"/>
          <w:color w:val="auto"/>
          <w:highlight w:val="none"/>
          <w:lang w:eastAsia="zh-CN"/>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5.生态成本指标完成情况：无</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color w:val="auto"/>
          <w:lang w:val="en-US" w:eastAsia="zh-CN"/>
        </w:rPr>
        <w:t>物资利用率</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%，偏差原因：在指标设定时考虑部分采购物资会因不可控因素导致利用率不高，2023年未遇见不可控因素，故物资利用率100%。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highlight w:val="none"/>
        </w:rPr>
        <w:t>2</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color w:val="auto"/>
          <w:lang w:val="en-US" w:eastAsia="zh-CN"/>
        </w:rPr>
        <w:t>试验站实力和指导能力</w:t>
      </w:r>
      <w:r>
        <w:rPr>
          <w:rFonts w:hint="eastAsia"/>
          <w:color w:val="auto"/>
        </w:rPr>
        <w:t>，指标值：</w:t>
      </w:r>
      <w:r>
        <w:rPr>
          <w:rFonts w:hint="eastAsia"/>
          <w:color w:val="auto"/>
          <w:lang w:val="en-US" w:eastAsia="zh-CN"/>
        </w:rPr>
        <w:t>持续提高</w:t>
      </w:r>
      <w:r>
        <w:rPr>
          <w:rFonts w:hint="eastAsia"/>
          <w:color w:val="auto"/>
        </w:rPr>
        <w:t>，实际完成值</w:t>
      </w:r>
      <w:r>
        <w:rPr>
          <w:rFonts w:hint="eastAsia"/>
          <w:color w:val="auto"/>
          <w:lang w:eastAsia="zh-CN"/>
        </w:rPr>
        <w:t>：</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color w:val="auto"/>
          <w:highlight w:val="none"/>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val="en-US" w:eastAsia="zh-CN"/>
        </w:rPr>
      </w:pPr>
      <w:r>
        <w:rPr>
          <w:rFonts w:hint="eastAsia"/>
          <w:color w:val="auto"/>
          <w:highlight w:val="none"/>
        </w:rPr>
        <w:t>3</w:t>
      </w:r>
      <w:r>
        <w:rPr>
          <w:rFonts w:hint="eastAsia"/>
          <w:color w:val="auto"/>
          <w:highlight w:val="none"/>
          <w:lang w:val="en-US" w:eastAsia="zh-CN"/>
        </w:rPr>
        <w:t>.</w:t>
      </w:r>
      <w:r>
        <w:rPr>
          <w:rFonts w:hint="eastAsia"/>
          <w:color w:val="auto"/>
          <w:highlight w:val="none"/>
        </w:rPr>
        <w:t>生态效益指标</w:t>
      </w:r>
      <w:r>
        <w:rPr>
          <w:rFonts w:hint="eastAsia"/>
          <w:color w:val="auto"/>
          <w:highlight w:val="none"/>
          <w:lang w:eastAsia="zh-CN"/>
        </w:rPr>
        <w:t>完成情况</w:t>
      </w:r>
      <w:r>
        <w:rPr>
          <w:rFonts w:hint="eastAsia"/>
          <w:color w:val="auto"/>
          <w:highlight w:val="none"/>
        </w:rPr>
        <w:t>：</w:t>
      </w:r>
      <w:r>
        <w:rPr>
          <w:rFonts w:hint="eastAsia"/>
          <w:color w:val="auto"/>
          <w:highlight w:val="none"/>
          <w:lang w:val="en-US" w:eastAsia="zh-CN"/>
        </w:rPr>
        <w:t>无</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4.</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color w:val="auto"/>
          <w:lang w:val="en-US" w:eastAsia="zh-CN"/>
        </w:rPr>
        <w:t>农民满意度</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90.91%</w:t>
      </w:r>
      <w:r>
        <w:rPr>
          <w:rFonts w:hint="eastAsia"/>
          <w:color w:val="auto"/>
        </w:rPr>
        <w:t>，指标完成率</w:t>
      </w:r>
      <w:r>
        <w:rPr>
          <w:rFonts w:hint="eastAsia"/>
          <w:color w:val="auto"/>
          <w:lang w:val="en-US" w:eastAsia="zh-CN"/>
        </w:rPr>
        <w:t>101.01</w:t>
      </w:r>
      <w:r>
        <w:rPr>
          <w:rFonts w:hint="eastAsia"/>
          <w:color w:val="auto"/>
        </w:rPr>
        <w:t>%</w:t>
      </w:r>
      <w:r>
        <w:rPr>
          <w:rFonts w:hint="eastAsia"/>
          <w:color w:val="auto"/>
          <w:lang w:val="en-US" w:eastAsia="zh-CN"/>
        </w:rPr>
        <w:t>,</w:t>
      </w:r>
      <w:r>
        <w:rPr>
          <w:rFonts w:hint="eastAsia"/>
          <w:color w:val="auto"/>
        </w:rPr>
        <w:t>偏差原因：在指标设定中，根据往年培训情况，大概估算农民培训满意度在90%以上，经过项目实施后问卷调查，实际满意度为90.91%；指标2：</w:t>
      </w:r>
      <w:r>
        <w:rPr>
          <w:rFonts w:hint="eastAsia"/>
          <w:color w:val="auto"/>
          <w:lang w:val="en-US" w:eastAsia="zh-CN"/>
        </w:rPr>
        <w:t>使用人员满意度</w:t>
      </w:r>
      <w:r>
        <w:rPr>
          <w:rFonts w:hint="eastAsia"/>
          <w:color w:val="auto"/>
        </w:rPr>
        <w:t>，指标值：</w:t>
      </w:r>
      <w:r>
        <w:rPr>
          <w:rFonts w:hint="eastAsia"/>
          <w:color w:val="auto"/>
          <w:lang w:eastAsia="zh-CN"/>
        </w:rPr>
        <w:t>≥</w:t>
      </w:r>
      <w:r>
        <w:rPr>
          <w:rFonts w:hint="eastAsia"/>
          <w:color w:val="auto"/>
          <w:lang w:val="en-US" w:eastAsia="zh-CN"/>
        </w:rPr>
        <w:t>90%</w:t>
      </w:r>
      <w:r>
        <w:rPr>
          <w:rFonts w:hint="eastAsia"/>
          <w:color w:val="auto"/>
        </w:rPr>
        <w:t>，实际完成值</w:t>
      </w:r>
      <w:r>
        <w:rPr>
          <w:rFonts w:hint="eastAsia"/>
          <w:color w:val="auto"/>
          <w:lang w:eastAsia="zh-CN"/>
        </w:rPr>
        <w:t>：</w:t>
      </w:r>
      <w:r>
        <w:rPr>
          <w:rFonts w:hint="eastAsia"/>
          <w:color w:val="auto"/>
          <w:lang w:val="en-US" w:eastAsia="zh-CN"/>
        </w:rPr>
        <w:t>90%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color w:val="auto"/>
          <w:lang w:val="en-US" w:eastAsia="zh-CN"/>
        </w:rPr>
      </w:pPr>
      <w:r>
        <w:rPr>
          <w:rFonts w:hint="eastAsia"/>
          <w:color w:val="auto"/>
          <w:lang w:val="en-US" w:eastAsia="zh-CN"/>
        </w:rPr>
        <w:t>2023年自治区人才发展基金项目-产业技术创新团队支持计划-现代农业产业技术体系人才-蔬菜体系项目年初预算20万元，全年预</w:t>
      </w:r>
      <w:bookmarkStart w:id="21" w:name="_GoBack"/>
      <w:bookmarkEnd w:id="21"/>
      <w:r>
        <w:rPr>
          <w:rFonts w:hint="eastAsia"/>
          <w:color w:val="auto"/>
          <w:lang w:val="en-US" w:eastAsia="zh-CN"/>
        </w:rPr>
        <w:t>算20万元，实际支出20万元，预算执行率为100%，项目绩效指标总体完成率为113.39%，</w:t>
      </w:r>
      <w:r>
        <w:rPr>
          <w:rFonts w:hint="default" w:ascii="Times New Roman" w:hAnsi="Times New Roman" w:eastAsia="仿宋_GB2312" w:cs="Times New Roman"/>
          <w:color w:val="auto"/>
          <w:highlight w:val="none"/>
          <w:lang w:val="en-US" w:eastAsia="zh-Hans"/>
        </w:rPr>
        <w:t>总体</w:t>
      </w:r>
      <w:r>
        <w:rPr>
          <w:rFonts w:hint="default" w:ascii="Times New Roman" w:hAnsi="Times New Roman" w:eastAsia="仿宋_GB2312" w:cs="Times New Roman"/>
          <w:color w:val="auto"/>
          <w:highlight w:val="none"/>
          <w:lang w:val="en-US" w:eastAsia="zh-CN"/>
        </w:rPr>
        <w:t>偏差率为1</w:t>
      </w:r>
      <w:r>
        <w:rPr>
          <w:rFonts w:hint="eastAsia" w:cs="Times New Roman"/>
          <w:color w:val="auto"/>
          <w:highlight w:val="none"/>
          <w:lang w:val="en-US" w:eastAsia="zh-CN"/>
        </w:rPr>
        <w:t>3.39</w:t>
      </w:r>
      <w:r>
        <w:rPr>
          <w:rFonts w:hint="default" w:ascii="Times New Roman" w:hAnsi="Times New Roman" w:eastAsia="仿宋_GB2312" w:cs="Times New Roman"/>
          <w:color w:val="auto"/>
          <w:highlight w:val="none"/>
          <w:lang w:val="en-US" w:eastAsia="zh-CN"/>
        </w:rPr>
        <w:t>%，</w:t>
      </w:r>
      <w:r>
        <w:rPr>
          <w:rFonts w:hint="default" w:ascii="Times New Roman" w:hAnsi="Times New Roman" w:eastAsia="仿宋_GB2312" w:cs="Times New Roman"/>
          <w:color w:val="auto"/>
          <w:highlight w:val="none"/>
          <w:lang w:val="en-US" w:eastAsia="zh-Hans"/>
        </w:rPr>
        <w:t>偏差</w:t>
      </w:r>
      <w:r>
        <w:rPr>
          <w:rFonts w:hint="default" w:ascii="Times New Roman" w:hAnsi="Times New Roman" w:eastAsia="仿宋_GB2312" w:cs="Times New Roman"/>
          <w:color w:val="auto"/>
          <w:highlight w:val="none"/>
          <w:lang w:val="en-US" w:eastAsia="zh-CN"/>
        </w:rPr>
        <w:t>原因项目执行过程中存在项目实际开展需要和项目方案计划不一致的情况，</w:t>
      </w:r>
      <w:r>
        <w:rPr>
          <w:rFonts w:hint="eastAsia"/>
          <w:color w:val="auto"/>
        </w:rPr>
        <w:t>项目</w:t>
      </w:r>
      <w:r>
        <w:rPr>
          <w:rFonts w:hint="eastAsia"/>
          <w:color w:val="auto"/>
          <w:lang w:eastAsia="zh-CN"/>
        </w:rPr>
        <w:t>引进材料的</w:t>
      </w:r>
      <w:r>
        <w:rPr>
          <w:rFonts w:hint="eastAsia"/>
          <w:color w:val="auto"/>
        </w:rPr>
        <w:t>增</w:t>
      </w:r>
      <w:r>
        <w:rPr>
          <w:rFonts w:hint="eastAsia"/>
          <w:color w:val="auto"/>
          <w:lang w:eastAsia="zh-CN"/>
        </w:rPr>
        <w:t>加以及项目</w:t>
      </w:r>
      <w:r>
        <w:rPr>
          <w:rFonts w:hint="eastAsia"/>
          <w:color w:val="auto"/>
          <w:lang w:val="en-US" w:eastAsia="zh-CN"/>
        </w:rPr>
        <w:t>物资采购批次计划不强，造成项目绩效指标偏差。</w:t>
      </w:r>
      <w:r>
        <w:rPr>
          <w:rFonts w:hint="eastAsia"/>
          <w:color w:val="auto"/>
        </w:rPr>
        <w:t>在今后的项目执行中加强试验计划的精准性</w:t>
      </w:r>
      <w:r>
        <w:rPr>
          <w:rFonts w:hint="eastAsia"/>
          <w:color w:val="auto"/>
          <w:lang w:eastAsia="zh-CN"/>
        </w:rPr>
        <w:t>和</w:t>
      </w:r>
      <w:r>
        <w:rPr>
          <w:rFonts w:hint="default" w:ascii="Times New Roman" w:hAnsi="Times New Roman" w:eastAsia="仿宋_GB2312" w:cs="Times New Roman"/>
          <w:color w:val="auto"/>
          <w:highlight w:val="none"/>
          <w:lang w:val="en-US" w:eastAsia="zh-CN"/>
        </w:rPr>
        <w:t>项目计划</w:t>
      </w:r>
      <w:r>
        <w:rPr>
          <w:rFonts w:hint="eastAsia" w:cs="Times New Roman"/>
          <w:color w:val="auto"/>
          <w:highlight w:val="none"/>
          <w:lang w:val="en-US" w:eastAsia="zh-CN"/>
        </w:rPr>
        <w:t>指标值</w:t>
      </w:r>
      <w:r>
        <w:rPr>
          <w:rFonts w:hint="default" w:ascii="Times New Roman" w:hAnsi="Times New Roman" w:eastAsia="仿宋_GB2312" w:cs="Times New Roman"/>
          <w:color w:val="auto"/>
          <w:highlight w:val="none"/>
          <w:lang w:val="en-US" w:eastAsia="zh-CN"/>
        </w:rPr>
        <w:t>设定的合理性以及规范性</w:t>
      </w:r>
      <w:r>
        <w:rPr>
          <w:rFonts w:hint="eastAsia" w:ascii="Times New Roman" w:hAnsi="Times New Roman" w:cs="Times New Roman"/>
          <w:color w:val="auto"/>
          <w:highlight w:val="none"/>
          <w:lang w:val="en-US" w:eastAsia="zh-CN"/>
        </w:rPr>
        <w:t>，</w:t>
      </w:r>
      <w:r>
        <w:rPr>
          <w:rFonts w:hint="eastAsia"/>
          <w:color w:val="auto"/>
        </w:rPr>
        <w:t>提高项目执行率</w:t>
      </w:r>
      <w:r>
        <w:rPr>
          <w:rFonts w:hint="default" w:ascii="Times New Roman" w:hAnsi="Times New Roman" w:eastAsia="仿宋_GB2312" w:cs="Times New Roman"/>
          <w:color w:val="auto"/>
          <w:highlight w:val="none"/>
          <w:lang w:val="en-US" w:eastAsia="zh-CN"/>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18" w:name="_Toc68703844"/>
      <w:r>
        <w:rPr>
          <w:rFonts w:hint="eastAsia" w:ascii="仿宋_GB2312" w:hAnsi="仿宋_GB2312" w:eastAsia="仿宋_GB2312" w:cs="仿宋_GB2312"/>
          <w:color w:val="auto"/>
          <w:sz w:val="32"/>
          <w:szCs w:val="32"/>
          <w:highlight w:val="none"/>
          <w:lang w:val="en-US" w:eastAsia="zh-CN"/>
        </w:rPr>
        <w:t>一是在项目实施过程中，一定要立足实际，符合实际农业生产需求，与当地农户多沟通，交流经验，解决农户农业中的迫切需求问题。二是要沉下心来，多到基层调研，总结经验，及时申报与农业生产实际相符合的项目。</w:t>
      </w:r>
    </w:p>
    <w:p>
      <w:pPr>
        <w:pStyle w:val="4"/>
        <w:pageBreakBefore w:val="0"/>
        <w:numPr>
          <w:ilvl w:val="0"/>
          <w:numId w:val="2"/>
        </w:numPr>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存在的问题及原因分析</w:t>
      </w:r>
      <w:bookmarkEnd w:id="18"/>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我单位</w:t>
      </w:r>
      <w:r>
        <w:rPr>
          <w:rFonts w:hint="eastAsia" w:ascii="仿宋_GB2312" w:hAnsi="仿宋_GB2312" w:eastAsia="仿宋_GB2312" w:cs="仿宋_GB2312"/>
          <w:color w:val="auto"/>
          <w:sz w:val="32"/>
          <w:szCs w:val="32"/>
          <w:highlight w:val="none"/>
          <w:lang w:val="en-US" w:eastAsia="zh-CN"/>
        </w:rPr>
        <w:t>绩效管理工作</w:t>
      </w:r>
      <w:r>
        <w:rPr>
          <w:rFonts w:hint="eastAsia" w:ascii="仿宋_GB2312" w:hAnsi="仿宋_GB2312" w:cs="仿宋_GB2312"/>
          <w:color w:val="auto"/>
          <w:sz w:val="32"/>
          <w:szCs w:val="32"/>
          <w:highlight w:val="none"/>
          <w:lang w:val="en-US" w:eastAsia="zh-CN"/>
        </w:rPr>
        <w:t>的业务水平不强，没有</w:t>
      </w: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w:t>
      </w:r>
      <w:r>
        <w:rPr>
          <w:rFonts w:hint="eastAsia" w:ascii="仿宋_GB2312" w:hAnsi="仿宋_GB2312" w:cs="仿宋_GB2312"/>
          <w:color w:val="auto"/>
          <w:sz w:val="32"/>
          <w:szCs w:val="32"/>
          <w:highlight w:val="none"/>
          <w:lang w:val="en-US" w:eastAsia="zh-CN"/>
        </w:rPr>
        <w:t>，造成</w:t>
      </w:r>
      <w:r>
        <w:rPr>
          <w:rFonts w:hint="eastAsia" w:ascii="仿宋_GB2312" w:hAnsi="仿宋_GB2312" w:eastAsia="仿宋_GB2312" w:cs="仿宋_GB2312"/>
          <w:color w:val="auto"/>
          <w:sz w:val="32"/>
          <w:szCs w:val="32"/>
          <w:highlight w:val="none"/>
          <w:lang w:val="en-US" w:eastAsia="zh-CN"/>
        </w:rPr>
        <w:t>绩效人员水平</w:t>
      </w:r>
      <w:r>
        <w:rPr>
          <w:rFonts w:hint="eastAsia" w:ascii="仿宋_GB2312" w:hAnsi="仿宋_GB2312" w:cs="仿宋_GB2312"/>
          <w:color w:val="auto"/>
          <w:sz w:val="32"/>
          <w:szCs w:val="32"/>
          <w:highlight w:val="none"/>
          <w:lang w:val="en-US" w:eastAsia="zh-CN"/>
        </w:rPr>
        <w:t>不高。科研管理办公室没有</w:t>
      </w:r>
      <w:r>
        <w:rPr>
          <w:rFonts w:hint="eastAsia" w:ascii="仿宋_GB2312" w:hAnsi="仿宋_GB2312" w:eastAsia="仿宋_GB2312" w:cs="仿宋_GB2312"/>
          <w:color w:val="auto"/>
          <w:sz w:val="32"/>
          <w:szCs w:val="32"/>
          <w:highlight w:val="none"/>
          <w:lang w:val="en-US" w:eastAsia="zh-CN"/>
        </w:rPr>
        <w:t>进一步规范项目建设的程序</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项目前期</w:t>
      </w:r>
      <w:r>
        <w:rPr>
          <w:rFonts w:hint="eastAsia" w:ascii="仿宋_GB2312" w:hAnsi="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lang w:val="en-US" w:eastAsia="zh-CN"/>
        </w:rPr>
        <w:t>可行性研究报告，</w:t>
      </w:r>
      <w:r>
        <w:rPr>
          <w:rFonts w:hint="eastAsia" w:ascii="仿宋_GB2312" w:hAnsi="仿宋_GB2312" w:cs="仿宋_GB2312"/>
          <w:color w:val="auto"/>
          <w:sz w:val="32"/>
          <w:szCs w:val="32"/>
          <w:highlight w:val="none"/>
          <w:lang w:val="en-US" w:eastAsia="zh-CN"/>
        </w:rPr>
        <w:t>没有</w:t>
      </w:r>
      <w:r>
        <w:rPr>
          <w:rFonts w:hint="eastAsia" w:ascii="仿宋_GB2312" w:hAnsi="仿宋_GB2312" w:eastAsia="仿宋_GB2312" w:cs="仿宋_GB2312"/>
          <w:color w:val="auto"/>
          <w:sz w:val="32"/>
          <w:szCs w:val="32"/>
          <w:highlight w:val="none"/>
          <w:lang w:val="en-US" w:eastAsia="zh-CN"/>
        </w:rPr>
        <w:t>细化实施方案</w:t>
      </w:r>
      <w:r>
        <w:rPr>
          <w:rFonts w:hint="eastAsia" w:ascii="仿宋_GB2312" w:hAnsi="仿宋_GB2312" w:cs="仿宋_GB2312"/>
          <w:color w:val="auto"/>
          <w:sz w:val="32"/>
          <w:szCs w:val="32"/>
          <w:highlight w:val="none"/>
          <w:lang w:val="en-US" w:eastAsia="zh-CN"/>
        </w:rPr>
        <w:t>，影响项目的实施进度和实施结果。</w:t>
      </w:r>
    </w:p>
    <w:p>
      <w:pPr>
        <w:rPr>
          <w:rFonts w:hint="eastAsia"/>
          <w:color w:val="auto"/>
        </w:rPr>
      </w:pP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shd w:val="clear" w:color="auto" w:fill="auto"/>
        </w:rPr>
      </w:pPr>
      <w:bookmarkStart w:id="19"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无</w:t>
      </w:r>
    </w:p>
    <w:p>
      <w:pPr>
        <w:pageBreakBefore w:val="0"/>
        <w:kinsoku/>
        <w:wordWrap/>
        <w:overflowPunct/>
        <w:topLinePunct w:val="0"/>
        <w:autoSpaceDE/>
        <w:autoSpaceDN/>
        <w:bidi w:val="0"/>
        <w:adjustRightInd/>
        <w:snapToGrid/>
        <w:spacing w:line="560" w:lineRule="exact"/>
        <w:ind w:firstLine="600" w:firstLineChars="200"/>
        <w:textAlignment w:val="auto"/>
      </w:pP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629FBE"/>
    <w:multiLevelType w:val="singleLevel"/>
    <w:tmpl w:val="58629FBE"/>
    <w:lvl w:ilvl="0" w:tentative="0">
      <w:start w:val="2"/>
      <w:numFmt w:val="chineseCounting"/>
      <w:suff w:val="nothing"/>
      <w:lvlText w:val="（%1）"/>
      <w:lvlJc w:val="left"/>
      <w:rPr>
        <w:rFonts w:hint="eastAsia"/>
      </w:rPr>
    </w:lvl>
  </w:abstractNum>
  <w:abstractNum w:abstractNumId="1">
    <w:nsid w:val="665EF190"/>
    <w:multiLevelType w:val="singleLevel"/>
    <w:tmpl w:val="665EF190"/>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U2YWE1NTBiNmY2Y2RhODA1NGI1NWNlZDBlMTMyMDM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B93F2F"/>
    <w:rsid w:val="00D17466"/>
    <w:rsid w:val="00EB3433"/>
    <w:rsid w:val="01115B19"/>
    <w:rsid w:val="01312A7F"/>
    <w:rsid w:val="025A34EF"/>
    <w:rsid w:val="02D06F2C"/>
    <w:rsid w:val="031A7868"/>
    <w:rsid w:val="03B11A9D"/>
    <w:rsid w:val="03C9092D"/>
    <w:rsid w:val="042B5143"/>
    <w:rsid w:val="047D5273"/>
    <w:rsid w:val="04E6106A"/>
    <w:rsid w:val="05087233"/>
    <w:rsid w:val="05227DA5"/>
    <w:rsid w:val="052A17EE"/>
    <w:rsid w:val="05776166"/>
    <w:rsid w:val="058B46AF"/>
    <w:rsid w:val="05B368CD"/>
    <w:rsid w:val="05E05ABA"/>
    <w:rsid w:val="066F6E3E"/>
    <w:rsid w:val="0677352A"/>
    <w:rsid w:val="06C54CB0"/>
    <w:rsid w:val="07D63618"/>
    <w:rsid w:val="087846CF"/>
    <w:rsid w:val="08D20D13"/>
    <w:rsid w:val="08DD4532"/>
    <w:rsid w:val="09122E6E"/>
    <w:rsid w:val="09BA2382"/>
    <w:rsid w:val="09DC163D"/>
    <w:rsid w:val="0A426D43"/>
    <w:rsid w:val="0A7E1D45"/>
    <w:rsid w:val="0B420FC5"/>
    <w:rsid w:val="0B7A2363"/>
    <w:rsid w:val="0C0F0BB5"/>
    <w:rsid w:val="0C4D0F1B"/>
    <w:rsid w:val="0C5A7452"/>
    <w:rsid w:val="0CC003F3"/>
    <w:rsid w:val="0CF4009D"/>
    <w:rsid w:val="0D904269"/>
    <w:rsid w:val="0D957AD2"/>
    <w:rsid w:val="0DE819AF"/>
    <w:rsid w:val="0EAF6971"/>
    <w:rsid w:val="0EEC3721"/>
    <w:rsid w:val="0F0767AD"/>
    <w:rsid w:val="0F2A6BF7"/>
    <w:rsid w:val="0F825701"/>
    <w:rsid w:val="0FDB699B"/>
    <w:rsid w:val="0FFF1232"/>
    <w:rsid w:val="10044A9B"/>
    <w:rsid w:val="10246669"/>
    <w:rsid w:val="105F7F23"/>
    <w:rsid w:val="10953945"/>
    <w:rsid w:val="111A380C"/>
    <w:rsid w:val="11AA0589"/>
    <w:rsid w:val="11BF5B9B"/>
    <w:rsid w:val="122D02D9"/>
    <w:rsid w:val="12A10CC7"/>
    <w:rsid w:val="13D12EE6"/>
    <w:rsid w:val="1497412F"/>
    <w:rsid w:val="14BC1DE8"/>
    <w:rsid w:val="14ED3D4F"/>
    <w:rsid w:val="15250840"/>
    <w:rsid w:val="156C2EC6"/>
    <w:rsid w:val="15D171CD"/>
    <w:rsid w:val="15D31197"/>
    <w:rsid w:val="168E6B0D"/>
    <w:rsid w:val="17780248"/>
    <w:rsid w:val="1796061F"/>
    <w:rsid w:val="179606CE"/>
    <w:rsid w:val="19071A3B"/>
    <w:rsid w:val="19960E59"/>
    <w:rsid w:val="1A2C531A"/>
    <w:rsid w:val="1A3B1263"/>
    <w:rsid w:val="1A6E148E"/>
    <w:rsid w:val="1A930EF5"/>
    <w:rsid w:val="1AFB6B43"/>
    <w:rsid w:val="1B040045"/>
    <w:rsid w:val="1B400146"/>
    <w:rsid w:val="1BB1184E"/>
    <w:rsid w:val="1C2564C4"/>
    <w:rsid w:val="1C84143D"/>
    <w:rsid w:val="1D2C4385"/>
    <w:rsid w:val="1D723F37"/>
    <w:rsid w:val="1D785367"/>
    <w:rsid w:val="1DC87107"/>
    <w:rsid w:val="1DCF66E8"/>
    <w:rsid w:val="1E027949"/>
    <w:rsid w:val="1E4F5A7B"/>
    <w:rsid w:val="1EB81094"/>
    <w:rsid w:val="1F240CB5"/>
    <w:rsid w:val="1FD22143"/>
    <w:rsid w:val="1FD925EF"/>
    <w:rsid w:val="208E4638"/>
    <w:rsid w:val="20A0611A"/>
    <w:rsid w:val="20BD4F1E"/>
    <w:rsid w:val="216A5E8D"/>
    <w:rsid w:val="21894E00"/>
    <w:rsid w:val="21F52495"/>
    <w:rsid w:val="220821C8"/>
    <w:rsid w:val="22235254"/>
    <w:rsid w:val="22440BFC"/>
    <w:rsid w:val="22853819"/>
    <w:rsid w:val="23735D67"/>
    <w:rsid w:val="243335F1"/>
    <w:rsid w:val="24405EA2"/>
    <w:rsid w:val="24443260"/>
    <w:rsid w:val="246A734E"/>
    <w:rsid w:val="254D37F4"/>
    <w:rsid w:val="258204E4"/>
    <w:rsid w:val="271A1398"/>
    <w:rsid w:val="27561C28"/>
    <w:rsid w:val="29051210"/>
    <w:rsid w:val="291D0C4F"/>
    <w:rsid w:val="2927387C"/>
    <w:rsid w:val="29752839"/>
    <w:rsid w:val="297E4C4B"/>
    <w:rsid w:val="29F00112"/>
    <w:rsid w:val="2AB23619"/>
    <w:rsid w:val="2AF95BF7"/>
    <w:rsid w:val="2B184107"/>
    <w:rsid w:val="2B1C6CE5"/>
    <w:rsid w:val="2B7D01D1"/>
    <w:rsid w:val="2BC03B14"/>
    <w:rsid w:val="2BCC24B9"/>
    <w:rsid w:val="2C0B1F53"/>
    <w:rsid w:val="2C6426F1"/>
    <w:rsid w:val="2C66290D"/>
    <w:rsid w:val="2CB03B88"/>
    <w:rsid w:val="2D1C4D7A"/>
    <w:rsid w:val="2D200D0E"/>
    <w:rsid w:val="2DA57465"/>
    <w:rsid w:val="2E1B3283"/>
    <w:rsid w:val="2E8E7EF9"/>
    <w:rsid w:val="2EB45BB2"/>
    <w:rsid w:val="2ECD27D0"/>
    <w:rsid w:val="2F2C1945"/>
    <w:rsid w:val="30446AC1"/>
    <w:rsid w:val="306955CD"/>
    <w:rsid w:val="3071362F"/>
    <w:rsid w:val="30F93D50"/>
    <w:rsid w:val="321626E0"/>
    <w:rsid w:val="32847649"/>
    <w:rsid w:val="32AE0DEC"/>
    <w:rsid w:val="32C73F37"/>
    <w:rsid w:val="32D06D32"/>
    <w:rsid w:val="33FE7304"/>
    <w:rsid w:val="341964B7"/>
    <w:rsid w:val="34525525"/>
    <w:rsid w:val="347B2CCE"/>
    <w:rsid w:val="347E631A"/>
    <w:rsid w:val="349D49F2"/>
    <w:rsid w:val="35492DCC"/>
    <w:rsid w:val="35D65462"/>
    <w:rsid w:val="368F480F"/>
    <w:rsid w:val="36B424C7"/>
    <w:rsid w:val="36B72533"/>
    <w:rsid w:val="36C546D4"/>
    <w:rsid w:val="37022C5E"/>
    <w:rsid w:val="373A4D29"/>
    <w:rsid w:val="37495EEC"/>
    <w:rsid w:val="37AE5A9A"/>
    <w:rsid w:val="37FC066A"/>
    <w:rsid w:val="38D54ACA"/>
    <w:rsid w:val="39616936"/>
    <w:rsid w:val="3A622FD7"/>
    <w:rsid w:val="3B443E1A"/>
    <w:rsid w:val="3BC46D08"/>
    <w:rsid w:val="3CFB0E50"/>
    <w:rsid w:val="3D491BBB"/>
    <w:rsid w:val="3DA45043"/>
    <w:rsid w:val="3DE43692"/>
    <w:rsid w:val="3EF618CF"/>
    <w:rsid w:val="3F8073EA"/>
    <w:rsid w:val="3FDB0AC5"/>
    <w:rsid w:val="3FE52B71"/>
    <w:rsid w:val="4057649F"/>
    <w:rsid w:val="40DC2D46"/>
    <w:rsid w:val="41195D48"/>
    <w:rsid w:val="412133EB"/>
    <w:rsid w:val="41412BA9"/>
    <w:rsid w:val="41662610"/>
    <w:rsid w:val="41886A2A"/>
    <w:rsid w:val="41D8350E"/>
    <w:rsid w:val="41F027BE"/>
    <w:rsid w:val="425C413F"/>
    <w:rsid w:val="43182414"/>
    <w:rsid w:val="441D78FE"/>
    <w:rsid w:val="44F1532A"/>
    <w:rsid w:val="450F36EA"/>
    <w:rsid w:val="45283286"/>
    <w:rsid w:val="46507BB3"/>
    <w:rsid w:val="47555600"/>
    <w:rsid w:val="47833F1C"/>
    <w:rsid w:val="48627842"/>
    <w:rsid w:val="487A531F"/>
    <w:rsid w:val="48897310"/>
    <w:rsid w:val="48AD52B1"/>
    <w:rsid w:val="48AF5785"/>
    <w:rsid w:val="49437E06"/>
    <w:rsid w:val="4A7111AE"/>
    <w:rsid w:val="4A7C25BE"/>
    <w:rsid w:val="4AA760C2"/>
    <w:rsid w:val="4BAB3A41"/>
    <w:rsid w:val="4BD25472"/>
    <w:rsid w:val="4BF74FD7"/>
    <w:rsid w:val="4C22332E"/>
    <w:rsid w:val="4D072EF9"/>
    <w:rsid w:val="4D950505"/>
    <w:rsid w:val="4DF41248"/>
    <w:rsid w:val="4E7B594C"/>
    <w:rsid w:val="4F6603AB"/>
    <w:rsid w:val="4F9F3921"/>
    <w:rsid w:val="5167040A"/>
    <w:rsid w:val="51782617"/>
    <w:rsid w:val="51EF3568"/>
    <w:rsid w:val="51FD48CA"/>
    <w:rsid w:val="522B1438"/>
    <w:rsid w:val="52724CE2"/>
    <w:rsid w:val="528079D5"/>
    <w:rsid w:val="52CA6EA2"/>
    <w:rsid w:val="53123BCA"/>
    <w:rsid w:val="53177C0E"/>
    <w:rsid w:val="5391176E"/>
    <w:rsid w:val="539E223F"/>
    <w:rsid w:val="53D53D51"/>
    <w:rsid w:val="55286102"/>
    <w:rsid w:val="56796849"/>
    <w:rsid w:val="56D55E16"/>
    <w:rsid w:val="56EA7B13"/>
    <w:rsid w:val="580E7416"/>
    <w:rsid w:val="583628E4"/>
    <w:rsid w:val="58D5734A"/>
    <w:rsid w:val="59417793"/>
    <w:rsid w:val="59AD4E28"/>
    <w:rsid w:val="5A1D3D5C"/>
    <w:rsid w:val="5A9304C2"/>
    <w:rsid w:val="5BA87F9D"/>
    <w:rsid w:val="5CB84210"/>
    <w:rsid w:val="5CBD6C00"/>
    <w:rsid w:val="5CD03307"/>
    <w:rsid w:val="5DA95371"/>
    <w:rsid w:val="5DC34C1A"/>
    <w:rsid w:val="5E0A28F2"/>
    <w:rsid w:val="5E5B2DF6"/>
    <w:rsid w:val="5E767EDE"/>
    <w:rsid w:val="5EE42E3D"/>
    <w:rsid w:val="5F773F0E"/>
    <w:rsid w:val="5FC22995"/>
    <w:rsid w:val="5FFE63DD"/>
    <w:rsid w:val="60327E35"/>
    <w:rsid w:val="60D535ED"/>
    <w:rsid w:val="615269E1"/>
    <w:rsid w:val="6185598F"/>
    <w:rsid w:val="61D4389A"/>
    <w:rsid w:val="61F07FA8"/>
    <w:rsid w:val="624A76B8"/>
    <w:rsid w:val="628029C4"/>
    <w:rsid w:val="633914DA"/>
    <w:rsid w:val="63A05822"/>
    <w:rsid w:val="640146EE"/>
    <w:rsid w:val="64037F21"/>
    <w:rsid w:val="64287CED"/>
    <w:rsid w:val="645E569D"/>
    <w:rsid w:val="648A6492"/>
    <w:rsid w:val="64DE67DD"/>
    <w:rsid w:val="65216D19"/>
    <w:rsid w:val="65254B81"/>
    <w:rsid w:val="65BF660F"/>
    <w:rsid w:val="65ED2420"/>
    <w:rsid w:val="65F71905"/>
    <w:rsid w:val="6639016F"/>
    <w:rsid w:val="6692162D"/>
    <w:rsid w:val="673043F6"/>
    <w:rsid w:val="673B3A73"/>
    <w:rsid w:val="67D132DA"/>
    <w:rsid w:val="684A6664"/>
    <w:rsid w:val="68E63EB3"/>
    <w:rsid w:val="68EC14C9"/>
    <w:rsid w:val="68F11999"/>
    <w:rsid w:val="68FB170C"/>
    <w:rsid w:val="69470DF5"/>
    <w:rsid w:val="69670B4F"/>
    <w:rsid w:val="698703CB"/>
    <w:rsid w:val="69B8584F"/>
    <w:rsid w:val="6A090B86"/>
    <w:rsid w:val="6AB75B07"/>
    <w:rsid w:val="6BFD7803"/>
    <w:rsid w:val="6C1F5711"/>
    <w:rsid w:val="6C4B10B5"/>
    <w:rsid w:val="6CBC11B2"/>
    <w:rsid w:val="6CCD388D"/>
    <w:rsid w:val="6D79502A"/>
    <w:rsid w:val="6E3A4A84"/>
    <w:rsid w:val="6E6B7334"/>
    <w:rsid w:val="6EC46A44"/>
    <w:rsid w:val="6ECC76A7"/>
    <w:rsid w:val="6F3B6D06"/>
    <w:rsid w:val="6F8253F2"/>
    <w:rsid w:val="70194FB8"/>
    <w:rsid w:val="701D0187"/>
    <w:rsid w:val="706E3D83"/>
    <w:rsid w:val="71137063"/>
    <w:rsid w:val="719E17CE"/>
    <w:rsid w:val="71A52B5D"/>
    <w:rsid w:val="7241446F"/>
    <w:rsid w:val="72916C3D"/>
    <w:rsid w:val="73277407"/>
    <w:rsid w:val="73D17C39"/>
    <w:rsid w:val="74013CCB"/>
    <w:rsid w:val="74387CB8"/>
    <w:rsid w:val="75473F77"/>
    <w:rsid w:val="755328D0"/>
    <w:rsid w:val="756979AE"/>
    <w:rsid w:val="76263B40"/>
    <w:rsid w:val="763A0251"/>
    <w:rsid w:val="764130D3"/>
    <w:rsid w:val="76525708"/>
    <w:rsid w:val="773F310C"/>
    <w:rsid w:val="791A3E30"/>
    <w:rsid w:val="79314CD6"/>
    <w:rsid w:val="79C008CD"/>
    <w:rsid w:val="7B8B2DC3"/>
    <w:rsid w:val="7D590134"/>
    <w:rsid w:val="7E3314F0"/>
    <w:rsid w:val="7E437985"/>
    <w:rsid w:val="7E611F46"/>
    <w:rsid w:val="7FC22B2C"/>
    <w:rsid w:val="7FF16F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8"/>
    <w:semiHidden/>
    <w:unhideWhenUsed/>
    <w:qFormat/>
    <w:uiPriority w:val="99"/>
    <w:pPr>
      <w:tabs>
        <w:tab w:val="center" w:pos="4153"/>
        <w:tab w:val="right" w:pos="8306"/>
      </w:tabs>
      <w:snapToGrid w:val="0"/>
      <w:jc w:val="left"/>
    </w:pPr>
    <w:rPr>
      <w:sz w:val="18"/>
      <w:szCs w:val="18"/>
    </w:rPr>
  </w:style>
  <w:style w:type="paragraph" w:styleId="7">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next w:val="7"/>
    <w:qFormat/>
    <w:uiPriority w:val="0"/>
    <w:pPr>
      <w:snapToGrid w:val="0"/>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semiHidden/>
    <w:qFormat/>
    <w:uiPriority w:val="99"/>
    <w:rPr>
      <w:rFonts w:ascii="Times New Roman" w:hAnsi="Times New Roman" w:eastAsia="仿宋_GB2312" w:cs="Times New Roman"/>
      <w:sz w:val="18"/>
      <w:szCs w:val="18"/>
    </w:rPr>
  </w:style>
  <w:style w:type="character" w:customStyle="1" w:styleId="18">
    <w:name w:val="页脚 Char"/>
    <w:basedOn w:val="12"/>
    <w:link w:val="6"/>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5042</Words>
  <Characters>5242</Characters>
  <Lines>37</Lines>
  <Paragraphs>10</Paragraphs>
  <TotalTime>12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2024-05-07T10:56:00Z</cp:lastPrinted>
  <dcterms:modified xsi:type="dcterms:W3CDTF">2024-05-09T09:41:01Z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