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760" w:tblpY="1777"/>
        <w:tblOverlap w:val="never"/>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14:paraId="1607DB8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noWrap w:val="0"/>
            <w:vAlign w:val="top"/>
          </w:tcPr>
          <w:p w14:paraId="68DD7231">
            <w:pPr>
              <w:spacing w:line="360" w:lineRule="auto"/>
              <w:jc w:val="center"/>
              <w:rPr>
                <w:rFonts w:eastAsia="黑体"/>
                <w:sz w:val="48"/>
                <w:szCs w:val="48"/>
              </w:rPr>
            </w:pPr>
            <w:r>
              <w:rPr>
                <w:rFonts w:eastAsia="黑体"/>
                <w:sz w:val="48"/>
                <w:szCs w:val="48"/>
              </w:rPr>
              <w:t>产品质量监督抽查实施细则</w:t>
            </w:r>
          </w:p>
        </w:tc>
      </w:tr>
    </w:tbl>
    <w:p w14:paraId="1DAA3262">
      <w:pPr>
        <w:adjustRightInd w:val="0"/>
        <w:spacing w:line="480" w:lineRule="exact"/>
        <w:jc w:val="center"/>
        <w:rPr>
          <w:rFonts w:eastAsia="黑体"/>
          <w:b/>
          <w:sz w:val="32"/>
          <w:szCs w:val="32"/>
        </w:rPr>
      </w:pPr>
    </w:p>
    <w:p w14:paraId="49FED78B">
      <w:pPr>
        <w:adjustRightInd w:val="0"/>
        <w:spacing w:line="480" w:lineRule="exact"/>
        <w:jc w:val="center"/>
        <w:rPr>
          <w:rFonts w:eastAsia="黑体"/>
          <w:b/>
          <w:sz w:val="52"/>
          <w:szCs w:val="52"/>
        </w:rPr>
      </w:pPr>
    </w:p>
    <w:p w14:paraId="2770EEDE">
      <w:pPr>
        <w:adjustRightInd w:val="0"/>
        <w:spacing w:line="480" w:lineRule="exact"/>
        <w:jc w:val="center"/>
        <w:rPr>
          <w:rFonts w:eastAsia="黑体"/>
          <w:b/>
          <w:sz w:val="52"/>
          <w:szCs w:val="52"/>
        </w:rPr>
      </w:pPr>
    </w:p>
    <w:p w14:paraId="5B094A42">
      <w:pPr>
        <w:adjustRightInd w:val="0"/>
        <w:spacing w:line="480" w:lineRule="exact"/>
        <w:jc w:val="center"/>
        <w:rPr>
          <w:rFonts w:eastAsia="黑体"/>
          <w:b/>
          <w:sz w:val="52"/>
          <w:szCs w:val="52"/>
        </w:rPr>
      </w:pPr>
    </w:p>
    <w:p w14:paraId="334706A1">
      <w:pPr>
        <w:adjustRightInd w:val="0"/>
        <w:spacing w:line="480" w:lineRule="exact"/>
        <w:jc w:val="center"/>
        <w:rPr>
          <w:rFonts w:eastAsia="黑体"/>
          <w:b/>
          <w:sz w:val="52"/>
          <w:szCs w:val="52"/>
        </w:rPr>
      </w:pPr>
    </w:p>
    <w:p w14:paraId="47165907">
      <w:pPr>
        <w:adjustRightInd w:val="0"/>
        <w:spacing w:line="480" w:lineRule="exact"/>
        <w:jc w:val="center"/>
        <w:rPr>
          <w:rFonts w:eastAsia="黑体"/>
          <w:b/>
          <w:sz w:val="52"/>
          <w:szCs w:val="52"/>
        </w:rPr>
      </w:pPr>
    </w:p>
    <w:p w14:paraId="68744064">
      <w:pPr>
        <w:adjustRightInd w:val="0"/>
        <w:spacing w:line="480" w:lineRule="exact"/>
        <w:jc w:val="center"/>
        <w:rPr>
          <w:rFonts w:eastAsia="黑体"/>
          <w:b/>
          <w:sz w:val="52"/>
          <w:szCs w:val="52"/>
        </w:rPr>
      </w:pPr>
    </w:p>
    <w:p w14:paraId="3F355A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eastAsia="黑体"/>
          <w:sz w:val="52"/>
          <w:szCs w:val="52"/>
        </w:rPr>
      </w:pPr>
      <w:r>
        <w:rPr>
          <w:rFonts w:hint="eastAsia" w:ascii="黑体" w:eastAsia="黑体"/>
          <w:b/>
          <w:sz w:val="44"/>
          <w:szCs w:val="44"/>
        </w:rPr>
        <w:t>202</w:t>
      </w:r>
      <w:r>
        <w:rPr>
          <w:rFonts w:hint="eastAsia" w:ascii="黑体" w:eastAsia="黑体"/>
          <w:b/>
          <w:sz w:val="44"/>
          <w:szCs w:val="44"/>
          <w:lang w:val="en-US" w:eastAsia="zh-CN"/>
        </w:rPr>
        <w:t>6</w:t>
      </w:r>
      <w:r>
        <w:rPr>
          <w:rFonts w:hint="eastAsia" w:ascii="黑体" w:eastAsia="黑体"/>
          <w:b/>
          <w:sz w:val="44"/>
          <w:szCs w:val="44"/>
        </w:rPr>
        <w:t>年</w:t>
      </w:r>
      <w:r>
        <w:rPr>
          <w:rFonts w:hint="eastAsia" w:ascii="黑体" w:eastAsia="黑体"/>
          <w:b/>
          <w:sz w:val="44"/>
          <w:szCs w:val="44"/>
          <w:lang w:eastAsia="zh-CN"/>
        </w:rPr>
        <w:t>巴音郭楞蒙古自治州</w:t>
      </w:r>
      <w:r>
        <w:rPr>
          <w:rFonts w:hint="eastAsia" w:ascii="黑体" w:eastAsia="黑体"/>
          <w:b/>
          <w:sz w:val="44"/>
          <w:szCs w:val="44"/>
          <w:lang w:val="en-US" w:eastAsia="zh-CN"/>
        </w:rPr>
        <w:t>老人手机</w:t>
      </w:r>
      <w:r>
        <w:rPr>
          <w:rFonts w:hint="eastAsia" w:ascii="黑体" w:eastAsia="黑体"/>
          <w:b/>
          <w:sz w:val="44"/>
          <w:szCs w:val="44"/>
        </w:rPr>
        <w:t>产品质量监督抽查实施细则</w:t>
      </w:r>
    </w:p>
    <w:p w14:paraId="1A1330B1">
      <w:pPr>
        <w:adjustRightInd w:val="0"/>
        <w:spacing w:line="480" w:lineRule="exact"/>
        <w:jc w:val="center"/>
        <w:rPr>
          <w:rFonts w:eastAsia="黑体"/>
          <w:sz w:val="52"/>
          <w:szCs w:val="52"/>
        </w:rPr>
      </w:pPr>
    </w:p>
    <w:p w14:paraId="4153A5A7">
      <w:pPr>
        <w:adjustRightInd w:val="0"/>
        <w:spacing w:line="480" w:lineRule="exact"/>
        <w:jc w:val="center"/>
        <w:rPr>
          <w:rFonts w:eastAsia="黑体"/>
          <w:b/>
          <w:sz w:val="52"/>
          <w:szCs w:val="52"/>
        </w:rPr>
      </w:pPr>
    </w:p>
    <w:p w14:paraId="7F9C3927">
      <w:pPr>
        <w:adjustRightInd w:val="0"/>
        <w:spacing w:line="480" w:lineRule="exact"/>
        <w:jc w:val="center"/>
        <w:rPr>
          <w:rFonts w:eastAsia="黑体"/>
          <w:b/>
          <w:sz w:val="52"/>
          <w:szCs w:val="52"/>
        </w:rPr>
      </w:pPr>
    </w:p>
    <w:p w14:paraId="07542AB0">
      <w:pPr>
        <w:adjustRightInd w:val="0"/>
        <w:spacing w:line="480" w:lineRule="exact"/>
        <w:jc w:val="center"/>
        <w:rPr>
          <w:rFonts w:eastAsia="黑体"/>
          <w:b/>
          <w:sz w:val="52"/>
          <w:szCs w:val="52"/>
        </w:rPr>
      </w:pPr>
    </w:p>
    <w:p w14:paraId="7A38C299">
      <w:pPr>
        <w:adjustRightInd w:val="0"/>
        <w:spacing w:line="480" w:lineRule="exact"/>
        <w:jc w:val="center"/>
        <w:rPr>
          <w:rFonts w:eastAsia="黑体"/>
          <w:b/>
          <w:sz w:val="52"/>
          <w:szCs w:val="52"/>
        </w:rPr>
      </w:pPr>
    </w:p>
    <w:p w14:paraId="43AA7A9A">
      <w:pPr>
        <w:adjustRightInd w:val="0"/>
        <w:spacing w:line="480" w:lineRule="exact"/>
        <w:jc w:val="center"/>
        <w:rPr>
          <w:rFonts w:hint="eastAsia" w:eastAsia="黑体"/>
          <w:b/>
          <w:sz w:val="52"/>
          <w:szCs w:val="52"/>
        </w:rPr>
      </w:pPr>
    </w:p>
    <w:p w14:paraId="32ABF9FB">
      <w:pPr>
        <w:adjustRightInd w:val="0"/>
        <w:spacing w:line="480" w:lineRule="exact"/>
        <w:jc w:val="center"/>
        <w:rPr>
          <w:rFonts w:hint="eastAsia" w:eastAsia="黑体"/>
          <w:b/>
          <w:sz w:val="52"/>
          <w:szCs w:val="52"/>
        </w:rPr>
      </w:pPr>
    </w:p>
    <w:p w14:paraId="79BED0CA">
      <w:pPr>
        <w:adjustRightInd w:val="0"/>
        <w:spacing w:line="480" w:lineRule="exact"/>
        <w:jc w:val="center"/>
        <w:rPr>
          <w:rFonts w:eastAsia="黑体"/>
          <w:b/>
          <w:sz w:val="52"/>
          <w:szCs w:val="52"/>
        </w:rPr>
      </w:pPr>
    </w:p>
    <w:p w14:paraId="29739ED4">
      <w:pPr>
        <w:adjustRightInd w:val="0"/>
        <w:spacing w:line="480" w:lineRule="exact"/>
        <w:jc w:val="center"/>
        <w:rPr>
          <w:rFonts w:eastAsia="黑体"/>
          <w:b/>
          <w:sz w:val="52"/>
          <w:szCs w:val="52"/>
        </w:rPr>
      </w:pPr>
    </w:p>
    <w:p w14:paraId="761C0371">
      <w:pPr>
        <w:adjustRightInd w:val="0"/>
        <w:spacing w:line="480" w:lineRule="exact"/>
        <w:jc w:val="center"/>
        <w:rPr>
          <w:rFonts w:eastAsia="黑体"/>
          <w:b/>
          <w:sz w:val="52"/>
          <w:szCs w:val="52"/>
        </w:rPr>
      </w:pPr>
    </w:p>
    <w:p w14:paraId="6999EA29">
      <w:pPr>
        <w:adjustRightInd w:val="0"/>
        <w:spacing w:line="480" w:lineRule="exact"/>
        <w:jc w:val="center"/>
        <w:rPr>
          <w:rFonts w:eastAsia="黑体"/>
          <w:b/>
          <w:sz w:val="52"/>
          <w:szCs w:val="52"/>
        </w:rPr>
      </w:pPr>
    </w:p>
    <w:p w14:paraId="523EA949">
      <w:pPr>
        <w:adjustRightInd w:val="0"/>
        <w:spacing w:line="480" w:lineRule="exact"/>
        <w:rPr>
          <w:rFonts w:hint="eastAsia" w:eastAsia="黑体"/>
          <w:sz w:val="32"/>
          <w:szCs w:val="32"/>
          <w:u w:val="single"/>
        </w:rPr>
      </w:pPr>
    </w:p>
    <w:p w14:paraId="056CDA34">
      <w:pPr>
        <w:adjustRightInd w:val="0"/>
        <w:spacing w:line="480" w:lineRule="exact"/>
        <w:rPr>
          <w:rFonts w:hint="eastAsia" w:eastAsia="黑体"/>
          <w:sz w:val="32"/>
          <w:szCs w:val="32"/>
          <w:u w:val="single"/>
        </w:rPr>
      </w:pPr>
    </w:p>
    <w:p w14:paraId="3A1E68D4">
      <w:pPr>
        <w:adjustRightInd w:val="0"/>
        <w:spacing w:line="480" w:lineRule="exact"/>
        <w:rPr>
          <w:rFonts w:eastAsia="黑体"/>
          <w:sz w:val="32"/>
          <w:szCs w:val="32"/>
          <w:u w:val="single"/>
        </w:rPr>
      </w:pPr>
    </w:p>
    <w:p w14:paraId="0024A70D">
      <w:pPr>
        <w:adjustRightInd w:val="0"/>
        <w:spacing w:line="480" w:lineRule="exact"/>
        <w:rPr>
          <w:rFonts w:eastAsia="黑体"/>
          <w:sz w:val="32"/>
          <w:szCs w:val="32"/>
          <w:u w:val="single"/>
        </w:rPr>
      </w:pPr>
    </w:p>
    <w:p w14:paraId="43B3E9B4">
      <w:pPr>
        <w:adjustRightInd w:val="0"/>
        <w:spacing w:line="480" w:lineRule="exact"/>
        <w:jc w:val="left"/>
        <w:rPr>
          <w:rFonts w:ascii="黑体" w:hAnsi="黑体" w:eastAsia="黑体"/>
          <w:bCs/>
          <w:sz w:val="24"/>
        </w:rPr>
      </w:pPr>
      <w:r>
        <w:rPr>
          <w:rFonts w:ascii="黑体" w:hAnsi="黑体" w:eastAsia="黑体"/>
          <w:bCs/>
          <w:sz w:val="24"/>
        </w:rPr>
        <w:t>202</w:t>
      </w:r>
      <w:r>
        <w:rPr>
          <w:rFonts w:hint="eastAsia" w:ascii="黑体" w:hAnsi="黑体" w:eastAsia="黑体"/>
          <w:bCs/>
          <w:sz w:val="24"/>
          <w:lang w:val="en-US" w:eastAsia="zh-CN"/>
        </w:rPr>
        <w:t>6</w:t>
      </w:r>
      <w:r>
        <w:rPr>
          <w:rFonts w:ascii="黑体" w:hAnsi="黑体" w:eastAsia="黑体"/>
          <w:bCs/>
          <w:sz w:val="24"/>
        </w:rPr>
        <w:t>-</w:t>
      </w:r>
      <w:r>
        <w:rPr>
          <w:rFonts w:hint="eastAsia" w:ascii="黑体" w:hAnsi="黑体" w:eastAsia="黑体"/>
          <w:bCs/>
          <w:sz w:val="24"/>
          <w:lang w:val="en-US" w:eastAsia="zh-CN"/>
        </w:rPr>
        <w:t>10</w:t>
      </w:r>
      <w:r>
        <w:rPr>
          <w:rFonts w:ascii="黑体" w:hAnsi="黑体" w:eastAsia="黑体"/>
          <w:bCs/>
          <w:sz w:val="24"/>
        </w:rPr>
        <w:t>-</w:t>
      </w:r>
      <w:r>
        <w:rPr>
          <w:rFonts w:hint="eastAsia" w:ascii="黑体" w:hAnsi="黑体" w:eastAsia="黑体"/>
          <w:bCs/>
          <w:sz w:val="24"/>
          <w:lang w:val="en-US" w:eastAsia="zh-CN"/>
        </w:rPr>
        <w:t xml:space="preserve">29  </w:t>
      </w:r>
      <w:r>
        <w:rPr>
          <w:rFonts w:ascii="黑体" w:hAnsi="黑体" w:eastAsia="黑体"/>
          <w:bCs/>
          <w:sz w:val="24"/>
        </w:rPr>
        <w:t>发布                                        202</w:t>
      </w:r>
      <w:r>
        <w:rPr>
          <w:rFonts w:hint="eastAsia" w:ascii="黑体" w:hAnsi="黑体" w:eastAsia="黑体"/>
          <w:bCs/>
          <w:sz w:val="24"/>
          <w:lang w:val="en-US" w:eastAsia="zh-CN"/>
        </w:rPr>
        <w:t>6</w:t>
      </w:r>
      <w:r>
        <w:rPr>
          <w:rFonts w:ascii="黑体" w:hAnsi="黑体" w:eastAsia="黑体"/>
          <w:bCs/>
          <w:sz w:val="24"/>
        </w:rPr>
        <w:t>-</w:t>
      </w:r>
      <w:r>
        <w:rPr>
          <w:rFonts w:hint="eastAsia" w:ascii="黑体" w:hAnsi="黑体" w:eastAsia="黑体"/>
          <w:bCs/>
          <w:sz w:val="24"/>
          <w:lang w:val="en-US" w:eastAsia="zh-CN"/>
        </w:rPr>
        <w:t>10</w:t>
      </w:r>
      <w:r>
        <w:rPr>
          <w:rFonts w:ascii="黑体" w:hAnsi="黑体" w:eastAsia="黑体"/>
          <w:bCs/>
          <w:sz w:val="24"/>
        </w:rPr>
        <w:t>-</w:t>
      </w:r>
      <w:r>
        <w:rPr>
          <w:rFonts w:hint="eastAsia" w:ascii="黑体" w:hAnsi="黑体" w:eastAsia="黑体"/>
          <w:bCs/>
          <w:sz w:val="24"/>
          <w:lang w:val="en-US" w:eastAsia="zh-CN"/>
        </w:rPr>
        <w:t>29</w:t>
      </w:r>
      <w:bookmarkStart w:id="0" w:name="_GoBack"/>
      <w:bookmarkEnd w:id="0"/>
      <w:r>
        <w:rPr>
          <w:rFonts w:hint="eastAsia" w:ascii="黑体" w:hAnsi="黑体" w:eastAsia="黑体"/>
          <w:bCs/>
          <w:sz w:val="24"/>
          <w:lang w:val="en-US" w:eastAsia="zh-CN"/>
        </w:rPr>
        <w:t xml:space="preserve">  </w:t>
      </w:r>
      <w:r>
        <w:rPr>
          <w:rFonts w:ascii="黑体" w:hAnsi="黑体" w:eastAsia="黑体"/>
          <w:bCs/>
          <w:sz w:val="24"/>
        </w:rPr>
        <w:t>实施</w:t>
      </w:r>
    </w:p>
    <w:tbl>
      <w:tblPr>
        <w:tblStyle w:val="3"/>
        <w:tblW w:w="0" w:type="auto"/>
        <w:tblInd w:w="13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10"/>
      </w:tblGrid>
      <w:tr w14:paraId="1C303E0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8310" w:type="dxa"/>
            <w:noWrap w:val="0"/>
            <w:vAlign w:val="top"/>
          </w:tcPr>
          <w:p w14:paraId="7829E0EC">
            <w:pPr>
              <w:adjustRightInd w:val="0"/>
              <w:spacing w:line="480" w:lineRule="exact"/>
              <w:ind w:right="-334" w:rightChars="-159"/>
              <w:jc w:val="center"/>
              <w:rPr>
                <w:rFonts w:eastAsia="黑体"/>
                <w:sz w:val="32"/>
                <w:szCs w:val="32"/>
              </w:rPr>
            </w:pPr>
            <w:r>
              <w:rPr>
                <w:rFonts w:hint="eastAsia" w:eastAsia="黑体"/>
                <w:sz w:val="32"/>
                <w:szCs w:val="32"/>
                <w:lang w:eastAsia="zh-CN"/>
              </w:rPr>
              <w:t>巴音郭楞蒙古自治州</w:t>
            </w:r>
            <w:r>
              <w:rPr>
                <w:rFonts w:eastAsia="黑体"/>
                <w:sz w:val="32"/>
                <w:szCs w:val="32"/>
              </w:rPr>
              <w:t>市场监督管理局</w:t>
            </w:r>
          </w:p>
          <w:p w14:paraId="7ECA8477">
            <w:pPr>
              <w:adjustRightInd w:val="0"/>
              <w:spacing w:line="480" w:lineRule="exact"/>
              <w:rPr>
                <w:rFonts w:eastAsia="黑体"/>
                <w:sz w:val="32"/>
                <w:szCs w:val="32"/>
              </w:rPr>
            </w:pPr>
            <w:r>
              <w:rPr>
                <w:rFonts w:hint="eastAsia" w:eastAsia="黑体"/>
                <w:sz w:val="32"/>
                <w:szCs w:val="32"/>
              </w:rPr>
              <w:t xml:space="preserve">                                                    </w:t>
            </w:r>
          </w:p>
        </w:tc>
      </w:tr>
    </w:tbl>
    <w:p w14:paraId="7026434B">
      <w:pPr>
        <w:rPr>
          <w:rFonts w:hint="eastAsia" w:ascii="宋体" w:hAnsi="宋体" w:eastAsia="宋体" w:cs="宋体"/>
          <w:b/>
          <w:bCs/>
          <w:snapToGrid/>
          <w:kern w:val="2"/>
          <w:sz w:val="36"/>
          <w:szCs w:val="36"/>
          <w:lang w:eastAsia="zh-CN"/>
        </w:rPr>
      </w:pPr>
    </w:p>
    <w:p w14:paraId="1003B0C0">
      <w:pPr>
        <w:widowControl w:val="0"/>
        <w:tabs>
          <w:tab w:val="left" w:pos="6930"/>
        </w:tabs>
        <w:kinsoku/>
        <w:autoSpaceDE/>
        <w:autoSpaceDN/>
        <w:adjustRightInd w:val="0"/>
        <w:snapToGrid/>
        <w:spacing w:line="480" w:lineRule="exact"/>
        <w:jc w:val="center"/>
        <w:textAlignment w:val="auto"/>
        <w:rPr>
          <w:rFonts w:hint="eastAsia" w:ascii="方正小标宋简体" w:hAnsi="仿宋" w:eastAsia="方正小标宋简体" w:cs="方正仿宋简体"/>
          <w:b/>
          <w:snapToGrid/>
          <w:color w:val="000000"/>
          <w:kern w:val="2"/>
          <w:sz w:val="32"/>
          <w:szCs w:val="32"/>
          <w:lang w:eastAsia="zh-CN"/>
        </w:rPr>
      </w:pPr>
      <w:r>
        <w:rPr>
          <w:rFonts w:hint="eastAsia" w:ascii="方正小标宋简体" w:hAnsi="仿宋" w:eastAsia="方正小标宋简体" w:cs="方正仿宋简体"/>
          <w:b/>
          <w:snapToGrid/>
          <w:color w:val="000000"/>
          <w:kern w:val="2"/>
          <w:sz w:val="32"/>
          <w:szCs w:val="32"/>
          <w:lang w:eastAsia="zh-CN"/>
        </w:rPr>
        <w:t>巴音郭楞蒙古自治州</w:t>
      </w:r>
      <w:r>
        <w:rPr>
          <w:rFonts w:hint="eastAsia" w:ascii="方正小标宋简体" w:hAnsi="仿宋" w:eastAsia="方正小标宋简体" w:cs="方正仿宋简体"/>
          <w:b/>
          <w:snapToGrid/>
          <w:color w:val="000000"/>
          <w:kern w:val="2"/>
          <w:sz w:val="32"/>
          <w:szCs w:val="32"/>
          <w:lang w:val="en-US" w:eastAsia="zh-CN"/>
        </w:rPr>
        <w:t>老人手机</w:t>
      </w:r>
      <w:r>
        <w:rPr>
          <w:rFonts w:hint="eastAsia" w:ascii="方正小标宋简体" w:hAnsi="仿宋" w:eastAsia="方正小标宋简体" w:cs="方正仿宋简体"/>
          <w:b/>
          <w:snapToGrid/>
          <w:color w:val="000000"/>
          <w:kern w:val="2"/>
          <w:sz w:val="32"/>
          <w:szCs w:val="32"/>
          <w:lang w:eastAsia="zh-CN"/>
        </w:rPr>
        <w:t>产品质量监督抽查实施细则</w:t>
      </w:r>
    </w:p>
    <w:p w14:paraId="5BF97F28">
      <w:pPr>
        <w:spacing w:line="422" w:lineRule="auto"/>
        <w:rPr>
          <w:rFonts w:hint="eastAsia" w:ascii="宋体" w:hAnsi="宋体" w:eastAsia="宋体" w:cs="宋体"/>
          <w:sz w:val="24"/>
          <w:szCs w:val="24"/>
        </w:rPr>
      </w:pPr>
    </w:p>
    <w:p w14:paraId="4D92E8B1">
      <w:pPr>
        <w:pStyle w:val="7"/>
        <w:snapToGrid w:val="0"/>
        <w:spacing w:line="360" w:lineRule="auto"/>
        <w:ind w:firstLine="0" w:firstLineChars="0"/>
        <w:rPr>
          <w:rFonts w:hint="eastAsia" w:hAnsi="宋体"/>
          <w:b/>
        </w:rPr>
      </w:pPr>
      <w:r>
        <w:rPr>
          <w:rFonts w:hint="eastAsia" w:hAnsi="宋体"/>
          <w:b/>
        </w:rPr>
        <w:t>1 抽样方法</w:t>
      </w:r>
    </w:p>
    <w:p w14:paraId="4855780F">
      <w:pPr>
        <w:pStyle w:val="7"/>
        <w:snapToGrid w:val="0"/>
        <w:spacing w:line="360" w:lineRule="auto"/>
        <w:ind w:firstLine="0" w:firstLineChars="0"/>
        <w:rPr>
          <w:rFonts w:hint="eastAsia" w:ascii="宋体" w:hAnsi="宋体" w:eastAsia="宋体" w:cs="宋体"/>
          <w:b/>
          <w:bCs/>
          <w:spacing w:val="-11"/>
          <w:sz w:val="24"/>
          <w:szCs w:val="24"/>
        </w:rPr>
      </w:pPr>
      <w:r>
        <w:rPr>
          <w:rFonts w:hAnsi="宋体"/>
          <w:b/>
        </w:rPr>
        <w:t>1.1 抽</w:t>
      </w:r>
      <w:r>
        <w:rPr>
          <w:rFonts w:hint="eastAsia" w:hAnsi="宋体"/>
          <w:b/>
        </w:rPr>
        <w:t>查产品及抽样领域</w:t>
      </w:r>
    </w:p>
    <w:p w14:paraId="5E959AE3">
      <w:pPr>
        <w:pStyle w:val="7"/>
        <w:snapToGrid w:val="0"/>
        <w:spacing w:line="360" w:lineRule="auto"/>
        <w:ind w:firstLine="420"/>
        <w:rPr>
          <w:rFonts w:hAnsi="宋体"/>
          <w:b/>
        </w:rPr>
      </w:pPr>
      <w:r>
        <w:rPr>
          <w:rFonts w:hint="eastAsia" w:hAnsi="宋体"/>
          <w:szCs w:val="21"/>
        </w:rPr>
        <w:t>抽样领域为</w:t>
      </w:r>
      <w:r>
        <w:rPr>
          <w:rFonts w:hint="eastAsia" w:hAnsi="宋体" w:cs="宋体"/>
          <w:szCs w:val="21"/>
          <w:lang w:eastAsia="zh-CN"/>
        </w:rPr>
        <w:t>巴音郭楞蒙古自治州</w:t>
      </w:r>
      <w:r>
        <w:rPr>
          <w:rFonts w:hint="eastAsia" w:hAnsi="宋体" w:cs="宋体"/>
          <w:szCs w:val="21"/>
        </w:rPr>
        <w:t>流通</w:t>
      </w:r>
      <w:r>
        <w:rPr>
          <w:rFonts w:hint="eastAsia" w:hAnsi="宋体" w:cs="宋体"/>
          <w:szCs w:val="21"/>
          <w:lang w:val="en-US" w:eastAsia="zh-CN"/>
        </w:rPr>
        <w:t>领域</w:t>
      </w:r>
      <w:r>
        <w:rPr>
          <w:rFonts w:hint="eastAsia" w:hAnsi="宋体" w:cs="宋体"/>
          <w:szCs w:val="21"/>
        </w:rPr>
        <w:t>。</w:t>
      </w:r>
    </w:p>
    <w:p w14:paraId="337A15DE">
      <w:pPr>
        <w:pStyle w:val="7"/>
        <w:adjustRightInd w:val="0"/>
        <w:snapToGrid w:val="0"/>
        <w:spacing w:line="360" w:lineRule="auto"/>
        <w:ind w:firstLine="420"/>
        <w:rPr>
          <w:rFonts w:hint="eastAsia" w:hAnsi="宋体"/>
          <w:szCs w:val="21"/>
        </w:rPr>
      </w:pPr>
      <w:r>
        <w:rPr>
          <w:rFonts w:hAnsi="宋体"/>
          <w:szCs w:val="21"/>
        </w:rPr>
        <w:t>抽查产品</w:t>
      </w:r>
      <w:r>
        <w:rPr>
          <w:rFonts w:hint="eastAsia" w:hAnsi="宋体"/>
          <w:szCs w:val="21"/>
        </w:rPr>
        <w:t>为</w:t>
      </w:r>
      <w:r>
        <w:rPr>
          <w:rFonts w:hint="eastAsia" w:hAnsi="宋体" w:cs="宋体"/>
          <w:szCs w:val="21"/>
          <w:lang w:val="en-US" w:eastAsia="zh-CN"/>
        </w:rPr>
        <w:t>老人手机</w:t>
      </w:r>
      <w:r>
        <w:rPr>
          <w:rFonts w:hint="eastAsia" w:hAnsi="宋体" w:cs="宋体"/>
          <w:szCs w:val="21"/>
        </w:rPr>
        <w:t>。</w:t>
      </w:r>
    </w:p>
    <w:p w14:paraId="2D7AC6E5">
      <w:pPr>
        <w:pStyle w:val="7"/>
        <w:adjustRightInd w:val="0"/>
        <w:snapToGrid w:val="0"/>
        <w:spacing w:line="360" w:lineRule="auto"/>
        <w:ind w:firstLine="0" w:firstLineChars="0"/>
        <w:rPr>
          <w:rFonts w:hAnsi="宋体"/>
          <w:b/>
        </w:rPr>
      </w:pPr>
      <w:r>
        <w:rPr>
          <w:rFonts w:hAnsi="宋体"/>
          <w:b/>
        </w:rPr>
        <w:t>1.2 抽样方法、基数及数量</w:t>
      </w:r>
    </w:p>
    <w:p w14:paraId="6E3CA7FF">
      <w:pPr>
        <w:snapToGrid w:val="0"/>
        <w:spacing w:line="360" w:lineRule="auto"/>
        <w:ind w:firstLine="420" w:firstLineChars="200"/>
        <w:rPr>
          <w:rFonts w:hint="eastAsia" w:ascii="宋体" w:hAnsi="宋体"/>
          <w:kern w:val="0"/>
          <w:szCs w:val="21"/>
        </w:rPr>
      </w:pPr>
      <w:r>
        <w:rPr>
          <w:rFonts w:ascii="宋体" w:hAnsi="宋体"/>
          <w:kern w:val="0"/>
          <w:szCs w:val="21"/>
        </w:rPr>
        <w:t>在</w:t>
      </w:r>
      <w:r>
        <w:rPr>
          <w:rFonts w:hint="eastAsia" w:ascii="宋体" w:hAnsi="宋体"/>
          <w:kern w:val="0"/>
          <w:szCs w:val="21"/>
        </w:rPr>
        <w:t>流通领域</w:t>
      </w:r>
      <w:r>
        <w:rPr>
          <w:rFonts w:ascii="宋体" w:hAnsi="宋体"/>
          <w:kern w:val="0"/>
          <w:szCs w:val="21"/>
        </w:rPr>
        <w:t>待销产品</w:t>
      </w:r>
      <w:r>
        <w:rPr>
          <w:rFonts w:hint="eastAsia" w:ascii="宋体" w:hAnsi="宋体"/>
          <w:kern w:val="0"/>
          <w:szCs w:val="21"/>
        </w:rPr>
        <w:t>中抽取。</w:t>
      </w:r>
    </w:p>
    <w:p w14:paraId="6E8172A9">
      <w:pPr>
        <w:snapToGrid w:val="0"/>
        <w:spacing w:line="360" w:lineRule="auto"/>
        <w:ind w:firstLine="420" w:firstLineChars="200"/>
        <w:rPr>
          <w:rFonts w:hint="eastAsia" w:ascii="宋体" w:hAnsi="宋体"/>
          <w:kern w:val="0"/>
          <w:szCs w:val="21"/>
        </w:rPr>
      </w:pPr>
      <w:r>
        <w:rPr>
          <w:rFonts w:hint="eastAsia" w:ascii="宋体" w:hAnsi="宋体"/>
          <w:kern w:val="0"/>
          <w:szCs w:val="21"/>
        </w:rPr>
        <w:t>随机数使用随机数表等方法产生。</w:t>
      </w:r>
    </w:p>
    <w:p w14:paraId="20D56D94">
      <w:pPr>
        <w:snapToGrid w:val="0"/>
        <w:spacing w:line="360" w:lineRule="auto"/>
        <w:ind w:firstLine="420" w:firstLineChars="200"/>
        <w:rPr>
          <w:rFonts w:hint="eastAsia" w:ascii="宋体" w:hAnsi="宋体"/>
          <w:kern w:val="0"/>
          <w:szCs w:val="21"/>
        </w:rPr>
      </w:pPr>
      <w:r>
        <w:rPr>
          <w:rFonts w:hint="eastAsia" w:ascii="宋体" w:hAnsi="宋体"/>
          <w:kern w:val="0"/>
          <w:szCs w:val="21"/>
        </w:rPr>
        <w:t>抽取样品应为同一生产企业生产的同一种类、同一型号规格、同一批次的产品。</w:t>
      </w:r>
    </w:p>
    <w:p w14:paraId="30A8AA68">
      <w:pPr>
        <w:snapToGrid w:val="0"/>
        <w:spacing w:line="360" w:lineRule="auto"/>
        <w:ind w:firstLine="420" w:firstLineChars="200"/>
        <w:rPr>
          <w:rFonts w:hint="eastAsia" w:ascii="宋体" w:hAnsi="宋体"/>
          <w:kern w:val="0"/>
          <w:szCs w:val="21"/>
        </w:rPr>
      </w:pPr>
      <w:r>
        <w:rPr>
          <w:rFonts w:hint="eastAsia" w:ascii="宋体" w:hAnsi="宋体"/>
          <w:kern w:val="0"/>
          <w:szCs w:val="21"/>
        </w:rPr>
        <w:t>每批次产品抽取样品</w:t>
      </w:r>
      <w:r>
        <w:rPr>
          <w:rFonts w:hint="eastAsia" w:ascii="宋体" w:hAnsi="宋体"/>
          <w:kern w:val="0"/>
          <w:szCs w:val="21"/>
          <w:lang w:val="en-US" w:eastAsia="zh-CN"/>
        </w:rPr>
        <w:t>2台</w:t>
      </w:r>
      <w:r>
        <w:rPr>
          <w:rFonts w:hint="eastAsia" w:ascii="宋体" w:hAnsi="宋体"/>
          <w:kern w:val="0"/>
          <w:szCs w:val="21"/>
        </w:rPr>
        <w:t>，其中</w:t>
      </w:r>
      <w:r>
        <w:rPr>
          <w:rFonts w:hint="eastAsia" w:ascii="宋体" w:hAnsi="宋体"/>
          <w:kern w:val="0"/>
          <w:szCs w:val="21"/>
          <w:lang w:val="en-US" w:eastAsia="zh-CN"/>
        </w:rPr>
        <w:t>1</w:t>
      </w:r>
      <w:r>
        <w:rPr>
          <w:rFonts w:hint="eastAsia" w:ascii="宋体" w:hAnsi="宋体" w:eastAsia="宋体"/>
          <w:kern w:val="0"/>
          <w:szCs w:val="21"/>
          <w:lang w:val="en-US" w:eastAsia="zh-CN"/>
        </w:rPr>
        <w:t>台</w:t>
      </w:r>
      <w:r>
        <w:rPr>
          <w:rFonts w:hint="eastAsia" w:ascii="宋体" w:hAnsi="宋体"/>
          <w:kern w:val="0"/>
          <w:szCs w:val="21"/>
        </w:rPr>
        <w:t>作为检验样品，</w:t>
      </w:r>
      <w:r>
        <w:rPr>
          <w:rFonts w:hint="eastAsia" w:ascii="宋体" w:hAnsi="宋体"/>
          <w:kern w:val="0"/>
          <w:szCs w:val="21"/>
          <w:lang w:val="en-US" w:eastAsia="zh-CN"/>
        </w:rPr>
        <w:t>1</w:t>
      </w:r>
      <w:r>
        <w:rPr>
          <w:rFonts w:hint="eastAsia" w:ascii="宋体" w:hAnsi="宋体" w:eastAsia="宋体"/>
          <w:kern w:val="0"/>
          <w:szCs w:val="21"/>
          <w:lang w:val="en-US" w:eastAsia="zh-CN"/>
        </w:rPr>
        <w:t>台</w:t>
      </w:r>
      <w:r>
        <w:rPr>
          <w:rFonts w:hint="eastAsia" w:ascii="宋体" w:hAnsi="宋体"/>
          <w:kern w:val="0"/>
          <w:szCs w:val="21"/>
        </w:rPr>
        <w:t>作为备用样品。</w:t>
      </w:r>
    </w:p>
    <w:p w14:paraId="283DDFD5">
      <w:pPr>
        <w:widowControl w:val="0"/>
        <w:kinsoku/>
        <w:autoSpaceDE/>
        <w:autoSpaceDN/>
        <w:adjustRightInd w:val="0"/>
        <w:snapToGrid w:val="0"/>
        <w:spacing w:line="360" w:lineRule="auto"/>
        <w:ind w:firstLine="494" w:firstLineChars="200"/>
        <w:jc w:val="left"/>
        <w:textAlignment w:val="auto"/>
        <w:rPr>
          <w:rFonts w:hint="eastAsia" w:ascii="Times New Roman" w:hAnsi="宋体" w:eastAsia="宋体" w:cs="宋体"/>
          <w:snapToGrid/>
          <w:kern w:val="2"/>
          <w:szCs w:val="21"/>
          <w:lang w:val="en-US" w:eastAsia="zh-CN"/>
        </w:rPr>
      </w:pPr>
      <w:r>
        <w:rPr>
          <w:rFonts w:hint="eastAsia" w:ascii="宋体" w:hAnsi="宋体" w:eastAsia="宋体" w:cs="宋体"/>
          <w:b/>
          <w:bCs/>
          <w:spacing w:val="3"/>
          <w:sz w:val="24"/>
          <w:szCs w:val="24"/>
        </w:rPr>
        <w:t>2</w:t>
      </w:r>
      <w:r>
        <w:rPr>
          <w:rFonts w:hint="eastAsia" w:ascii="宋体" w:hAnsi="宋体" w:eastAsia="宋体" w:cs="宋体"/>
          <w:spacing w:val="3"/>
          <w:sz w:val="24"/>
          <w:szCs w:val="24"/>
        </w:rPr>
        <w:t xml:space="preserve">  </w:t>
      </w:r>
      <w:r>
        <w:rPr>
          <w:rFonts w:hint="eastAsia" w:ascii="宋体" w:hAnsi="宋体" w:eastAsia="宋体" w:cs="宋体"/>
          <w:b/>
          <w:bCs/>
          <w:spacing w:val="3"/>
          <w:sz w:val="24"/>
          <w:szCs w:val="24"/>
        </w:rPr>
        <w:t>检验</w:t>
      </w:r>
      <w:r>
        <w:rPr>
          <w:rFonts w:hint="eastAsia" w:cs="宋体"/>
          <w:b/>
          <w:bCs/>
          <w:spacing w:val="3"/>
          <w:sz w:val="24"/>
          <w:szCs w:val="24"/>
          <w:lang w:val="en-US" w:eastAsia="zh-CN"/>
        </w:rPr>
        <w:t>依据</w:t>
      </w:r>
    </w:p>
    <w:p w14:paraId="74A27779">
      <w:pPr>
        <w:widowControl w:val="0"/>
        <w:kinsoku/>
        <w:autoSpaceDE/>
        <w:autoSpaceDN/>
        <w:adjustRightInd w:val="0"/>
        <w:snapToGrid w:val="0"/>
        <w:spacing w:line="360" w:lineRule="auto"/>
        <w:ind w:firstLine="420" w:firstLineChars="200"/>
        <w:jc w:val="left"/>
        <w:textAlignment w:val="auto"/>
        <w:rPr>
          <w:rFonts w:hint="eastAsia" w:ascii="Times New Roman" w:hAnsi="宋体" w:eastAsia="宋体" w:cs="宋体"/>
          <w:snapToGrid/>
          <w:kern w:val="2"/>
          <w:szCs w:val="21"/>
          <w:lang w:val="en-US" w:eastAsia="zh-CN"/>
        </w:rPr>
      </w:pPr>
      <w:r>
        <w:rPr>
          <w:rFonts w:hint="eastAsia" w:ascii="Times New Roman" w:hAnsi="宋体" w:eastAsia="宋体" w:cs="宋体"/>
          <w:snapToGrid/>
          <w:kern w:val="2"/>
          <w:szCs w:val="21"/>
          <w:lang w:eastAsia="zh-CN"/>
        </w:rPr>
        <w:t>本细则中</w:t>
      </w:r>
      <w:r>
        <w:rPr>
          <w:rFonts w:hint="eastAsia" w:hAnsi="宋体" w:cs="宋体"/>
          <w:szCs w:val="21"/>
          <w:lang w:val="en-US" w:eastAsia="zh-CN"/>
        </w:rPr>
        <w:t>老人手机</w:t>
      </w:r>
      <w:r>
        <w:rPr>
          <w:rFonts w:hint="eastAsia" w:ascii="Times New Roman" w:hAnsi="宋体" w:eastAsia="宋体" w:cs="宋体"/>
          <w:snapToGrid/>
          <w:kern w:val="2"/>
          <w:szCs w:val="21"/>
          <w:lang w:eastAsia="zh-CN"/>
        </w:rPr>
        <w:t>产品的检验项目、检验方法见表</w:t>
      </w:r>
      <w:r>
        <w:rPr>
          <w:rFonts w:hint="eastAsia" w:ascii="Times New Roman" w:hAnsi="宋体" w:eastAsia="宋体" w:cs="宋体"/>
          <w:snapToGrid/>
          <w:kern w:val="2"/>
          <w:szCs w:val="21"/>
          <w:lang w:val="en-US" w:eastAsia="zh-CN"/>
        </w:rPr>
        <w:t>1</w:t>
      </w:r>
      <w:r>
        <w:rPr>
          <w:rFonts w:hint="eastAsia" w:ascii="Times New Roman" w:hAnsi="宋体" w:eastAsia="宋体" w:cs="宋体"/>
          <w:snapToGrid/>
          <w:kern w:val="2"/>
          <w:szCs w:val="21"/>
          <w:lang w:eastAsia="zh-CN"/>
        </w:rPr>
        <w:t>。</w:t>
      </w:r>
    </w:p>
    <w:p w14:paraId="03D2DE71">
      <w:pPr>
        <w:widowControl w:val="0"/>
        <w:kinsoku/>
        <w:autoSpaceDE/>
        <w:autoSpaceDN/>
        <w:adjustRightInd w:val="0"/>
        <w:snapToGrid w:val="0"/>
        <w:spacing w:line="240" w:lineRule="auto"/>
        <w:jc w:val="center"/>
        <w:textAlignment w:val="auto"/>
        <w:rPr>
          <w:rFonts w:hint="eastAsia" w:ascii="宋体" w:hAnsi="宋体" w:eastAsia="宋体" w:cs="Times New Roman"/>
          <w:snapToGrid/>
          <w:kern w:val="0"/>
          <w:sz w:val="18"/>
          <w:szCs w:val="18"/>
          <w:lang w:eastAsia="zh-CN"/>
        </w:rPr>
      </w:pPr>
      <w:r>
        <w:rPr>
          <w:rFonts w:hint="eastAsia" w:ascii="宋体" w:hAnsi="宋体" w:eastAsia="宋体" w:cs="Times New Roman"/>
          <w:snapToGrid/>
          <w:kern w:val="0"/>
          <w:sz w:val="18"/>
          <w:szCs w:val="18"/>
          <w:lang w:eastAsia="zh-CN"/>
        </w:rPr>
        <w:t xml:space="preserve">表 1 </w:t>
      </w:r>
      <w:r>
        <w:rPr>
          <w:rFonts w:hint="eastAsia" w:ascii="宋体" w:hAnsi="宋体" w:eastAsia="宋体" w:cs="Times New Roman"/>
          <w:snapToGrid/>
          <w:kern w:val="0"/>
          <w:sz w:val="18"/>
          <w:szCs w:val="18"/>
          <w:lang w:val="en-US" w:eastAsia="zh-CN"/>
        </w:rPr>
        <w:t>老人手机</w:t>
      </w:r>
      <w:r>
        <w:rPr>
          <w:rFonts w:hint="eastAsia" w:ascii="宋体" w:hAnsi="宋体" w:eastAsia="宋体" w:cs="Times New Roman"/>
          <w:snapToGrid/>
          <w:kern w:val="0"/>
          <w:sz w:val="18"/>
          <w:szCs w:val="18"/>
          <w:lang w:eastAsia="zh-CN"/>
        </w:rPr>
        <w:t>产品检验项目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710"/>
        <w:gridCol w:w="2670"/>
        <w:gridCol w:w="3014"/>
      </w:tblGrid>
      <w:tr w14:paraId="714D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vAlign w:val="center"/>
          </w:tcPr>
          <w:p w14:paraId="79EA5821">
            <w:pPr>
              <w:pStyle w:val="2"/>
              <w:widowControl w:val="0"/>
              <w:spacing w:before="259" w:line="228" w:lineRule="auto"/>
              <w:jc w:val="center"/>
              <w:outlineLvl w:val="1"/>
              <w:rPr>
                <w:rFonts w:hint="eastAsia" w:ascii="宋体" w:hAnsi="宋体" w:eastAsia="宋体" w:cs="宋体"/>
                <w:b w:val="0"/>
                <w:bCs w:val="0"/>
                <w:spacing w:val="3"/>
                <w:sz w:val="21"/>
                <w:szCs w:val="21"/>
                <w:vertAlign w:val="baseline"/>
              </w:rPr>
            </w:pPr>
            <w:r>
              <w:rPr>
                <w:rFonts w:hint="eastAsia" w:ascii="宋体" w:hAnsi="宋体" w:eastAsia="宋体" w:cs="宋体"/>
                <w:b w:val="0"/>
                <w:bCs w:val="0"/>
                <w:spacing w:val="5"/>
                <w:sz w:val="21"/>
                <w:szCs w:val="21"/>
              </w:rPr>
              <w:t>序号</w:t>
            </w:r>
          </w:p>
        </w:tc>
        <w:tc>
          <w:tcPr>
            <w:tcW w:w="4380" w:type="dxa"/>
            <w:gridSpan w:val="2"/>
            <w:vAlign w:val="center"/>
          </w:tcPr>
          <w:p w14:paraId="62FB27F7">
            <w:pPr>
              <w:widowControl w:val="0"/>
              <w:spacing w:before="176" w:line="228" w:lineRule="auto"/>
              <w:jc w:val="center"/>
              <w:rPr>
                <w:rFonts w:hint="eastAsia" w:ascii="宋体" w:hAnsi="宋体" w:eastAsia="宋体" w:cs="宋体"/>
                <w:b w:val="0"/>
                <w:bCs w:val="0"/>
                <w:spacing w:val="3"/>
                <w:sz w:val="21"/>
                <w:szCs w:val="21"/>
                <w:vertAlign w:val="baseline"/>
              </w:rPr>
            </w:pPr>
            <w:r>
              <w:rPr>
                <w:rFonts w:hint="eastAsia" w:ascii="宋体" w:hAnsi="宋体" w:eastAsia="宋体" w:cs="宋体"/>
                <w:b w:val="0"/>
                <w:bCs w:val="0"/>
                <w:spacing w:val="7"/>
                <w:sz w:val="21"/>
                <w:szCs w:val="21"/>
              </w:rPr>
              <w:t>检验项目</w:t>
            </w:r>
          </w:p>
        </w:tc>
        <w:tc>
          <w:tcPr>
            <w:tcW w:w="3014" w:type="dxa"/>
            <w:vAlign w:val="center"/>
          </w:tcPr>
          <w:p w14:paraId="0CE0A684">
            <w:pPr>
              <w:pStyle w:val="2"/>
              <w:widowControl w:val="0"/>
              <w:spacing w:before="259" w:line="228" w:lineRule="auto"/>
              <w:jc w:val="center"/>
              <w:outlineLvl w:val="1"/>
              <w:rPr>
                <w:rFonts w:hint="eastAsia" w:ascii="宋体" w:hAnsi="宋体" w:eastAsia="宋体" w:cs="宋体"/>
                <w:b w:val="0"/>
                <w:bCs w:val="0"/>
                <w:spacing w:val="3"/>
                <w:sz w:val="21"/>
                <w:szCs w:val="21"/>
                <w:vertAlign w:val="baseline"/>
              </w:rPr>
            </w:pPr>
            <w:r>
              <w:rPr>
                <w:rFonts w:hint="eastAsia" w:ascii="宋体" w:hAnsi="宋体" w:eastAsia="宋体" w:cs="宋体"/>
                <w:b w:val="0"/>
                <w:bCs w:val="0"/>
                <w:spacing w:val="7"/>
                <w:sz w:val="21"/>
                <w:szCs w:val="21"/>
              </w:rPr>
              <w:t>检验方法</w:t>
            </w:r>
          </w:p>
        </w:tc>
      </w:tr>
      <w:tr w14:paraId="0E4F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vMerge w:val="restart"/>
            <w:vAlign w:val="center"/>
          </w:tcPr>
          <w:p w14:paraId="548F98B2">
            <w:pPr>
              <w:pStyle w:val="2"/>
              <w:widowControl w:val="0"/>
              <w:spacing w:before="259" w:line="228" w:lineRule="auto"/>
              <w:jc w:val="center"/>
              <w:outlineLvl w:val="1"/>
              <w:rPr>
                <w:rFonts w:hint="eastAsia" w:ascii="宋体" w:hAnsi="宋体" w:eastAsia="宋体" w:cs="宋体"/>
                <w:b w:val="0"/>
                <w:bCs w:val="0"/>
                <w:snapToGrid w:val="0"/>
                <w:color w:val="000000"/>
                <w:spacing w:val="3"/>
                <w:kern w:val="0"/>
                <w:sz w:val="21"/>
                <w:szCs w:val="21"/>
                <w:vertAlign w:val="baseline"/>
                <w:lang w:val="en-US" w:eastAsia="zh-CN" w:bidi="ar-SA"/>
              </w:rPr>
            </w:pPr>
            <w:r>
              <w:rPr>
                <w:rFonts w:hint="eastAsia" w:ascii="宋体" w:hAnsi="宋体" w:eastAsia="宋体" w:cs="宋体"/>
                <w:b w:val="0"/>
                <w:bCs w:val="0"/>
                <w:snapToGrid w:val="0"/>
                <w:color w:val="000000"/>
                <w:spacing w:val="3"/>
                <w:kern w:val="0"/>
                <w:sz w:val="21"/>
                <w:szCs w:val="21"/>
                <w:vertAlign w:val="baseline"/>
                <w:lang w:val="en-US" w:eastAsia="zh-CN" w:bidi="ar-SA"/>
              </w:rPr>
              <w:t>1</w:t>
            </w:r>
          </w:p>
        </w:tc>
        <w:tc>
          <w:tcPr>
            <w:tcW w:w="1710" w:type="dxa"/>
            <w:vMerge w:val="restart"/>
            <w:vAlign w:val="center"/>
          </w:tcPr>
          <w:p w14:paraId="06BCC482">
            <w:pPr>
              <w:widowControl w:val="0"/>
              <w:spacing w:before="174" w:line="228" w:lineRule="auto"/>
              <w:jc w:val="center"/>
              <w:rPr>
                <w:rFonts w:hint="eastAsia" w:ascii="宋体" w:hAnsi="宋体" w:eastAsia="宋体" w:cs="宋体"/>
                <w:b w:val="0"/>
                <w:bCs w:val="0"/>
                <w:snapToGrid w:val="0"/>
                <w:color w:val="000000"/>
                <w:spacing w:val="3"/>
                <w:kern w:val="0"/>
                <w:sz w:val="21"/>
                <w:szCs w:val="21"/>
                <w:vertAlign w:val="baseline"/>
                <w:lang w:val="en-US" w:eastAsia="zh-CN" w:bidi="ar-SA"/>
              </w:rPr>
            </w:pPr>
            <w:r>
              <w:rPr>
                <w:rFonts w:hint="eastAsia" w:ascii="宋体" w:hAnsi="宋体" w:eastAsia="宋体" w:cs="宋体"/>
                <w:b w:val="0"/>
                <w:bCs w:val="0"/>
                <w:snapToGrid w:val="0"/>
                <w:color w:val="000000"/>
                <w:spacing w:val="3"/>
                <w:kern w:val="0"/>
                <w:sz w:val="21"/>
                <w:szCs w:val="21"/>
                <w:vertAlign w:val="baseline"/>
                <w:lang w:val="en-US" w:eastAsia="zh-CN" w:bidi="ar-SA"/>
              </w:rPr>
              <w:t>通用要求</w:t>
            </w:r>
          </w:p>
        </w:tc>
        <w:tc>
          <w:tcPr>
            <w:tcW w:w="2670" w:type="dxa"/>
            <w:vAlign w:val="center"/>
          </w:tcPr>
          <w:p w14:paraId="5D6202CB">
            <w:pPr>
              <w:widowControl w:val="0"/>
              <w:spacing w:before="174" w:line="228" w:lineRule="auto"/>
              <w:ind w:left="206" w:leftChars="98" w:firstLine="12" w:firstLineChars="6"/>
              <w:jc w:val="center"/>
              <w:rPr>
                <w:rFonts w:hint="eastAsia" w:ascii="宋体" w:hAnsi="宋体" w:eastAsia="宋体" w:cs="宋体"/>
                <w:b w:val="0"/>
                <w:bCs w:val="0"/>
                <w:spacing w:val="3"/>
                <w:sz w:val="21"/>
                <w:szCs w:val="21"/>
                <w:vertAlign w:val="baseline"/>
                <w:lang w:val="en-US" w:eastAsia="zh-CN"/>
              </w:rPr>
            </w:pPr>
            <w:r>
              <w:rPr>
                <w:rFonts w:hint="eastAsia" w:ascii="宋体" w:hAnsi="宋体" w:eastAsia="宋体" w:cs="宋体"/>
                <w:b w:val="0"/>
                <w:bCs w:val="0"/>
                <w:spacing w:val="3"/>
                <w:sz w:val="21"/>
                <w:szCs w:val="21"/>
                <w:vertAlign w:val="baseline"/>
                <w:lang w:val="en-US" w:eastAsia="zh-CN"/>
              </w:rPr>
              <w:t>标记和说明</w:t>
            </w:r>
          </w:p>
        </w:tc>
        <w:tc>
          <w:tcPr>
            <w:tcW w:w="3014" w:type="dxa"/>
            <w:vMerge w:val="restart"/>
            <w:vAlign w:val="center"/>
          </w:tcPr>
          <w:p w14:paraId="2AE21D81">
            <w:pPr>
              <w:pStyle w:val="2"/>
              <w:widowControl w:val="0"/>
              <w:spacing w:before="259" w:line="228" w:lineRule="auto"/>
              <w:jc w:val="center"/>
              <w:outlineLvl w:val="1"/>
              <w:rPr>
                <w:rFonts w:hint="eastAsia" w:ascii="宋体" w:hAnsi="宋体" w:eastAsia="宋体" w:cs="宋体"/>
                <w:b w:val="0"/>
                <w:bCs w:val="0"/>
                <w:spacing w:val="3"/>
                <w:sz w:val="21"/>
                <w:szCs w:val="21"/>
                <w:vertAlign w:val="baseline"/>
              </w:rPr>
            </w:pPr>
            <w:r>
              <w:rPr>
                <w:rFonts w:hint="default" w:ascii="宋体" w:hAnsi="宋体" w:eastAsia="宋体" w:cs="宋体"/>
                <w:b w:val="0"/>
                <w:bCs w:val="0"/>
                <w:snapToGrid w:val="0"/>
                <w:color w:val="000000"/>
                <w:spacing w:val="3"/>
                <w:kern w:val="0"/>
                <w:sz w:val="21"/>
                <w:szCs w:val="21"/>
                <w:vertAlign w:val="baseline"/>
                <w:lang w:val="en-US" w:eastAsia="zh-CN" w:bidi="ar-SA"/>
              </w:rPr>
              <w:t>GB</w:t>
            </w:r>
            <w:r>
              <w:rPr>
                <w:rFonts w:hint="eastAsia" w:ascii="宋体" w:hAnsi="宋体" w:eastAsia="宋体" w:cs="宋体"/>
                <w:b w:val="0"/>
                <w:bCs w:val="0"/>
                <w:snapToGrid w:val="0"/>
                <w:color w:val="000000"/>
                <w:spacing w:val="3"/>
                <w:kern w:val="0"/>
                <w:sz w:val="21"/>
                <w:szCs w:val="21"/>
                <w:vertAlign w:val="baseline"/>
                <w:lang w:val="en-US" w:eastAsia="zh-CN" w:bidi="ar-SA"/>
              </w:rPr>
              <w:t xml:space="preserve"> 4943.1-2022</w:t>
            </w:r>
          </w:p>
        </w:tc>
      </w:tr>
      <w:tr w14:paraId="2B9B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vMerge w:val="continue"/>
            <w:vAlign w:val="center"/>
          </w:tcPr>
          <w:p w14:paraId="0335833B">
            <w:pPr>
              <w:pStyle w:val="2"/>
              <w:widowControl w:val="0"/>
              <w:spacing w:before="259" w:line="228" w:lineRule="auto"/>
              <w:jc w:val="center"/>
              <w:outlineLvl w:val="1"/>
              <w:rPr>
                <w:rFonts w:hint="eastAsia" w:ascii="宋体" w:hAnsi="宋体" w:eastAsia="宋体" w:cs="宋体"/>
                <w:b w:val="0"/>
                <w:bCs w:val="0"/>
                <w:snapToGrid w:val="0"/>
                <w:color w:val="000000"/>
                <w:spacing w:val="3"/>
                <w:kern w:val="0"/>
                <w:sz w:val="21"/>
                <w:szCs w:val="21"/>
                <w:vertAlign w:val="baseline"/>
                <w:lang w:val="en-US" w:eastAsia="zh-CN" w:bidi="ar-SA"/>
              </w:rPr>
            </w:pPr>
          </w:p>
        </w:tc>
        <w:tc>
          <w:tcPr>
            <w:tcW w:w="1710" w:type="dxa"/>
            <w:vMerge w:val="continue"/>
            <w:vAlign w:val="center"/>
          </w:tcPr>
          <w:p w14:paraId="7DC2E59E">
            <w:pPr>
              <w:widowControl w:val="0"/>
              <w:spacing w:before="174" w:line="228" w:lineRule="auto"/>
              <w:ind w:left="201" w:leftChars="96" w:firstLine="12" w:firstLineChars="6"/>
              <w:jc w:val="center"/>
              <w:rPr>
                <w:rFonts w:hint="eastAsia" w:ascii="宋体" w:hAnsi="宋体" w:eastAsia="宋体" w:cs="宋体"/>
                <w:b w:val="0"/>
                <w:bCs w:val="0"/>
                <w:snapToGrid w:val="0"/>
                <w:color w:val="000000"/>
                <w:spacing w:val="3"/>
                <w:kern w:val="0"/>
                <w:sz w:val="21"/>
                <w:szCs w:val="21"/>
                <w:vertAlign w:val="baseline"/>
                <w:lang w:val="en-US" w:eastAsia="en-US" w:bidi="ar-SA"/>
              </w:rPr>
            </w:pPr>
          </w:p>
        </w:tc>
        <w:tc>
          <w:tcPr>
            <w:tcW w:w="2670" w:type="dxa"/>
            <w:vAlign w:val="center"/>
          </w:tcPr>
          <w:p w14:paraId="398C2B07">
            <w:pPr>
              <w:widowControl w:val="0"/>
              <w:spacing w:before="174" w:line="228" w:lineRule="auto"/>
              <w:ind w:left="206" w:leftChars="98" w:firstLine="13" w:firstLineChars="6"/>
              <w:jc w:val="center"/>
              <w:rPr>
                <w:rFonts w:hint="eastAsia" w:ascii="宋体" w:hAnsi="宋体" w:eastAsia="宋体" w:cs="宋体"/>
                <w:b w:val="0"/>
                <w:bCs w:val="0"/>
                <w:spacing w:val="7"/>
                <w:sz w:val="21"/>
                <w:szCs w:val="21"/>
              </w:rPr>
            </w:pPr>
            <w:r>
              <w:rPr>
                <w:rFonts w:hint="eastAsia" w:ascii="宋体" w:hAnsi="宋体" w:eastAsia="宋体" w:cs="宋体"/>
                <w:b w:val="0"/>
                <w:bCs w:val="0"/>
                <w:spacing w:val="7"/>
                <w:sz w:val="21"/>
                <w:szCs w:val="21"/>
              </w:rPr>
              <w:t>安全防护的强度</w:t>
            </w:r>
          </w:p>
        </w:tc>
        <w:tc>
          <w:tcPr>
            <w:tcW w:w="3014" w:type="dxa"/>
            <w:vMerge w:val="continue"/>
          </w:tcPr>
          <w:p w14:paraId="27489ABB">
            <w:pPr>
              <w:pStyle w:val="2"/>
              <w:widowControl w:val="0"/>
              <w:spacing w:before="259" w:line="228" w:lineRule="auto"/>
              <w:outlineLvl w:val="1"/>
              <w:rPr>
                <w:rFonts w:hint="eastAsia" w:ascii="宋体" w:hAnsi="宋体" w:eastAsia="宋体" w:cs="宋体"/>
                <w:b/>
                <w:bCs/>
                <w:spacing w:val="3"/>
                <w:sz w:val="21"/>
                <w:szCs w:val="21"/>
                <w:vertAlign w:val="baseline"/>
              </w:rPr>
            </w:pPr>
          </w:p>
        </w:tc>
      </w:tr>
      <w:tr w14:paraId="61E3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vMerge w:val="continue"/>
            <w:vAlign w:val="center"/>
          </w:tcPr>
          <w:p w14:paraId="0583F44C">
            <w:pPr>
              <w:pStyle w:val="2"/>
              <w:widowControl w:val="0"/>
              <w:spacing w:before="259" w:line="228" w:lineRule="auto"/>
              <w:jc w:val="center"/>
              <w:outlineLvl w:val="1"/>
              <w:rPr>
                <w:rFonts w:hint="eastAsia" w:ascii="宋体" w:hAnsi="宋体" w:eastAsia="宋体" w:cs="宋体"/>
                <w:b w:val="0"/>
                <w:bCs w:val="0"/>
                <w:snapToGrid w:val="0"/>
                <w:color w:val="000000"/>
                <w:spacing w:val="3"/>
                <w:kern w:val="0"/>
                <w:sz w:val="21"/>
                <w:szCs w:val="21"/>
                <w:vertAlign w:val="baseline"/>
                <w:lang w:val="en-US" w:eastAsia="zh-CN" w:bidi="ar-SA"/>
              </w:rPr>
            </w:pPr>
          </w:p>
        </w:tc>
        <w:tc>
          <w:tcPr>
            <w:tcW w:w="1710" w:type="dxa"/>
            <w:vMerge w:val="continue"/>
            <w:vAlign w:val="center"/>
          </w:tcPr>
          <w:p w14:paraId="460FC694">
            <w:pPr>
              <w:widowControl w:val="0"/>
              <w:spacing w:before="173" w:line="229" w:lineRule="auto"/>
              <w:ind w:left="201" w:leftChars="96" w:firstLine="12" w:firstLineChars="6"/>
              <w:jc w:val="center"/>
              <w:rPr>
                <w:rFonts w:hint="eastAsia" w:ascii="宋体" w:hAnsi="宋体" w:eastAsia="宋体" w:cs="宋体"/>
                <w:b w:val="0"/>
                <w:bCs w:val="0"/>
                <w:snapToGrid w:val="0"/>
                <w:color w:val="000000"/>
                <w:spacing w:val="3"/>
                <w:kern w:val="0"/>
                <w:sz w:val="21"/>
                <w:szCs w:val="21"/>
                <w:vertAlign w:val="baseline"/>
                <w:lang w:val="en-US" w:eastAsia="en-US" w:bidi="ar-SA"/>
              </w:rPr>
            </w:pPr>
          </w:p>
        </w:tc>
        <w:tc>
          <w:tcPr>
            <w:tcW w:w="2670" w:type="dxa"/>
            <w:vAlign w:val="center"/>
          </w:tcPr>
          <w:p w14:paraId="0CB466AF">
            <w:pPr>
              <w:widowControl w:val="0"/>
              <w:spacing w:before="173" w:line="229" w:lineRule="auto"/>
              <w:ind w:left="206" w:leftChars="98" w:firstLine="12" w:firstLineChars="6"/>
              <w:jc w:val="center"/>
              <w:rPr>
                <w:rFonts w:hint="eastAsia"/>
              </w:rPr>
            </w:pPr>
            <w:r>
              <w:rPr>
                <w:rFonts w:hint="eastAsia"/>
              </w:rPr>
              <w:t>导体的固定</w:t>
            </w:r>
          </w:p>
        </w:tc>
        <w:tc>
          <w:tcPr>
            <w:tcW w:w="3014" w:type="dxa"/>
            <w:vMerge w:val="continue"/>
          </w:tcPr>
          <w:p w14:paraId="6C8DBBA8">
            <w:pPr>
              <w:pStyle w:val="2"/>
              <w:widowControl w:val="0"/>
              <w:spacing w:before="259" w:line="228" w:lineRule="auto"/>
              <w:outlineLvl w:val="1"/>
              <w:rPr>
                <w:rFonts w:hint="eastAsia" w:ascii="宋体" w:hAnsi="宋体" w:eastAsia="宋体" w:cs="宋体"/>
                <w:b/>
                <w:bCs/>
                <w:spacing w:val="3"/>
                <w:sz w:val="21"/>
                <w:szCs w:val="21"/>
                <w:vertAlign w:val="baseline"/>
              </w:rPr>
            </w:pPr>
          </w:p>
        </w:tc>
      </w:tr>
      <w:tr w14:paraId="1B16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vAlign w:val="center"/>
          </w:tcPr>
          <w:p w14:paraId="1A7CBAB9">
            <w:pPr>
              <w:pStyle w:val="2"/>
              <w:widowControl w:val="0"/>
              <w:spacing w:before="259" w:line="228" w:lineRule="auto"/>
              <w:jc w:val="center"/>
              <w:outlineLvl w:val="1"/>
              <w:rPr>
                <w:rFonts w:hint="default" w:ascii="宋体" w:hAnsi="宋体" w:eastAsia="宋体" w:cs="宋体"/>
                <w:b w:val="0"/>
                <w:bCs w:val="0"/>
                <w:snapToGrid w:val="0"/>
                <w:color w:val="000000"/>
                <w:spacing w:val="3"/>
                <w:kern w:val="0"/>
                <w:sz w:val="21"/>
                <w:szCs w:val="21"/>
                <w:vertAlign w:val="baseline"/>
                <w:lang w:val="en-US" w:eastAsia="zh-CN" w:bidi="ar-SA"/>
              </w:rPr>
            </w:pPr>
            <w:r>
              <w:rPr>
                <w:rFonts w:hint="eastAsia" w:ascii="宋体" w:hAnsi="宋体" w:eastAsia="宋体" w:cs="宋体"/>
                <w:b w:val="0"/>
                <w:bCs w:val="0"/>
                <w:snapToGrid w:val="0"/>
                <w:color w:val="000000"/>
                <w:spacing w:val="3"/>
                <w:kern w:val="0"/>
                <w:sz w:val="21"/>
                <w:szCs w:val="21"/>
                <w:vertAlign w:val="baseline"/>
                <w:lang w:val="en-US" w:eastAsia="zh-CN" w:bidi="ar-SA"/>
              </w:rPr>
              <w:t>2</w:t>
            </w:r>
          </w:p>
        </w:tc>
        <w:tc>
          <w:tcPr>
            <w:tcW w:w="1710" w:type="dxa"/>
            <w:vAlign w:val="center"/>
          </w:tcPr>
          <w:p w14:paraId="35E07B51">
            <w:pPr>
              <w:widowControl w:val="0"/>
              <w:spacing w:before="173" w:line="229" w:lineRule="auto"/>
              <w:ind w:left="201" w:leftChars="96" w:firstLine="12" w:firstLineChars="6"/>
              <w:jc w:val="center"/>
              <w:rPr>
                <w:rFonts w:hint="default" w:ascii="宋体" w:hAnsi="宋体" w:eastAsia="宋体" w:cs="宋体"/>
                <w:b w:val="0"/>
                <w:bCs w:val="0"/>
                <w:snapToGrid w:val="0"/>
                <w:color w:val="000000"/>
                <w:spacing w:val="3"/>
                <w:kern w:val="0"/>
                <w:sz w:val="21"/>
                <w:szCs w:val="21"/>
                <w:vertAlign w:val="baseline"/>
                <w:lang w:val="en-US" w:eastAsia="zh-CN" w:bidi="ar-SA"/>
              </w:rPr>
            </w:pPr>
            <w:r>
              <w:rPr>
                <w:rFonts w:hint="eastAsia" w:ascii="宋体" w:hAnsi="宋体" w:eastAsia="宋体" w:cs="宋体"/>
                <w:b w:val="0"/>
                <w:bCs w:val="0"/>
                <w:snapToGrid w:val="0"/>
                <w:color w:val="000000"/>
                <w:spacing w:val="3"/>
                <w:kern w:val="0"/>
                <w:sz w:val="21"/>
                <w:szCs w:val="21"/>
                <w:vertAlign w:val="baseline"/>
                <w:lang w:val="en-US" w:eastAsia="zh-CN" w:bidi="ar-SA"/>
              </w:rPr>
              <w:t>电引起的伤害</w:t>
            </w:r>
          </w:p>
        </w:tc>
        <w:tc>
          <w:tcPr>
            <w:tcW w:w="2670" w:type="dxa"/>
            <w:vAlign w:val="center"/>
          </w:tcPr>
          <w:p w14:paraId="41CA5FCE">
            <w:pPr>
              <w:widowControl w:val="0"/>
              <w:spacing w:before="173" w:line="229" w:lineRule="auto"/>
              <w:ind w:left="206" w:leftChars="98" w:firstLine="12" w:firstLineChars="6"/>
              <w:jc w:val="center"/>
              <w:rPr>
                <w:rFonts w:hint="eastAsia"/>
              </w:rPr>
            </w:pPr>
            <w:r>
              <w:rPr>
                <w:rFonts w:hint="eastAsia" w:ascii="宋体" w:hAnsi="宋体" w:eastAsia="宋体" w:cs="宋体"/>
                <w:b w:val="0"/>
                <w:bCs w:val="0"/>
                <w:spacing w:val="3"/>
                <w:sz w:val="21"/>
                <w:szCs w:val="21"/>
                <w:vertAlign w:val="baseline"/>
              </w:rPr>
              <w:t>直接安装导电金属零部件的热塑性零部件</w:t>
            </w:r>
          </w:p>
        </w:tc>
        <w:tc>
          <w:tcPr>
            <w:tcW w:w="3014" w:type="dxa"/>
            <w:vMerge w:val="continue"/>
          </w:tcPr>
          <w:p w14:paraId="4A68AA0E">
            <w:pPr>
              <w:pStyle w:val="2"/>
              <w:widowControl w:val="0"/>
              <w:spacing w:before="259" w:line="228" w:lineRule="auto"/>
              <w:outlineLvl w:val="1"/>
              <w:rPr>
                <w:rFonts w:hint="eastAsia" w:ascii="宋体" w:hAnsi="宋体" w:eastAsia="宋体" w:cs="宋体"/>
                <w:b/>
                <w:bCs/>
                <w:spacing w:val="3"/>
                <w:sz w:val="21"/>
                <w:szCs w:val="21"/>
                <w:vertAlign w:val="baseline"/>
              </w:rPr>
            </w:pPr>
          </w:p>
        </w:tc>
      </w:tr>
      <w:tr w14:paraId="7CB7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2" w:type="dxa"/>
            <w:vAlign w:val="center"/>
          </w:tcPr>
          <w:p w14:paraId="2F7B3146">
            <w:pPr>
              <w:pStyle w:val="2"/>
              <w:widowControl w:val="0"/>
              <w:spacing w:before="259" w:line="228" w:lineRule="auto"/>
              <w:jc w:val="center"/>
              <w:outlineLvl w:val="1"/>
              <w:rPr>
                <w:rFonts w:hint="eastAsia" w:ascii="宋体" w:hAnsi="宋体" w:eastAsia="宋体" w:cs="宋体"/>
                <w:b w:val="0"/>
                <w:bCs w:val="0"/>
                <w:snapToGrid w:val="0"/>
                <w:color w:val="000000"/>
                <w:spacing w:val="3"/>
                <w:kern w:val="0"/>
                <w:sz w:val="21"/>
                <w:szCs w:val="21"/>
                <w:vertAlign w:val="baseline"/>
                <w:lang w:val="en-US" w:eastAsia="zh-CN" w:bidi="ar-SA"/>
              </w:rPr>
            </w:pPr>
            <w:r>
              <w:rPr>
                <w:rFonts w:hint="eastAsia" w:ascii="宋体" w:hAnsi="宋体" w:eastAsia="宋体" w:cs="宋体"/>
                <w:b w:val="0"/>
                <w:bCs w:val="0"/>
                <w:snapToGrid w:val="0"/>
                <w:color w:val="000000"/>
                <w:spacing w:val="3"/>
                <w:kern w:val="0"/>
                <w:sz w:val="21"/>
                <w:szCs w:val="21"/>
                <w:vertAlign w:val="baseline"/>
                <w:lang w:val="en-US" w:eastAsia="zh-CN" w:bidi="ar-SA"/>
              </w:rPr>
              <w:t>3</w:t>
            </w:r>
          </w:p>
        </w:tc>
        <w:tc>
          <w:tcPr>
            <w:tcW w:w="1710" w:type="dxa"/>
            <w:vAlign w:val="center"/>
          </w:tcPr>
          <w:p w14:paraId="092178A6">
            <w:pPr>
              <w:widowControl w:val="0"/>
              <w:spacing w:before="173" w:line="229" w:lineRule="auto"/>
              <w:jc w:val="center"/>
              <w:rPr>
                <w:rFonts w:hint="eastAsia" w:ascii="宋体" w:hAnsi="宋体" w:eastAsia="宋体" w:cs="宋体"/>
                <w:b w:val="0"/>
                <w:bCs w:val="0"/>
                <w:snapToGrid w:val="0"/>
                <w:color w:val="000000"/>
                <w:spacing w:val="3"/>
                <w:kern w:val="0"/>
                <w:sz w:val="21"/>
                <w:szCs w:val="21"/>
                <w:vertAlign w:val="baseline"/>
                <w:lang w:val="en-US" w:eastAsia="en-US" w:bidi="ar-SA"/>
              </w:rPr>
            </w:pPr>
            <w:r>
              <w:rPr>
                <w:rFonts w:hint="eastAsia" w:ascii="宋体" w:hAnsi="宋体" w:eastAsia="宋体" w:cs="宋体"/>
                <w:b w:val="0"/>
                <w:bCs w:val="0"/>
                <w:snapToGrid w:val="0"/>
                <w:color w:val="000000"/>
                <w:spacing w:val="3"/>
                <w:kern w:val="0"/>
                <w:sz w:val="21"/>
                <w:szCs w:val="21"/>
                <w:vertAlign w:val="baseline"/>
                <w:lang w:val="en-US" w:eastAsia="en-US" w:bidi="ar-SA"/>
              </w:rPr>
              <w:t>正常工作条件试验、异常工作条件试验和单一故障条件试验</w:t>
            </w:r>
          </w:p>
        </w:tc>
        <w:tc>
          <w:tcPr>
            <w:tcW w:w="2670" w:type="dxa"/>
            <w:vAlign w:val="center"/>
          </w:tcPr>
          <w:p w14:paraId="57C76318">
            <w:pPr>
              <w:widowControl w:val="0"/>
              <w:spacing w:before="173" w:line="229" w:lineRule="auto"/>
              <w:ind w:left="206" w:leftChars="98" w:firstLine="12" w:firstLineChars="6"/>
              <w:jc w:val="center"/>
              <w:rPr>
                <w:rFonts w:hint="eastAsia"/>
              </w:rPr>
            </w:pPr>
            <w:r>
              <w:rPr>
                <w:rFonts w:hint="eastAsia"/>
              </w:rPr>
              <w:t>输入试验</w:t>
            </w:r>
          </w:p>
        </w:tc>
        <w:tc>
          <w:tcPr>
            <w:tcW w:w="3014" w:type="dxa"/>
            <w:vMerge w:val="continue"/>
          </w:tcPr>
          <w:p w14:paraId="43BAAEC3">
            <w:pPr>
              <w:pStyle w:val="2"/>
              <w:widowControl w:val="0"/>
              <w:spacing w:before="259" w:line="228" w:lineRule="auto"/>
              <w:outlineLvl w:val="1"/>
              <w:rPr>
                <w:rFonts w:hint="eastAsia" w:ascii="宋体" w:hAnsi="宋体" w:eastAsia="宋体" w:cs="宋体"/>
                <w:b/>
                <w:bCs/>
                <w:spacing w:val="3"/>
                <w:sz w:val="21"/>
                <w:szCs w:val="21"/>
                <w:vertAlign w:val="baseline"/>
              </w:rPr>
            </w:pPr>
          </w:p>
        </w:tc>
      </w:tr>
    </w:tbl>
    <w:p w14:paraId="635DCC6F">
      <w:pPr>
        <w:pStyle w:val="2"/>
        <w:spacing w:before="128" w:line="360" w:lineRule="auto"/>
        <w:ind w:left="540"/>
        <w:rPr>
          <w:rFonts w:hint="eastAsia" w:ascii="宋体" w:hAnsi="宋体" w:eastAsia="宋体" w:cs="宋体"/>
          <w:sz w:val="24"/>
          <w:szCs w:val="24"/>
        </w:rPr>
      </w:pPr>
      <w:r>
        <w:rPr>
          <w:rFonts w:hint="eastAsia" w:ascii="宋体" w:hAnsi="宋体" w:eastAsia="宋体" w:cs="宋体"/>
          <w:spacing w:val="9"/>
          <w:sz w:val="24"/>
          <w:szCs w:val="24"/>
        </w:rPr>
        <w:t>注：执行企业标准、团体标准、地方标准的产品，检验项目参照上述内容执行。</w:t>
      </w:r>
    </w:p>
    <w:p w14:paraId="441EFDBB">
      <w:pPr>
        <w:pStyle w:val="2"/>
        <w:spacing w:before="222" w:line="360" w:lineRule="auto"/>
        <w:ind w:left="123" w:right="114" w:firstLine="420"/>
        <w:rPr>
          <w:rFonts w:hint="eastAsia" w:ascii="宋体" w:hAnsi="宋体" w:eastAsia="宋体" w:cs="宋体"/>
          <w:sz w:val="24"/>
          <w:szCs w:val="24"/>
        </w:rPr>
      </w:pPr>
      <w:r>
        <w:rPr>
          <w:rFonts w:hint="eastAsia" w:ascii="宋体" w:hAnsi="宋体" w:eastAsia="宋体" w:cs="宋体"/>
          <w:spacing w:val="8"/>
          <w:sz w:val="24"/>
          <w:szCs w:val="24"/>
        </w:rPr>
        <w:t>凡是注日期的文件，其随后所有的修改单（不包括勘误的内容）或修订版不适用于</w:t>
      </w:r>
      <w:r>
        <w:rPr>
          <w:rFonts w:hint="eastAsia" w:ascii="宋体" w:hAnsi="宋体" w:eastAsia="宋体" w:cs="宋体"/>
          <w:spacing w:val="7"/>
          <w:sz w:val="24"/>
          <w:szCs w:val="24"/>
        </w:rPr>
        <w:t>本细则。凡</w:t>
      </w:r>
      <w:r>
        <w:rPr>
          <w:rFonts w:hint="eastAsia" w:ascii="宋体" w:hAnsi="宋体" w:eastAsia="宋体" w:cs="宋体"/>
          <w:spacing w:val="8"/>
          <w:sz w:val="24"/>
          <w:szCs w:val="24"/>
        </w:rPr>
        <w:t>是不注日期的文件，其最新版本适用于本细则。</w:t>
      </w:r>
    </w:p>
    <w:p w14:paraId="7C3571AB">
      <w:pPr>
        <w:widowControl w:val="0"/>
        <w:kinsoku/>
        <w:autoSpaceDE/>
        <w:autoSpaceDN/>
        <w:adjustRightInd w:val="0"/>
        <w:snapToGrid w:val="0"/>
        <w:spacing w:before="156" w:beforeLines="50" w:line="360" w:lineRule="auto"/>
        <w:jc w:val="left"/>
        <w:textAlignment w:val="auto"/>
        <w:rPr>
          <w:rFonts w:hint="eastAsia" w:ascii="宋体" w:hAnsi="宋体" w:eastAsia="宋体" w:cs="宋体"/>
          <w:sz w:val="24"/>
          <w:szCs w:val="24"/>
        </w:rPr>
      </w:pPr>
      <w:r>
        <w:rPr>
          <w:rFonts w:hint="eastAsia" w:ascii="宋体" w:hAnsi="宋体" w:eastAsia="宋体" w:cs="宋体"/>
          <w:b/>
          <w:bCs/>
          <w:sz w:val="24"/>
          <w:szCs w:val="24"/>
        </w:rPr>
        <w:t>3</w:t>
      </w:r>
      <w:r>
        <w:rPr>
          <w:rFonts w:hint="eastAsia" w:ascii="宋体" w:hAnsi="宋体" w:eastAsia="宋体" w:cs="宋体"/>
          <w:sz w:val="24"/>
          <w:szCs w:val="24"/>
        </w:rPr>
        <w:t xml:space="preserve">  </w:t>
      </w:r>
      <w:r>
        <w:rPr>
          <w:rFonts w:hint="eastAsia" w:ascii="宋体" w:hAnsi="宋体" w:eastAsia="宋体" w:cs="宋体"/>
          <w:b/>
          <w:bCs/>
          <w:sz w:val="24"/>
          <w:szCs w:val="24"/>
        </w:rPr>
        <w:t>判定规则</w:t>
      </w:r>
    </w:p>
    <w:p w14:paraId="5B6ED75C">
      <w:pPr>
        <w:widowControl w:val="0"/>
        <w:kinsoku/>
        <w:autoSpaceDE/>
        <w:autoSpaceDN/>
        <w:adjustRightInd w:val="0"/>
        <w:snapToGrid w:val="0"/>
        <w:spacing w:line="360" w:lineRule="auto"/>
        <w:jc w:val="both"/>
        <w:textAlignment w:val="auto"/>
        <w:rPr>
          <w:rFonts w:hint="eastAsia" w:ascii="宋体" w:hAnsi="宋体" w:eastAsia="宋体" w:cs="宋体"/>
          <w:sz w:val="24"/>
          <w:szCs w:val="24"/>
        </w:rPr>
      </w:pPr>
      <w:r>
        <w:rPr>
          <w:rFonts w:hint="eastAsia" w:ascii="宋体" w:hAnsi="宋体" w:eastAsia="宋体" w:cs="宋体"/>
          <w:spacing w:val="5"/>
          <w:sz w:val="24"/>
          <w:szCs w:val="24"/>
        </w:rPr>
        <w:t>3.1标准依据</w:t>
      </w:r>
    </w:p>
    <w:p w14:paraId="13DEEE16">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val="en-US" w:eastAsia="zh-CN"/>
        </w:rPr>
      </w:pPr>
      <w:r>
        <w:rPr>
          <w:rFonts w:hint="eastAsia" w:ascii="宋体" w:hAnsi="宋体" w:eastAsia="宋体" w:cs="Times New Roman"/>
          <w:snapToGrid/>
          <w:color w:val="000000"/>
          <w:kern w:val="2"/>
          <w:szCs w:val="21"/>
          <w:lang w:val="en-US" w:eastAsia="zh-CN"/>
        </w:rPr>
        <w:t>GB 4943.1-2022《音视频、信息技术和通信技术设备第1部分:安全要求》</w:t>
      </w:r>
    </w:p>
    <w:p w14:paraId="3FD0DB79">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现行有效的企业标准、团体标准、地方标准及产品明示质量要求。</w:t>
      </w:r>
    </w:p>
    <w:p w14:paraId="62BB0185">
      <w:pPr>
        <w:widowControl w:val="0"/>
        <w:kinsoku/>
        <w:autoSpaceDE/>
        <w:autoSpaceDN/>
        <w:adjustRightInd/>
        <w:snapToGrid w:val="0"/>
        <w:spacing w:line="360" w:lineRule="auto"/>
        <w:jc w:val="both"/>
        <w:textAlignment w:val="auto"/>
        <w:rPr>
          <w:rFonts w:hint="eastAsia" w:ascii="宋体" w:hAnsi="宋体" w:eastAsia="宋体" w:cs="Times New Roman"/>
          <w:b/>
          <w:snapToGrid/>
          <w:kern w:val="2"/>
          <w:szCs w:val="24"/>
          <w:lang w:eastAsia="zh-CN"/>
        </w:rPr>
      </w:pPr>
      <w:r>
        <w:rPr>
          <w:rFonts w:hint="eastAsia" w:ascii="宋体" w:hAnsi="宋体" w:eastAsia="宋体" w:cs="Times New Roman"/>
          <w:b/>
          <w:snapToGrid/>
          <w:kern w:val="2"/>
          <w:szCs w:val="24"/>
          <w:lang w:eastAsia="zh-CN"/>
        </w:rPr>
        <w:t>3.2 判定原则</w:t>
      </w:r>
    </w:p>
    <w:p w14:paraId="31656241">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经检验，检验项目全部合格，判定为被抽查产品所检项目未发现不合格；检验项目中任一项或一项以上不合格，判定为被抽查产品不合格。</w:t>
      </w:r>
    </w:p>
    <w:p w14:paraId="11552315">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若被检产品明示的质量要求高于本细则中检验项目依据的标准要求时，应按被检产品明示的质量要求判定。</w:t>
      </w:r>
    </w:p>
    <w:p w14:paraId="44A1A604">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若被检产品明示的质量要求低于本细则中检验项目依据的强制性标准要求时，应按照强制性标准要求判定。</w:t>
      </w:r>
    </w:p>
    <w:p w14:paraId="48806CF1">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若被检产品明示的质量要求低于或包含本细则中检验项目依据的推荐性标准要求时，应以被检产品明示的质量要求判定。</w:t>
      </w:r>
    </w:p>
    <w:p w14:paraId="540F95AD">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若被检产品明示的质量要求缺少本细则中检验项目依据的强制性标准要求时，应按照强制性标准要求判定。</w:t>
      </w:r>
    </w:p>
    <w:p w14:paraId="55F18BA6">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000000"/>
          <w:kern w:val="2"/>
          <w:szCs w:val="21"/>
          <w:lang w:eastAsia="zh-CN"/>
        </w:rPr>
      </w:pPr>
      <w:r>
        <w:rPr>
          <w:rFonts w:hint="eastAsia" w:ascii="宋体" w:hAnsi="宋体" w:eastAsia="宋体" w:cs="Times New Roman"/>
          <w:snapToGrid/>
          <w:color w:val="000000"/>
          <w:kern w:val="2"/>
          <w:szCs w:val="21"/>
          <w:lang w:eastAsia="zh-CN"/>
        </w:rPr>
        <w:t>若被检产品明示的质量要求缺少本细则中检验项目依据的推荐性标准要求时，该项目不参与判定。</w:t>
      </w:r>
    </w:p>
    <w:p w14:paraId="7F2C73E2">
      <w:pPr>
        <w:pStyle w:val="2"/>
        <w:spacing w:before="221" w:line="360" w:lineRule="auto"/>
        <w:ind w:left="416"/>
        <w:rPr>
          <w:rFonts w:hint="eastAsia" w:ascii="宋体" w:hAnsi="宋体" w:eastAsia="宋体" w:cs="宋体"/>
          <w:sz w:val="24"/>
          <w:szCs w:val="24"/>
        </w:rPr>
      </w:pPr>
    </w:p>
    <w:sectPr>
      <w:footerReference r:id="rId5" w:type="default"/>
      <w:pgSz w:w="11906" w:h="16839"/>
      <w:pgMar w:top="1431" w:right="1475" w:bottom="1355" w:left="1480" w:header="0" w:footer="119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1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51230">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B769EE"/>
    <w:rsid w:val="00E92027"/>
    <w:rsid w:val="06A328BA"/>
    <w:rsid w:val="10141809"/>
    <w:rsid w:val="1B351FAC"/>
    <w:rsid w:val="1F0923EB"/>
    <w:rsid w:val="20AD2FA8"/>
    <w:rsid w:val="2360414B"/>
    <w:rsid w:val="25AD046A"/>
    <w:rsid w:val="29974847"/>
    <w:rsid w:val="2BD33B33"/>
    <w:rsid w:val="2C022F99"/>
    <w:rsid w:val="3C8A2107"/>
    <w:rsid w:val="416C1362"/>
    <w:rsid w:val="58E95467"/>
    <w:rsid w:val="5E227B93"/>
    <w:rsid w:val="64644411"/>
    <w:rsid w:val="64E37ED3"/>
    <w:rsid w:val="65AB687B"/>
    <w:rsid w:val="6EF709A3"/>
    <w:rsid w:val="7E235C19"/>
    <w:rsid w:val="F6FEC8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531</Words>
  <Characters>580</Characters>
  <TotalTime>4</TotalTime>
  <ScaleCrop>false</ScaleCrop>
  <LinksUpToDate>false</LinksUpToDate>
  <CharactersWithSpaces>683</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2025-11-01T02:13:00Z</dcterms:created>
  <dc:creator>HST</dc:creator>
  <cp:lastModifiedBy>gchtd</cp:lastModifiedBy>
  <cp:lastPrinted>2026-10-29T11:11:45Z</cp:lastPrinted>
  <dcterms:modified xsi:type="dcterms:W3CDTF">2026-10-29T11:16:14Z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2025-11-06T19:01:36Z</vt:filetime>
  </property>
  <property fmtid="{D5CDD505-2E9C-101B-9397-08002B2CF9AE}" pid="4" name="KSOTemplateDocerSaveRecord">
    <vt:lpwstr>eyJoZGlkIjoiMTNlOTM3ZTg1ZTg0OWYwNzEyOGYzZWE3YmIyMmM3MjYiLCJ1c2VySWQiOiIyMzY2ODM3NjEifQ==</vt:lpwstr>
  </property>
  <property fmtid="{D5CDD505-2E9C-101B-9397-08002B2CF9AE}" pid="5" name="KSOProductBuildVer">
    <vt:lpwstr>2052-12.1.2.23578</vt:lpwstr>
  </property>
  <property fmtid="{D5CDD505-2E9C-101B-9397-08002B2CF9AE}" pid="6" name="ICV">
    <vt:lpwstr>F6EAC7C8CED9477CABA63E5F5707E288_13</vt:lpwstr>
  </property>
</Properties>
</file>