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SimHei" w:hAnsi="SimHei" w:eastAsia="SimHei"/>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FZXiaoBiaoSong-B05" w:hAnsi="SimSun" w:eastAsia="FZXiaoBiaoSong-B05"/>
          <w:sz w:val="44"/>
          <w:szCs w:val="44"/>
          <w:highlight w:val="none"/>
        </w:rPr>
      </w:pPr>
      <w:r>
        <w:rPr>
          <w:rFonts w:hint="eastAsia" w:ascii="FZXiaoBiaoSong-B05" w:hAnsi="SimSun" w:eastAsia="FZXiaoBiaoSong-B05"/>
          <w:sz w:val="44"/>
          <w:szCs w:val="44"/>
          <w:highlight w:val="none"/>
          <w:lang w:val="en-US" w:eastAsia="zh-CN"/>
        </w:rPr>
        <w:t>巴音郭楞蒙古自治州人民代表大会常务委员会（办公室）2024</w:t>
      </w:r>
      <w:r>
        <w:rPr>
          <w:rFonts w:hint="eastAsia" w:ascii="FZXiaoBiaoSong-B05" w:hAnsi="SimSun" w:eastAsia="FZXiaoBiaoSong-B05"/>
          <w:sz w:val="44"/>
          <w:szCs w:val="44"/>
          <w:highlight w:val="none"/>
          <w:lang w:eastAsia="zh-CN"/>
        </w:rPr>
        <w:t>年度</w:t>
      </w:r>
      <w:r>
        <w:rPr>
          <w:rFonts w:hint="eastAsia" w:ascii="FZXiaoBiaoSong-B05" w:hAnsi="SimSun" w:eastAsia="FZXiaoBiaoSong-B05"/>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FZXiaoBiaoSong-B05" w:hAnsi="SimSun" w:eastAsia="FZXiaoBiaoSong-B05"/>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SimHei" w:hAnsi="SimHei" w:eastAsia="SimHei"/>
          <w:sz w:val="32"/>
        </w:rPr>
        <w:t>第一部分 部门概况</w:t>
      </w:r>
    </w:p>
    <w:p>
      <w:pPr>
        <w:spacing w:line="640" w:lineRule="exact"/>
        <w:ind w:firstLine="640"/>
        <w:jc w:val="both"/>
        <w:outlineLvl w:val="2"/>
      </w:pPr>
      <w:r>
        <w:rPr>
          <w:rFonts w:ascii="SimHei" w:hAnsi="SimHei" w:eastAsia="SimHei"/>
          <w:sz w:val="32"/>
        </w:rPr>
        <w:t>一、主要职能</w:t>
      </w:r>
    </w:p>
    <w:p>
      <w:pPr>
        <w:spacing w:line="580" w:lineRule="exact"/>
        <w:ind w:firstLine="640"/>
        <w:jc w:val="both"/>
      </w:pPr>
      <w:r>
        <w:rPr>
          <w:rFonts w:ascii="仿宋_GB2312" w:hAnsi="仿宋_GB2312" w:eastAsia="仿宋_GB2312"/>
          <w:sz w:val="32"/>
        </w:rPr>
        <w:t>1.在本行政区域内，保证宪法、法律、行政法规和上级人民代表大会及其常委会决议的遵守和执行。</w:t>
      </w:r>
    </w:p>
    <w:p>
      <w:pPr>
        <w:spacing w:line="580" w:lineRule="exact"/>
        <w:ind w:firstLine="640"/>
        <w:jc w:val="both"/>
      </w:pPr>
      <w:r>
        <w:rPr>
          <w:rFonts w:ascii="仿宋_GB2312" w:hAnsi="仿宋_GB2312" w:eastAsia="仿宋_GB2312"/>
          <w:sz w:val="32"/>
        </w:rPr>
        <w:t>2.领导、主持州人民代表大会代表的</w:t>
      </w:r>
      <w:r>
        <w:rPr>
          <w:rFonts w:hint="eastAsia" w:ascii="仿宋_GB2312" w:hAnsi="仿宋_GB2312" w:eastAsia="仿宋_GB2312"/>
          <w:sz w:val="32"/>
          <w:lang w:eastAsia="zh-CN"/>
        </w:rPr>
        <w:t>选举</w:t>
      </w:r>
      <w:r>
        <w:rPr>
          <w:rFonts w:ascii="仿宋_GB2312" w:hAnsi="仿宋_GB2312" w:eastAsia="仿宋_GB2312"/>
          <w:sz w:val="32"/>
        </w:rPr>
        <w:t>；召集州人民代表大会会议；讨论、决定本州内的政治、经济、教育、科学、文化、卫生、环境和资源保护、民政、民族等工作的重大事项。</w:t>
      </w:r>
    </w:p>
    <w:p>
      <w:pPr>
        <w:spacing w:line="580" w:lineRule="exact"/>
        <w:ind w:firstLine="640"/>
        <w:jc w:val="both"/>
      </w:pPr>
      <w:r>
        <w:rPr>
          <w:rFonts w:ascii="仿宋_GB2312" w:hAnsi="仿宋_GB2312" w:eastAsia="仿宋_GB2312"/>
          <w:sz w:val="32"/>
        </w:rPr>
        <w:t>3.根据州人民政府的建议，决定对本州内的国民经济和社会发展计划、预算的部分变更；监督州人民政府、人民法院和人民检察院的工作，联系州人民代表大会代表，受理人民群众对上述机关和国家工作人员的申诉和意见。</w:t>
      </w:r>
    </w:p>
    <w:p>
      <w:pPr>
        <w:spacing w:line="580" w:lineRule="exact"/>
        <w:ind w:firstLine="640"/>
        <w:jc w:val="both"/>
      </w:pPr>
      <w:r>
        <w:rPr>
          <w:rFonts w:ascii="仿宋_GB2312" w:hAnsi="仿宋_GB2312" w:eastAsia="仿宋_GB2312"/>
          <w:sz w:val="32"/>
        </w:rPr>
        <w:t>4.撤销县市人民代表大会及人大主席团的不适当的决议；撤销州人民政府的不适当的决议和命令等。</w:t>
      </w:r>
    </w:p>
    <w:p>
      <w:pPr>
        <w:spacing w:line="640" w:lineRule="exact"/>
        <w:ind w:firstLine="640"/>
        <w:jc w:val="both"/>
        <w:outlineLvl w:val="2"/>
      </w:pPr>
      <w:r>
        <w:rPr>
          <w:rFonts w:ascii="SimHei" w:hAnsi="SimHei" w:eastAsia="SimHei"/>
          <w:sz w:val="32"/>
        </w:rPr>
        <w:t>二、机构设置及人员情况</w:t>
      </w:r>
    </w:p>
    <w:p>
      <w:pPr>
        <w:spacing w:line="580" w:lineRule="exact"/>
        <w:ind w:firstLine="640"/>
        <w:jc w:val="both"/>
      </w:pPr>
      <w:r>
        <w:rPr>
          <w:rFonts w:ascii="仿宋_GB2312" w:hAnsi="仿宋_GB2312" w:eastAsia="仿宋_GB2312"/>
          <w:sz w:val="32"/>
        </w:rPr>
        <w:t>巴音郭楞蒙古自治州人民代表大会常务委员会（办公室）2024年度，实有人数124人，其中：在职人员50人，增加2人；离休人员0人，增加0人；退休人员74人,增加2人。</w:t>
      </w:r>
    </w:p>
    <w:p>
      <w:pPr>
        <w:spacing w:line="580" w:lineRule="exact"/>
        <w:ind w:firstLine="640"/>
        <w:jc w:val="both"/>
      </w:pPr>
      <w:r>
        <w:rPr>
          <w:rFonts w:ascii="仿宋_GB2312" w:hAnsi="仿宋_GB2312" w:eastAsia="仿宋_GB2312"/>
          <w:sz w:val="32"/>
        </w:rPr>
        <w:t>巴音郭楞蒙古自治州人民代表大会常务委员会（办公室）无下属预算单位，下设6个科室，分别是：办公室、法制工作委员会、财政经济工作委员会、代表人事工作委员会、教育科学文化卫生工作委员会、民族</w:t>
      </w:r>
      <w:r>
        <w:rPr>
          <w:rFonts w:hint="eastAsia" w:ascii="仿宋_GB2312" w:hAnsi="仿宋_GB2312" w:eastAsia="仿宋_GB2312"/>
          <w:sz w:val="32"/>
          <w:lang w:val="en-US" w:eastAsia="zh-CN"/>
        </w:rPr>
        <w:t>宗教</w:t>
      </w:r>
      <w:r>
        <w:rPr>
          <w:rFonts w:ascii="仿宋_GB2312" w:hAnsi="仿宋_GB2312" w:eastAsia="仿宋_GB2312"/>
          <w:sz w:val="32"/>
        </w:rPr>
        <w:t>外事华侨工作委员会。</w:t>
      </w:r>
    </w:p>
    <w:p>
      <w:r>
        <w:br w:type="page"/>
      </w:r>
    </w:p>
    <w:p>
      <w:pPr>
        <w:spacing w:line="240" w:lineRule="auto"/>
        <w:jc w:val="center"/>
        <w:outlineLvl w:val="1"/>
      </w:pPr>
      <w:r>
        <w:rPr>
          <w:rFonts w:ascii="SimHei" w:hAnsi="SimHei" w:eastAsia="SimHei"/>
          <w:sz w:val="32"/>
        </w:rPr>
        <w:t>第二部分 部门决算情况说明</w:t>
      </w:r>
    </w:p>
    <w:p>
      <w:pPr>
        <w:spacing w:line="640" w:lineRule="exact"/>
        <w:ind w:firstLine="640"/>
        <w:jc w:val="both"/>
        <w:outlineLvl w:val="2"/>
      </w:pPr>
      <w:r>
        <w:rPr>
          <w:rFonts w:ascii="SimHei" w:hAnsi="SimHei" w:eastAsia="SimHei"/>
          <w:sz w:val="32"/>
        </w:rPr>
        <w:t>一、收入支出决算总体情况说明</w:t>
      </w:r>
    </w:p>
    <w:p>
      <w:pPr>
        <w:spacing w:line="580" w:lineRule="exact"/>
        <w:ind w:firstLine="640"/>
        <w:jc w:val="both"/>
      </w:pPr>
      <w:r>
        <w:rPr>
          <w:rFonts w:ascii="仿宋_GB2312" w:hAnsi="仿宋_GB2312" w:eastAsia="仿宋_GB2312"/>
          <w:b/>
          <w:sz w:val="32"/>
        </w:rPr>
        <w:t>2024年度收入总计1,527.90万元，</w:t>
      </w:r>
      <w:r>
        <w:rPr>
          <w:rFonts w:ascii="仿宋_GB2312" w:hAnsi="仿宋_GB2312" w:eastAsia="仿宋_GB2312"/>
          <w:b w:val="0"/>
          <w:sz w:val="32"/>
        </w:rPr>
        <w:t>其中：本年收入合计1,519.02万元，使用非财政拨款结余（含专用结余）0.00万元，年初结转和结余8.88万元。</w:t>
      </w:r>
    </w:p>
    <w:p>
      <w:pPr>
        <w:spacing w:line="580" w:lineRule="exact"/>
        <w:ind w:firstLine="640"/>
        <w:jc w:val="both"/>
      </w:pPr>
      <w:r>
        <w:rPr>
          <w:rFonts w:ascii="仿宋_GB2312" w:hAnsi="仿宋_GB2312" w:eastAsia="仿宋_GB2312"/>
          <w:b/>
          <w:sz w:val="32"/>
        </w:rPr>
        <w:t>2024年度支出总计1,527.90万元，</w:t>
      </w:r>
      <w:r>
        <w:rPr>
          <w:rFonts w:ascii="仿宋_GB2312" w:hAnsi="仿宋_GB2312" w:eastAsia="仿宋_GB2312"/>
          <w:b w:val="0"/>
          <w:sz w:val="32"/>
        </w:rPr>
        <w:t>其中：本年支出合计1,524.23万元，结余分配0.00万元，年末结转和结余3.67万元。</w:t>
      </w:r>
    </w:p>
    <w:p>
      <w:pPr>
        <w:spacing w:line="580" w:lineRule="exact"/>
        <w:ind w:firstLine="640"/>
        <w:jc w:val="both"/>
      </w:pPr>
      <w:r>
        <w:rPr>
          <w:rFonts w:ascii="仿宋_GB2312" w:hAnsi="仿宋_GB2312" w:eastAsia="仿宋_GB2312"/>
          <w:b w:val="0"/>
          <w:sz w:val="32"/>
        </w:rPr>
        <w:t>收入支出总体与上年相比，减少55.20万元，下降3.49%，主要原因是：本年减少其他收入-自治区基层人大补助经费等，导致经费较上年减少。</w:t>
      </w:r>
    </w:p>
    <w:p>
      <w:pPr>
        <w:spacing w:line="640" w:lineRule="exact"/>
        <w:ind w:firstLine="640"/>
        <w:jc w:val="both"/>
        <w:outlineLvl w:val="2"/>
      </w:pPr>
      <w:r>
        <w:rPr>
          <w:rFonts w:ascii="SimHei" w:hAnsi="SimHei" w:eastAsia="SimHei"/>
          <w:sz w:val="32"/>
        </w:rPr>
        <w:t>二、收入决算情况说明</w:t>
      </w:r>
    </w:p>
    <w:p>
      <w:pPr>
        <w:spacing w:line="580" w:lineRule="exact"/>
        <w:ind w:firstLine="640"/>
        <w:jc w:val="both"/>
      </w:pPr>
      <w:r>
        <w:rPr>
          <w:rFonts w:ascii="仿宋_GB2312" w:hAnsi="仿宋_GB2312" w:eastAsia="仿宋_GB2312"/>
          <w:b/>
          <w:sz w:val="32"/>
        </w:rPr>
        <w:t>本年收入1,519.02万元，</w:t>
      </w:r>
      <w:r>
        <w:rPr>
          <w:rFonts w:ascii="仿宋_GB2312" w:hAnsi="仿宋_GB2312" w:eastAsia="仿宋_GB2312"/>
          <w:b w:val="0"/>
          <w:sz w:val="32"/>
        </w:rPr>
        <w:t>其中：财政拨款收入1,503.69万元，占98.99%；上级补助收入0.00万元，占0.00%；事业收入0.00万元，占0.00%；经营收入0.00万元，占0.00%；附属单位上缴收入0.00万元，占0.00%；其他收入15.32万元，占1.01%。</w:t>
      </w:r>
    </w:p>
    <w:p>
      <w:pPr>
        <w:spacing w:line="640" w:lineRule="exact"/>
        <w:ind w:firstLine="640"/>
        <w:jc w:val="both"/>
        <w:outlineLvl w:val="2"/>
      </w:pPr>
      <w:r>
        <w:rPr>
          <w:rFonts w:ascii="SimHei" w:hAnsi="SimHei" w:eastAsia="SimHei"/>
          <w:sz w:val="32"/>
        </w:rPr>
        <w:t>三、支出决算情况说明</w:t>
      </w:r>
    </w:p>
    <w:p>
      <w:pPr>
        <w:spacing w:line="580" w:lineRule="exact"/>
        <w:ind w:firstLine="640"/>
        <w:jc w:val="both"/>
      </w:pPr>
      <w:r>
        <w:rPr>
          <w:rFonts w:ascii="仿宋_GB2312" w:hAnsi="仿宋_GB2312" w:eastAsia="仿宋_GB2312"/>
          <w:b/>
          <w:sz w:val="32"/>
        </w:rPr>
        <w:t>本年支出1,524.23万元，</w:t>
      </w:r>
      <w:r>
        <w:rPr>
          <w:rFonts w:ascii="仿宋_GB2312" w:hAnsi="仿宋_GB2312" w:eastAsia="仿宋_GB2312"/>
          <w:b w:val="0"/>
          <w:sz w:val="32"/>
        </w:rPr>
        <w:t>其中：基本支出1,281.40万元，占84.07%；项目支出242.83万元，占15.93%；上缴上级支出0.00万元，占0.00%；经营支出0.00万元，占0.00%；对附属单位补助支出0.00万元，占0.00%。</w:t>
      </w:r>
    </w:p>
    <w:p>
      <w:pPr>
        <w:spacing w:line="640" w:lineRule="exact"/>
        <w:ind w:firstLine="640"/>
        <w:jc w:val="both"/>
        <w:outlineLvl w:val="2"/>
      </w:pPr>
      <w:r>
        <w:rPr>
          <w:rFonts w:ascii="SimHei" w:hAnsi="SimHei" w:eastAsia="SimHei"/>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2024年度财政拨款收入总计1,503.69万元，</w:t>
      </w:r>
      <w:r>
        <w:rPr>
          <w:rFonts w:ascii="仿宋_GB2312" w:hAnsi="仿宋_GB2312" w:eastAsia="仿宋_GB2312"/>
          <w:b w:val="0"/>
          <w:sz w:val="32"/>
        </w:rPr>
        <w:t>其中：年初财政拨款结转和结余0.00万元，本年财政拨款收入1,503.69万元。</w:t>
      </w:r>
      <w:r>
        <w:rPr>
          <w:rFonts w:ascii="仿宋_GB2312" w:hAnsi="仿宋_GB2312" w:eastAsia="仿宋_GB2312"/>
          <w:b/>
          <w:sz w:val="32"/>
        </w:rPr>
        <w:t>财政拨款支出总计1,503.69万元，</w:t>
      </w:r>
      <w:r>
        <w:rPr>
          <w:rFonts w:ascii="仿宋_GB2312" w:hAnsi="仿宋_GB2312" w:eastAsia="仿宋_GB2312"/>
          <w:b w:val="0"/>
          <w:sz w:val="32"/>
        </w:rPr>
        <w:t>其中：年末财政拨款结转和结余0.00万元，本年财政拨款支出1,503.69万元。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增加26.70万元，增长1.81%，主要原因是：本年在职人员工资调增，社保、公积金基数调增，人员经费增加，导致经费较上年增加。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年初预算数1,554.19万元，决算数1,503.69万元，预决算差异率-3.25%，主要原因是：年中调减会议基本保障项目资金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pPr>
        <w:spacing w:line="640" w:lineRule="exact"/>
        <w:ind w:firstLine="640"/>
        <w:jc w:val="both"/>
        <w:outlineLvl w:val="2"/>
      </w:pPr>
      <w:r>
        <w:rPr>
          <w:rFonts w:ascii="SimHei" w:hAnsi="SimHei" w:eastAsia="SimHei"/>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2024年度一般公共预算财政拨款支出1,503.69万元，</w:t>
      </w:r>
      <w:r>
        <w:rPr>
          <w:rFonts w:ascii="仿宋_GB2312" w:hAnsi="仿宋_GB2312" w:eastAsia="仿宋_GB2312"/>
          <w:b w:val="0"/>
          <w:sz w:val="32"/>
        </w:rPr>
        <w:t>占本年支出合计的98.65%。</w:t>
      </w:r>
      <w:r>
        <w:rPr>
          <w:rFonts w:ascii="仿宋_GB2312" w:hAnsi="仿宋_GB2312" w:eastAsia="仿宋_GB2312"/>
          <w:b/>
          <w:sz w:val="32"/>
        </w:rPr>
        <w:t>与上年相比，</w:t>
      </w:r>
      <w:r>
        <w:rPr>
          <w:rFonts w:ascii="仿宋_GB2312" w:hAnsi="仿宋_GB2312" w:eastAsia="仿宋_GB2312"/>
          <w:b w:val="0"/>
          <w:sz w:val="32"/>
        </w:rPr>
        <w:t>增加26.70万元，增长1.81%，主要原因是：本年在职人员工资调增，社保、公积金基数调增，人员经费增加，导致经费较上年增加。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年初预算数1,554.19万元，决算数1,503.69万元，预决算差异率-3.25%，主要原因是：年中调减会议基本保障项目资金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1.一般公共服务支出(类)1144.37万元,占76.10%。</w:t>
      </w:r>
    </w:p>
    <w:p>
      <w:pPr>
        <w:spacing w:line="580" w:lineRule="exact"/>
        <w:ind w:firstLine="640"/>
        <w:jc w:val="both"/>
      </w:pPr>
      <w:r>
        <w:rPr>
          <w:rFonts w:ascii="仿宋_GB2312" w:hAnsi="仿宋_GB2312" w:eastAsia="仿宋_GB2312"/>
          <w:b w:val="0"/>
          <w:sz w:val="32"/>
        </w:rPr>
        <w:t>2.教育支出(类)2.61万元,占0.17%。</w:t>
      </w:r>
    </w:p>
    <w:p>
      <w:pPr>
        <w:spacing w:line="580" w:lineRule="exact"/>
        <w:ind w:firstLine="640"/>
        <w:jc w:val="both"/>
      </w:pPr>
      <w:r>
        <w:rPr>
          <w:rFonts w:ascii="仿宋_GB2312" w:hAnsi="仿宋_GB2312" w:eastAsia="仿宋_GB2312"/>
          <w:b w:val="0"/>
          <w:sz w:val="32"/>
        </w:rPr>
        <w:t>3.社会保障和就业支出(类)210.12万元,占13.97%。</w:t>
      </w:r>
    </w:p>
    <w:p>
      <w:pPr>
        <w:spacing w:line="580" w:lineRule="exact"/>
        <w:ind w:firstLine="640"/>
        <w:jc w:val="both"/>
      </w:pPr>
      <w:r>
        <w:rPr>
          <w:rFonts w:ascii="仿宋_GB2312" w:hAnsi="仿宋_GB2312" w:eastAsia="仿宋_GB2312"/>
          <w:b w:val="0"/>
          <w:sz w:val="32"/>
        </w:rPr>
        <w:t>4.卫生健康支出(类)66.54万元,占4.43%。</w:t>
      </w:r>
    </w:p>
    <w:p>
      <w:pPr>
        <w:spacing w:line="580" w:lineRule="exact"/>
        <w:ind w:firstLine="640"/>
        <w:jc w:val="both"/>
      </w:pPr>
      <w:r>
        <w:rPr>
          <w:rFonts w:ascii="仿宋_GB2312" w:hAnsi="仿宋_GB2312" w:eastAsia="仿宋_GB2312"/>
          <w:b w:val="0"/>
          <w:sz w:val="32"/>
        </w:rPr>
        <w:t>5.住房保障支出(类)80.07万元,占5.32%。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行政运行(项):支出决算数为811.93万元，比上年决算减少9.74万元，下降1.19%,主要原因是：本年行政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2.一般公共服务支出(类)人大事务(款)一般行政管理事务(项):支出决算数为17万元，比上年决算增加0.00万元，增长0.00%,主要原因是：本年为民办实事经费与上年一致变化。</w:t>
      </w:r>
    </w:p>
    <w:p>
      <w:pPr>
        <w:spacing w:line="580" w:lineRule="exact"/>
        <w:ind w:firstLine="640"/>
        <w:jc w:val="both"/>
      </w:pPr>
      <w:r>
        <w:rPr>
          <w:rFonts w:ascii="仿宋_GB2312" w:hAnsi="仿宋_GB2312" w:eastAsia="仿宋_GB2312"/>
          <w:b w:val="0"/>
          <w:sz w:val="32"/>
        </w:rPr>
        <w:t>3.一般公共服务支出(类)人大事务(款)人大会议(项):支出决算数为87.29万元，比上年决算减少22.35万元，下降20.38%,主要原因是：本年减少会议基本保障项目资金，相关支出减少。</w:t>
      </w:r>
    </w:p>
    <w:p>
      <w:pPr>
        <w:spacing w:line="580" w:lineRule="exact"/>
        <w:ind w:firstLine="640"/>
        <w:jc w:val="both"/>
      </w:pPr>
      <w:r>
        <w:rPr>
          <w:rFonts w:ascii="仿宋_GB2312" w:hAnsi="仿宋_GB2312" w:eastAsia="仿宋_GB2312"/>
          <w:b w:val="0"/>
          <w:sz w:val="32"/>
        </w:rPr>
        <w:t>4.一般公共服务支出(类)人大事务(款)人大监督(项):支出决算数为93万元，比上年决算增加3.96万元，增长4.45%,主要原因是：本年增加人大监督项目资金，相关支出增加。</w:t>
      </w:r>
    </w:p>
    <w:p>
      <w:pPr>
        <w:spacing w:line="580" w:lineRule="exact"/>
        <w:ind w:firstLine="640"/>
        <w:jc w:val="both"/>
      </w:pPr>
      <w:r>
        <w:rPr>
          <w:rFonts w:ascii="仿宋_GB2312" w:hAnsi="仿宋_GB2312" w:eastAsia="仿宋_GB2312"/>
          <w:b w:val="0"/>
          <w:sz w:val="32"/>
        </w:rPr>
        <w:t>5.一般公共服务支出(类)人大事务(款)事业运行(项):支出决算数为110.15万元，比上年决算增加15.84万元，增长16.80%,主要原因是：本年新增事业人员，人员经费增加，导致经费较上年有所增加。</w:t>
      </w:r>
    </w:p>
    <w:p>
      <w:pPr>
        <w:spacing w:line="580" w:lineRule="exact"/>
        <w:ind w:firstLine="640"/>
        <w:jc w:val="both"/>
      </w:pPr>
      <w:r>
        <w:rPr>
          <w:rFonts w:ascii="仿宋_GB2312" w:hAnsi="仿宋_GB2312" w:eastAsia="仿宋_GB2312"/>
          <w:b w:val="0"/>
          <w:sz w:val="32"/>
        </w:rPr>
        <w:t>6.一般公共服务支出(类)人大事务(款)其他人大事务支出(项):支出决算数为25万元，比上年决算减少13.00万元，下降34.21%,主要原因是：本年减少自治区基层人大补助项目资金，相关支出减少。</w:t>
      </w:r>
    </w:p>
    <w:p>
      <w:pPr>
        <w:spacing w:line="580" w:lineRule="exact"/>
        <w:ind w:firstLine="640"/>
        <w:jc w:val="both"/>
      </w:pPr>
      <w:r>
        <w:rPr>
          <w:rFonts w:ascii="仿宋_GB2312" w:hAnsi="仿宋_GB2312" w:eastAsia="仿宋_GB2312"/>
          <w:b w:val="0"/>
          <w:sz w:val="32"/>
        </w:rPr>
        <w:t>7.教育支出(类)进修及培训(款)培训支出(项):支出决算数为2.61万元，比上年决算增加1.24万元，增长90.51%,主要原因是：本年外出培训次数增加，培训经费较上年有所增加。</w:t>
      </w:r>
    </w:p>
    <w:p>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82.46万元，比上年决算增加19.84万元，增长31.68%,主要原因是：本年退休人员增加、发放退休人员绩效，导致退休经费较上年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102.6万元，比上年决算增加17.31万元，增长20.30%,主要原因是：本年人员工资基数调增，养老缴费基数上涨，相应支出增加。</w:t>
      </w:r>
    </w:p>
    <w:p>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25.06万元，比上年决算减少10.29万元，下降29.11%,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11.卫生健康支出(类)行政事业单位医疗(款)行政单位医疗(项):支出决算数为41.03万元，比上年决算增加9.09万元，增长28.46%,主要原因是：本年在职人员工资基数调增，医疗缴费基数上涨，相应支出增加。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12.卫生健康支出(类)行政事业单位医疗(款)事业单位医疗(项):支出决算数为6.69万元，比上年决算增加1.55万元，增长30.16%,主要原因是：本年在职人员工资基数调增，医疗缴费基数上涨，相应支出增加。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13.卫生健康支出(类)行政事业单位医疗(款)公务员医疗补助(项):支出决算数为17.4万元，比上年决算增加4.12万元，增长31.02%,主要原因是：本年在职人员工资基数调增，医疗缴费基数上涨，相应支出增加。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1.41万元，比上年决算减少1.43万元，下降50.35%,主要原因是：本年在职人员调入调出，人员职级不同，缴费基数不同，导致其他行政事业单位医疗较上年减少。</w:t>
      </w:r>
    </w:p>
    <w:p>
      <w:pPr>
        <w:spacing w:line="580" w:lineRule="exact"/>
        <w:ind w:firstLine="640"/>
        <w:jc w:val="both"/>
      </w:pPr>
      <w:r>
        <w:rPr>
          <w:rFonts w:ascii="仿宋_GB2312" w:hAnsi="仿宋_GB2312" w:eastAsia="仿宋_GB2312"/>
          <w:b w:val="0"/>
          <w:sz w:val="32"/>
        </w:rPr>
        <w:t>15.住房保障支出(类)住房改革支出(款)住房公积金(项):支出决算数为80.07万元，比上年决算增加10.57万元，增长15.21%,主要原因是：本年在职人员工资基数调增，公积金缴费基数上涨，相应支出增加。</w:t>
      </w:r>
    </w:p>
    <w:p>
      <w:pPr>
        <w:spacing w:line="640" w:lineRule="exact"/>
        <w:ind w:firstLine="640"/>
        <w:jc w:val="both"/>
        <w:outlineLvl w:val="2"/>
      </w:pPr>
      <w:r>
        <w:rPr>
          <w:rFonts w:ascii="SimHei" w:hAnsi="SimHei" w:eastAsia="SimHei"/>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2024年度一般公共预算财政拨款基本支出1,281.40万元，其中：</w:t>
      </w:r>
      <w:r>
        <w:rPr>
          <w:rFonts w:ascii="仿宋_GB2312" w:hAnsi="仿宋_GB2312" w:eastAsia="仿宋_GB2312"/>
          <w:b/>
          <w:sz w:val="32"/>
        </w:rPr>
        <w:t>人员经费1,139.57万元，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pPr>
        <w:spacing w:line="580" w:lineRule="exact"/>
        <w:ind w:firstLine="640"/>
        <w:jc w:val="both"/>
      </w:pPr>
      <w:r>
        <w:rPr>
          <w:rFonts w:ascii="仿宋_GB2312" w:hAnsi="仿宋_GB2312" w:eastAsia="仿宋_GB2312"/>
          <w:b/>
          <w:sz w:val="32"/>
        </w:rPr>
        <w:t>公用经费141.83万元，</w:t>
      </w:r>
      <w:r>
        <w:rPr>
          <w:rFonts w:ascii="仿宋_GB2312" w:hAnsi="仿宋_GB2312" w:eastAsia="仿宋_GB2312"/>
          <w:b w:val="0"/>
          <w:sz w:val="32"/>
        </w:rPr>
        <w:t>包括：办公费、手续费、邮电费、取暖费、物业管理费、差旅费、维修（护）费、租赁费、会议费、培训费、劳务费、委托业务费、工会经费、福利费、公务用车运行维护费、其他交通费用、其他商品和服务支出、办公设备购置。</w:t>
      </w:r>
    </w:p>
    <w:p>
      <w:pPr>
        <w:spacing w:line="640" w:lineRule="exact"/>
        <w:ind w:firstLine="640"/>
        <w:jc w:val="both"/>
        <w:outlineLvl w:val="2"/>
      </w:pPr>
      <w:r>
        <w:rPr>
          <w:rFonts w:ascii="SimHei" w:hAnsi="SimHei" w:eastAsia="SimHei"/>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pPr>
        <w:spacing w:line="640" w:lineRule="exact"/>
        <w:ind w:firstLine="640"/>
        <w:jc w:val="both"/>
        <w:outlineLvl w:val="2"/>
      </w:pPr>
      <w:r>
        <w:rPr>
          <w:rFonts w:ascii="SimHei" w:hAnsi="SimHei" w:eastAsia="SimHei"/>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pPr>
        <w:spacing w:line="640" w:lineRule="exact"/>
        <w:ind w:firstLine="640"/>
        <w:jc w:val="both"/>
        <w:outlineLvl w:val="2"/>
      </w:pPr>
      <w:r>
        <w:rPr>
          <w:rFonts w:ascii="SimHei" w:hAnsi="SimHei" w:eastAsia="SimHei"/>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2024年度财政拨款“三公”经费支出41.00万元，</w:t>
      </w:r>
      <w:r>
        <w:rPr>
          <w:rFonts w:ascii="仿宋_GB2312" w:hAnsi="仿宋_GB2312" w:eastAsia="仿宋_GB2312"/>
          <w:b w:val="0"/>
          <w:sz w:val="32"/>
        </w:rPr>
        <w:t>比上年增加0.04万元，增长0.10%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41.00万元，占100.00%，比上年增加0.04万元，增长0.10%，主要原因是：本年因业务需求，用车次数增加，燃油费增加，导致公务用车运行维护费较上年增加。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41.00万元，其中：公务用车购置费0.00万元，公务用车运行维护费41.00万元。公务用车运行维护费开支内容包括车辆加油费、维修费、保险费、审车费、过路费等。公务用车购置数0辆，公务用车保有量11辆。国有资产占用情况中固定资产车辆11辆，与公务用车保有量差异原因是：本部门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41.00万元，决算数41.00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41.00万元，决算数41.00万元，预决算差异率0.00%，主要原因是：严格按照预算执行，预决算无差异。公务接待费全年预算数0.00万元，决算数0.00万元，预决算差异率0.00%，主要原因是：本部门无公务接待费。</w:t>
      </w:r>
    </w:p>
    <w:p>
      <w:pPr>
        <w:spacing w:line="640" w:lineRule="exact"/>
        <w:ind w:firstLine="640"/>
        <w:jc w:val="both"/>
        <w:outlineLvl w:val="2"/>
      </w:pPr>
      <w:r>
        <w:rPr>
          <w:rFonts w:ascii="SimHei" w:hAnsi="SimHei" w:eastAsia="SimHei"/>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巴音郭楞蒙古自治州人民代表大会常务委员会（办公室）（行政单位和参照公务员法管理事业单位）机关运行经费支出141.83万元，比上年减少0.32万元，下降0.23%，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2024年度政府采购支出总额192.09万元，其中：政府采购货物支出45.87万元、政府采购工程支出0.00万元、政府采购服务支出146.22万元。</w:t>
      </w:r>
    </w:p>
    <w:p>
      <w:pPr>
        <w:spacing w:line="580" w:lineRule="exact"/>
        <w:ind w:firstLine="640"/>
        <w:jc w:val="both"/>
      </w:pPr>
      <w:r>
        <w:rPr>
          <w:rFonts w:ascii="仿宋_GB2312" w:hAnsi="仿宋_GB2312" w:eastAsia="仿宋_GB2312"/>
          <w:b w:val="0"/>
          <w:sz w:val="32"/>
        </w:rPr>
        <w:t>授予中小企业合同金额26.77万元，占政府采购支出总额的13.94%，其中：授予小微企业合同金额18.16万元，占政府采购支出总额的9.45%。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5,370.00平方米，价值570.65万元。车辆11辆，价值223.10万元，其中：副部（省）级及以上领导用车0辆、主要负责人用车7辆、机要通信用车0辆、应急保障用车0辆、执法执勤用车0辆、特种专业技术用车0辆、离退休干部服务用车0辆、其他用车4辆，其他用车主要是：一般公务用车。单价100万元（含）以上设备（不含车辆）0台（套）。</w:t>
      </w:r>
    </w:p>
    <w:p>
      <w:pPr>
        <w:spacing w:line="640" w:lineRule="exact"/>
        <w:ind w:firstLine="640"/>
        <w:jc w:val="both"/>
        <w:outlineLvl w:val="2"/>
      </w:pPr>
      <w:r>
        <w:rPr>
          <w:rFonts w:ascii="SimHei" w:hAnsi="SimHei" w:eastAsia="SimHei"/>
          <w:sz w:val="32"/>
        </w:rPr>
        <w:t>十一、预算绩效的情况说明</w:t>
      </w:r>
    </w:p>
    <w:p>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1,527.90万元，实际执行总额1,524.23万元；预算绩效评价项目5个，全年预算数257.05万元，全年执行数235.07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的理解和认识；三是通过实施预算绩效管理，树立了绩效优先的管理理念，也很</w:t>
      </w:r>
      <w:r>
        <w:rPr>
          <w:rFonts w:hint="eastAsia" w:ascii="仿宋_GB2312" w:hAnsi="仿宋_GB2312" w:eastAsia="仿宋_GB2312"/>
          <w:b w:val="0"/>
          <w:sz w:val="32"/>
          <w:lang w:eastAsia="zh-CN"/>
        </w:rPr>
        <w:t>好地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单位相关科室和项目执行人对预算绩效管理认识不到位，有些工作未按照工作计划按时完成，致使预算执行力度不到位；三是临时性工作追加经费较多，涉及资金的有些重要事项未提前告知，造成预算编制的精准性不高，有待进一步加强和提高。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SimSun" w:hAnsi="SimSun" w:eastAsia="SimSun"/>
                <w:sz w:val="24"/>
              </w:rPr>
              <w:t>部门整体支出绩效自评表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1,560.19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1,527.90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1,524.23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99.76%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1,512.19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1,478.69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1,478.69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24.21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自治州人大常委会机关及其常委会作为地方国家权力机关，承担着立法、监督、决定、任免等重要职责。要坚持党的领导、人民当家作主、依法治国有机统一，认真落实以习近平同志为核心的党中央决策部署、自治州党委工作安排，讲政治、顾大局、勇担当、善作为，充分发挥人大在实现社会稳定和长治久安总目标中的职能和功效。一是2024年严格按照《巴音郭楞蒙古自治州本级会议费管理暂行办法》的标准执行，年初召开十五届人大第三次会议1次，一年召开不少于6次的常委会会议等，并对照年初确定的绩效目标各项任务，加强项目和资金管理，确保资金使用合规合法，促进工作效率提高，保障各类会议的正常举行及各项议程顺利完成，充分发挥人大代表的职能作用。二是进一步加强人大立法、监督职能，听取和审议专项工作报告不少于20项，通过执法检查、代表视察，专题询问、专题调研等监督方式，保证宪法和法律法规在本行政区域内的贯彻执行，推进落实中央、自治区和州委改革发展决策。充分发挥336名代表履职能力和职能作用，完善常委会组成人员联系代表和代表联系群众制度，建立健全代表联络机构，进一步完善预算联网平台建设，不断推进代表联系群众工作规范化、制度化。</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SimSun" w:hAnsi="SimSun"/>
                <w:sz w:val="16"/>
                <w:lang w:eastAsia="zh-CN"/>
              </w:rPr>
              <w:t>本部门</w:t>
            </w:r>
            <w:r>
              <w:rPr>
                <w:rFonts w:ascii="SimSun" w:hAnsi="SimSun" w:eastAsia="SimSun"/>
                <w:sz w:val="16"/>
              </w:rPr>
              <w:t>2024年年初预算数为1560.19万元，全年预算调整数1527.9万元，实际支出数为1524.23万元，占全年预算数的99.76%。州人大常委会按照年初工作要点安排，圆满完成了各项工作任务。一是足额发放单位124名在职和退休人员工资、绩效、奖金等人员经费；二是圆满完成了一年一次</w:t>
            </w:r>
            <w:r>
              <w:rPr>
                <w:rFonts w:hint="eastAsia" w:ascii="SimSun" w:hAnsi="SimSun"/>
                <w:sz w:val="16"/>
                <w:lang w:eastAsia="zh-CN"/>
              </w:rPr>
              <w:t>人大</w:t>
            </w:r>
            <w:r>
              <w:rPr>
                <w:rFonts w:ascii="SimSun" w:hAnsi="SimSun" w:eastAsia="SimSun"/>
                <w:sz w:val="16"/>
              </w:rPr>
              <w:t>的召开和人大常委会全年7次的会议工作任务，确保人大代表依法履职，充分发挥了人大代表的职能作用，为全州经济发展做出人大工作的贡献。三是完成了听取和审议“一府两院”专项工作报告25项，为推动新时代人大工作高质量发展，推进中国式现代化的巴州实践作出积极贡献；四是完成了代表履职能力提升培训2期，坚持线上线下结合、理论实践衔接、疆内疆外互动，加大代表培训力度，让代表到发达地区、基层一线看发展，在现场阔视野、受教育，进一步增强了政治责任意识、推动发展信心和依法履职能力。</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召开自治州十五届人大二次会议次数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《关于召开巴音郭楞蒙古自治州第十五届人民代表大会第二次会议的通知》巴人常办电</w:t>
            </w:r>
            <w:r>
              <w:rPr>
                <w:rFonts w:hint="eastAsia" w:ascii="SimSun" w:hAnsi="SimSun"/>
                <w:sz w:val="16"/>
                <w:lang w:eastAsia="zh-CN"/>
              </w:rPr>
              <w:t>〔2024〕9号</w:t>
            </w:r>
            <w:r>
              <w:rPr>
                <w:rFonts w:ascii="SimSun" w:hAnsi="SimSun" w:eastAsia="SimSun"/>
                <w:sz w:val="16"/>
              </w:rPr>
              <w:t>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召开自治州十五届人大常委会会议次数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《自治州人大常委会2024年工作要点》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听取和审议专项工作报告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《自治州人大常委会2024年工作要点》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举办自治州人大代表履职能力提升培训班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《自治州人大常委会2024年工作要点》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自治州十五届人大代表人数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=336人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自治州第十五届人民代表大会代表名册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333人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14.87</w:t>
            </w:r>
          </w:p>
        </w:tc>
      </w:tr>
    </w:tbl>
    <w:p>
      <w:r>
        <w:br w:type="page"/>
      </w:r>
    </w:p>
    <w:p>
      <w:pPr>
        <w:bidi w:val="0"/>
        <w:jc w:val="left"/>
        <w:rPr>
          <w:rFonts w:ascii="Times New Roman" w:hAnsi="Times New Roman" w:eastAsia="SimSun" w:cs="Times New Roman"/>
          <w:kern w:val="2"/>
          <w:sz w:val="32"/>
          <w:szCs w:val="24"/>
          <w:lang w:val="en-US" w:eastAsia="zh-CN" w:bidi="ar-SA"/>
        </w:rPr>
      </w:pP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2024年基层人大补助</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充分发挥代表主体作用，促进“人大代表之家”建设标准化、制度化、规范化，使“人大代表之家”成为基层代表学习培训、联系群众、开展活动、</w:t>
            </w:r>
            <w:r>
              <w:rPr>
                <w:rFonts w:hint="eastAsia" w:ascii="SimSun" w:hAnsi="SimSun" w:eastAsia="SimSun"/>
                <w:sz w:val="16"/>
              </w:rPr>
              <w:t>“履职尽责</w:t>
            </w:r>
            <w:r>
              <w:rPr>
                <w:rFonts w:ascii="SimSun" w:hAnsi="SimSun" w:eastAsia="SimSun"/>
                <w:sz w:val="16"/>
              </w:rPr>
              <w:t>的重要载体和阵地，通过采购办公用品4批和购置办公设备5套，来改善办公条件。通过开展视察调研8次，进一步推动全州人大工作全面发展，提高基层人大履职能力，更</w:t>
            </w:r>
            <w:r>
              <w:rPr>
                <w:rFonts w:hint="eastAsia" w:ascii="SimSun" w:hAnsi="SimSun"/>
                <w:sz w:val="16"/>
                <w:lang w:eastAsia="zh-CN"/>
              </w:rPr>
              <w:t>好地</w:t>
            </w:r>
            <w:r>
              <w:rPr>
                <w:rFonts w:ascii="SimSun" w:hAnsi="SimSun" w:eastAsia="SimSun"/>
                <w:sz w:val="16"/>
              </w:rPr>
              <w:t>服务于人民。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本年度财政预算资金25万元，</w:t>
            </w:r>
            <w:r>
              <w:rPr>
                <w:rFonts w:hint="eastAsia" w:ascii="SimSun" w:hAnsi="SimSun"/>
                <w:sz w:val="16"/>
                <w:lang w:eastAsia="zh-CN"/>
              </w:rPr>
              <w:t>截至</w:t>
            </w:r>
            <w:r>
              <w:rPr>
                <w:rFonts w:ascii="SimSun" w:hAnsi="SimSun" w:eastAsia="SimSun"/>
                <w:sz w:val="16"/>
              </w:rPr>
              <w:t>2024年12月20日，资金使用已完成25万元，占全年预算100%。一是完成了办公用品采购4批，来改善办公条件和环境。二是完成了视察调研8次，进一步推动了全州人大工作全面发展，使全州人大工作规范化、制度化水平和整体质效不断提升。三是完成了预算联网系统的平台维护，进一步推动信息化手段在预算监督中的应用，提高监督的效率和精准度，不断完善预算联网监督工作。</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采购办公用品批数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开展视察调研次数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指标值设定的是预估值，实际发生时会有偏差。根据工作要点以及开展工作的实际情况而定。</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基层人大数量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预算联网监督系统电信云平台维护数量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提升办公效率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采购办公用品及系统维护完成时间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视察调研任务按时完成率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采购办公用品成本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视察调研总成本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预算联网监督系统电信云平台维护成本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改善基层人大办公条件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提高基层人大代表履职能力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基层人大工委对于资金使用情况满意度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指标值设定的是预估值，实际发生时会有偏差。基层人大对资金的拨付非常满意。</w:t>
            </w:r>
          </w:p>
        </w:tc>
      </w:tr>
      <w:tr>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99.25分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96"/>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2024年自治区人大代表活动经费项目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4.81</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自治区人大办公厅拨付的2024年人大代表活动经费7.25万元及以前年度结余资金8.88万元，是为保证29名自治区人大代表在会议期间的工作和闭会期间的活动，严格按照有关法律规定，依法保障代表执行职务时所产生的交通、食宿费用，保障代表履职补贴和无固定收入代表的误工补贴，支持和保障代表依法履职及能力提升，更好地发挥代表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本年度单位自有资金16.13万元，</w:t>
            </w:r>
            <w:r>
              <w:rPr>
                <w:rFonts w:hint="eastAsia" w:ascii="SimSun" w:hAnsi="SimSun"/>
                <w:sz w:val="16"/>
                <w:lang w:eastAsia="zh-CN"/>
              </w:rPr>
              <w:t>截至2024</w:t>
            </w:r>
            <w:r>
              <w:rPr>
                <w:rFonts w:ascii="SimSun" w:hAnsi="SimSun" w:eastAsia="SimSun"/>
                <w:sz w:val="16"/>
              </w:rPr>
              <w:t>年12月20日，资金使用已完成12.78万元，占全年支出的79.23%。认真开展了立法、监督、代表的视察调研等代表履职活动15次，发放2024年全年履职补贴1次。支持和保障了代表依法履职及能力提升，更好地发挥代表作用。</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自治区人大代表人数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代表开展履职活动次数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代表履职补贴月数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单位自有资金2024年底有结余，待次年继续使用。</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代表履职补贴发放及时率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代表履职补贴标准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开展代表履职及能力提升活动总成本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单位自有资金2024年底有结余，待次年继续使用。</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提高人大代表履职能力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自治区人大代表的满意度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指标值设定的是预估值，实际发生时会有偏差。自治区人大代表满意度比预期值有所增加。</w:t>
            </w:r>
          </w:p>
        </w:tc>
      </w:tr>
      <w:tr>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83.60分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w:t>
            </w:r>
            <w:r>
              <w:rPr>
                <w:rFonts w:hint="eastAsia" w:ascii="SimSun" w:hAnsi="SimSun"/>
                <w:sz w:val="16"/>
                <w:lang w:eastAsia="zh-CN"/>
              </w:rPr>
              <w:t>为民办实事</w:t>
            </w:r>
            <w:r>
              <w:rPr>
                <w:rFonts w:ascii="SimSun" w:hAnsi="SimSun" w:eastAsia="SimSun"/>
                <w:sz w:val="16"/>
              </w:rPr>
              <w:t>工作队经费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充分发挥</w:t>
            </w:r>
            <w:r>
              <w:rPr>
                <w:rFonts w:hint="eastAsia" w:ascii="SimSun" w:hAnsi="SimSun"/>
                <w:sz w:val="16"/>
                <w:lang w:eastAsia="zh-CN"/>
              </w:rPr>
              <w:t>为民办实事</w:t>
            </w:r>
            <w:r>
              <w:rPr>
                <w:rFonts w:ascii="SimSun" w:hAnsi="SimSun" w:eastAsia="SimSun"/>
                <w:sz w:val="16"/>
              </w:rPr>
              <w:t>各支力量作用聚焦落实总目标，解决群众最关心、最直接、最现实的利益问题，积极开展访贫问苦、帮扶群众不少于5次；有效推进脱贫攻坚、做好群众工作、加强基层组织等各项工作任务。把更多的资金投入到改善民生上，发展劳动生产力，提高居民收入和生活水平、生活质量，确保工作队有钱办事、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本年度财政预算安排资金17万元，</w:t>
            </w:r>
            <w:r>
              <w:rPr>
                <w:rFonts w:hint="eastAsia" w:ascii="SimSun" w:hAnsi="SimSun"/>
                <w:sz w:val="16"/>
                <w:lang w:eastAsia="zh-CN"/>
              </w:rPr>
              <w:t>截至</w:t>
            </w:r>
            <w:r>
              <w:rPr>
                <w:rFonts w:ascii="SimSun" w:hAnsi="SimSun" w:eastAsia="SimSun"/>
                <w:sz w:val="16"/>
              </w:rPr>
              <w:t>2024年12月20日，资金使用已完成17万元，占全年预算100%。人大派驻七个星工作队1个，主要完成了访贫问苦，为群众送温暖等慰问5次，有效解决了群众最关心、最直接、最现实的利益问题，确保工作队有钱办事、把实事办实、把好事办好。</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SimSun" w:hAnsi="SimSun"/>
                <w:sz w:val="16"/>
                <w:lang w:eastAsia="zh-CN"/>
              </w:rPr>
              <w:t>为民办实事</w:t>
            </w:r>
            <w:r>
              <w:rPr>
                <w:rFonts w:ascii="SimSun" w:hAnsi="SimSun" w:eastAsia="SimSun"/>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访贫问苦，帮扶群众等项目实施次数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资金拨付到位率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SimSun" w:hAnsi="SimSun"/>
                <w:sz w:val="16"/>
                <w:lang w:eastAsia="zh-CN"/>
              </w:rPr>
              <w:t>为民办实事</w:t>
            </w:r>
            <w:r>
              <w:rPr>
                <w:rFonts w:ascii="SimSun" w:hAnsi="SimSun" w:eastAsia="SimSun"/>
                <w:sz w:val="16"/>
              </w:rPr>
              <w:t>工作队为民办实事经费保障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第一书记为民办实事经费保障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帮扶群众满意度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16"/>
        <w:gridCol w:w="776"/>
        <w:gridCol w:w="589"/>
        <w:gridCol w:w="696"/>
        <w:gridCol w:w="602"/>
        <w:gridCol w:w="589"/>
        <w:gridCol w:w="602"/>
        <w:gridCol w:w="776"/>
        <w:gridCol w:w="776"/>
        <w:gridCol w:w="629"/>
        <w:gridCol w:w="616"/>
      </w:tblGrid>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会议开展基本保障项目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82.41%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5.60</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2024年严格按照《巴音郭楞蒙古自治州本级会议费管理暂行办法》中一类会议的标准执行，</w:t>
            </w:r>
            <w:r>
              <w:rPr>
                <w:rFonts w:hint="eastAsia" w:ascii="SimSun" w:hAnsi="SimSun"/>
                <w:sz w:val="16"/>
                <w:lang w:eastAsia="zh-CN"/>
              </w:rPr>
              <w:t>人大</w:t>
            </w:r>
            <w:r>
              <w:rPr>
                <w:rFonts w:ascii="SimSun" w:hAnsi="SimSun" w:eastAsia="SimSun"/>
                <w:sz w:val="16"/>
              </w:rPr>
              <w:t>经费控制在预算范围内。年初召开十五届人大第三次会议1次，一年召开不少于6次常委会、主任会议及其他各类会议等，对照年初确定的绩效目标各项任务，加强项目和资金管理，确保资金使用合规合法，促进工作效率提高，统筹做好会前准备、会中服务、会后落实工作，保障自治州人民代表大会、自治州人大专门委员会、自治州人大常委会会议、自治州人大常委会主任会议的正常举行及各项议程顺利完成，充分发挥人大代表的职能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本年度财政预算安排资金105.92万元，</w:t>
            </w:r>
            <w:r>
              <w:rPr>
                <w:rFonts w:hint="eastAsia" w:ascii="SimSun" w:hAnsi="SimSun"/>
                <w:sz w:val="16"/>
                <w:lang w:eastAsia="zh-CN"/>
              </w:rPr>
              <w:t>截至</w:t>
            </w:r>
            <w:r>
              <w:rPr>
                <w:rFonts w:ascii="SimSun" w:hAnsi="SimSun" w:eastAsia="SimSun"/>
                <w:sz w:val="16"/>
              </w:rPr>
              <w:t>2024年12月20日，资金使用已完成87.29万元，占全年预算82.41%。严格按照《巴音郭楞蒙古自治州本级会议费管理暂行办法》中会议的标准执行，资金使用合规，确保项目支出顺利开展。根据年初计划，2024年1月完成了一年一次</w:t>
            </w:r>
            <w:r>
              <w:rPr>
                <w:rFonts w:hint="eastAsia" w:ascii="SimSun" w:hAnsi="SimSun"/>
                <w:sz w:val="16"/>
                <w:lang w:eastAsia="zh-CN"/>
              </w:rPr>
              <w:t>人大</w:t>
            </w:r>
            <w:r>
              <w:rPr>
                <w:rFonts w:ascii="SimSun" w:hAnsi="SimSun" w:eastAsia="SimSun"/>
                <w:sz w:val="16"/>
              </w:rPr>
              <w:t>的召开，全年完成了人大常委会7次的既定工作目标和人事任免事项以及其他各类会议3次，确保人大代表依法履职，充分发挥了人大代表的职能作用，为全州经济发展做出人大工作的贡献。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参加自治州第十五届人大三次会议总人数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自治州第十五届人大三次会议天数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指标值设定的是预估值，实际发生时会有偏差。根据会议通知和日程安排而定。</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自治州第十五届人大三次会议次数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每次参加人大常委会会议人数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96.92%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指标值设定的是预估值，实际发生时会有偏差。根据会议要求和安排而定。</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人大常委会会议每次开会天数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全年召开人大常委会会议总次数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参加建议督办及其他各类会议全年总人数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指标值设定的是预估值，实际发生时会有偏差。根据会议要求和安排而定。</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参加建议督办及其他各类会议全年总天数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参加建议督办及其他各类会议全年总次数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自治州第十五届人大三次会议代表参会率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=90.35%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=90.35%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自治州第十五届人大三次会议既定议程的完成率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自治州第十五届人大三次会议按期完成率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人大常委会会议按期完成率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全年参加建议督办及其他各类会议按期完成率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自治州第十五届人大三次会议人均支出标准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人大常委会会议人均支出标准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&lt;=320元/人·次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=320元/人·次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参加建议督办及其他各类会议人均支出标准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90.38%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指标值设定的是预估值，实际发生时会有偏差。本着厉行节约的原则，控制住宿天数及用餐人数。</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不断提高参政议政水平，为地方经济发展建言献策。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92.32分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履行人大职能和提升代表履职能力项目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巴音郭楞蒙古自治州人民代表大会常务委员会（办公室）</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保障自治州人大常委会依法行使监督职权，发展社会主义民主，推进依法治国，加强重点领域立法，着力提高立法质量。进一步加强人大监督，完善听取和审议专项工作报告、执法检查、代表视察，专题询问、专题调研等监督检查调研次数不少于20次，加大对法律法规贯彻执行、宏观经济运行、党委重大决策部署贯彻落实、社会民生事业改善的监督力度。积极拓宽代表履职渠道，创新代表活动方式，积极组织代表在闭会期间的活动，充分发挥代表主体作用。充分发挥办公室的综合协调、参谋决策和后勤保障职能，改善人大办公条件，加强</w:t>
            </w:r>
            <w:r>
              <w:rPr>
                <w:rFonts w:hint="eastAsia" w:ascii="SimSun" w:hAnsi="SimSun"/>
                <w:sz w:val="16"/>
                <w:lang w:eastAsia="zh-CN"/>
              </w:rPr>
              <w:t>人大常委会机关</w:t>
            </w:r>
            <w:r>
              <w:rPr>
                <w:rFonts w:ascii="SimSun" w:hAnsi="SimSun" w:eastAsia="SimSun"/>
                <w:sz w:val="16"/>
              </w:rPr>
              <w:t>自身建设，降低成本，搞好各项保障服务。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本年度财政预算安排资金93万元，</w:t>
            </w:r>
            <w:r>
              <w:rPr>
                <w:rFonts w:hint="eastAsia" w:ascii="SimSun" w:hAnsi="SimSun"/>
                <w:sz w:val="16"/>
                <w:lang w:eastAsia="zh-CN"/>
              </w:rPr>
              <w:t>截至</w:t>
            </w:r>
            <w:r>
              <w:rPr>
                <w:rFonts w:ascii="SimSun" w:hAnsi="SimSun" w:eastAsia="SimSun"/>
                <w:sz w:val="16"/>
              </w:rPr>
              <w:t>2024年12月20日，资金使用已完成93万元，占全年预算100%。一是完成了视察调研检查20次，形成调研报告12份，为推动新时代人大工作高质量发展，推进中国式现代化的巴州实践作出积极贡献；二是完成了州直代表的履职活动经费以及代表之家的补助经费，进一步增强了政治责任意识、推动发展信心和依法履职能力；三是保障了预算联网系统的正常维护及办公人员50人的基本运行，积极发挥好办公室综合协调、参谋决策和勤保障职能，搞好各项保障服务。</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组织开展视察调研督导检查次数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完成视察调研报告数量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软件信息及设备系统维护数量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州本级人大代表活动经费拨付次数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州级人大代表“家室站”补助拨付次数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视察调研督导检查任务按时完成率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按照2024年工作要点和各工委的工作安排，保质保量地按时完成了各项督导检查任务。</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人大代表活动经费成本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州级人大代表“家室站”补助经费成本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软件信息及设备系统维护成本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不断增强立法监督工作实效性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人大代表的满意度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SimHei" w:hAnsi="SimHei" w:eastAsia="SimHei"/>
          <w:sz w:val="32"/>
        </w:rPr>
        <w:t>十二、其他需说明的事项</w:t>
      </w:r>
    </w:p>
    <w:p>
      <w:pPr>
        <w:spacing w:line="580" w:lineRule="exact"/>
        <w:ind w:firstLine="640"/>
        <w:jc w:val="both"/>
      </w:pPr>
      <w:r>
        <w:rPr>
          <w:rFonts w:ascii="仿宋_GB2312" w:hAnsi="仿宋_GB2312" w:eastAsia="仿宋_GB2312"/>
          <w:b w:val="0"/>
          <w:sz w:val="32"/>
        </w:rPr>
        <w:t>本部门无其他需说明的事项。</w:t>
      </w:r>
    </w:p>
    <w:p>
      <w:r>
        <w:br w:type="page"/>
      </w:r>
    </w:p>
    <w:p>
      <w:pPr>
        <w:spacing w:line="240" w:lineRule="auto"/>
        <w:jc w:val="center"/>
        <w:outlineLvl w:val="1"/>
      </w:pPr>
      <w:r>
        <w:rPr>
          <w:rFonts w:ascii="SimHei" w:hAnsi="SimHei" w:eastAsia="SimHei"/>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SimHei" w:hAnsi="SimHei" w:eastAsia="SimHei"/>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SimSun">
    <w:panose1 w:val="02010600030101010101"/>
    <w:charset w:val="7A"/>
    <w:family w:val="auto"/>
    <w:pitch w:val="default"/>
    <w:sig w:usb0="00000003" w:usb1="288F0000" w:usb2="00000006" w:usb3="00000000" w:csb0="00040001" w:csb1="00000000"/>
  </w:font>
  <w:font w:name="FZXiaoBiaoSong-B05">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SimSun"/>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SimSun"/>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FA7FD8"/>
    <w:rsid w:val="06792773"/>
    <w:rsid w:val="09A729D8"/>
    <w:rsid w:val="0A3C58E8"/>
    <w:rsid w:val="0A7B4867"/>
    <w:rsid w:val="0AF81D83"/>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4C38CF"/>
    <w:rsid w:val="38006E2C"/>
    <w:rsid w:val="3914510A"/>
    <w:rsid w:val="3B1220C9"/>
    <w:rsid w:val="3D5275AC"/>
    <w:rsid w:val="3EA7725F"/>
    <w:rsid w:val="3EC014A1"/>
    <w:rsid w:val="40834692"/>
    <w:rsid w:val="41016A9C"/>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SimSun" w:cs="Times New Roman"/>
      <w:sz w:val="20"/>
      <w:szCs w:val="20"/>
    </w:rPr>
  </w:style>
  <w:style w:type="paragraph" w:customStyle="1" w:styleId="12">
    <w:name w:val="WPSOffice手动目录 2"/>
    <w:qFormat/>
    <w:uiPriority w:val="0"/>
    <w:pPr>
      <w:ind w:leftChars="200"/>
    </w:pPr>
    <w:rPr>
      <w:rFonts w:ascii="Times New Roman" w:hAnsi="Times New Roman" w:eastAsia="SimSun" w:cs="Times New Roman"/>
      <w:sz w:val="20"/>
      <w:szCs w:val="20"/>
    </w:rPr>
  </w:style>
  <w:style w:type="paragraph" w:customStyle="1" w:styleId="13">
    <w:name w:val="WPSOffice手动目录 1"/>
    <w:qFormat/>
    <w:uiPriority w:val="0"/>
    <w:pPr>
      <w:ind w:leftChars="0"/>
    </w:pPr>
    <w:rPr>
      <w:rFonts w:ascii="Times New Roman" w:hAnsi="Times New Roman" w:eastAsia="SimSu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5579</Words>
  <Characters>6409</Characters>
  <Lines>0</Lines>
  <Paragraphs>0</Paragraphs>
  <TotalTime>43</TotalTime>
  <ScaleCrop>false</ScaleCrop>
  <LinksUpToDate>false</LinksUpToDate>
  <CharactersWithSpaces>6417</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2025-09-17T08:03:09Z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