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B7936F"/>
    <w:p w14:paraId="671287A6">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71DA48B2">
      <w:pPr>
        <w:spacing w:line="540" w:lineRule="exact"/>
        <w:jc w:val="center"/>
        <w:rPr>
          <w:rFonts w:ascii="华文中宋" w:hAnsi="华文中宋" w:eastAsia="华文中宋" w:cs="宋体"/>
          <w:b/>
          <w:kern w:val="0"/>
          <w:sz w:val="52"/>
          <w:szCs w:val="52"/>
        </w:rPr>
      </w:pPr>
    </w:p>
    <w:p w14:paraId="0D81B487">
      <w:pPr>
        <w:spacing w:line="540" w:lineRule="exact"/>
        <w:jc w:val="center"/>
        <w:rPr>
          <w:rFonts w:ascii="华文中宋" w:hAnsi="华文中宋" w:eastAsia="华文中宋" w:cs="宋体"/>
          <w:b/>
          <w:kern w:val="0"/>
          <w:sz w:val="52"/>
          <w:szCs w:val="52"/>
        </w:rPr>
      </w:pPr>
    </w:p>
    <w:p w14:paraId="4B7631C4">
      <w:pPr>
        <w:spacing w:line="540" w:lineRule="exact"/>
        <w:jc w:val="center"/>
        <w:rPr>
          <w:rFonts w:ascii="华文中宋" w:hAnsi="华文中宋" w:eastAsia="华文中宋" w:cs="宋体"/>
          <w:b/>
          <w:kern w:val="0"/>
          <w:sz w:val="52"/>
          <w:szCs w:val="52"/>
        </w:rPr>
      </w:pPr>
    </w:p>
    <w:p w14:paraId="05E6E517">
      <w:pPr>
        <w:spacing w:line="540" w:lineRule="exact"/>
        <w:jc w:val="center"/>
        <w:rPr>
          <w:rFonts w:ascii="华文中宋" w:hAnsi="华文中宋" w:eastAsia="华文中宋" w:cs="宋体"/>
          <w:b/>
          <w:kern w:val="0"/>
          <w:sz w:val="52"/>
          <w:szCs w:val="52"/>
        </w:rPr>
      </w:pPr>
    </w:p>
    <w:p w14:paraId="6461D73F">
      <w:pPr>
        <w:spacing w:line="540" w:lineRule="exact"/>
        <w:jc w:val="center"/>
        <w:rPr>
          <w:rFonts w:ascii="华文中宋" w:hAnsi="华文中宋" w:eastAsia="华文中宋" w:cs="宋体"/>
          <w:b/>
          <w:kern w:val="0"/>
          <w:sz w:val="52"/>
          <w:szCs w:val="52"/>
        </w:rPr>
      </w:pPr>
    </w:p>
    <w:p w14:paraId="2F231285">
      <w:pPr>
        <w:spacing w:line="540" w:lineRule="exact"/>
        <w:jc w:val="center"/>
        <w:rPr>
          <w:rFonts w:ascii="华文中宋" w:hAnsi="华文中宋" w:eastAsia="华文中宋" w:cs="宋体"/>
          <w:b/>
          <w:kern w:val="0"/>
          <w:sz w:val="52"/>
          <w:szCs w:val="52"/>
        </w:rPr>
      </w:pPr>
    </w:p>
    <w:p w14:paraId="0695CD3D">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18BCE9DD">
      <w:pPr>
        <w:spacing w:line="540" w:lineRule="exact"/>
        <w:jc w:val="center"/>
        <w:rPr>
          <w:rFonts w:ascii="华文中宋" w:hAnsi="华文中宋" w:eastAsia="华文中宋" w:cs="宋体"/>
          <w:b/>
          <w:kern w:val="0"/>
          <w:sz w:val="52"/>
          <w:szCs w:val="52"/>
        </w:rPr>
      </w:pPr>
    </w:p>
    <w:p w14:paraId="436FDD0E">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59685C79">
      <w:pPr>
        <w:spacing w:line="540" w:lineRule="exact"/>
        <w:jc w:val="center"/>
        <w:rPr>
          <w:rFonts w:hAnsi="宋体" w:eastAsia="仿宋_GB2312" w:cs="宋体"/>
          <w:kern w:val="0"/>
          <w:sz w:val="30"/>
          <w:szCs w:val="30"/>
        </w:rPr>
      </w:pPr>
    </w:p>
    <w:p w14:paraId="1114EBF9">
      <w:pPr>
        <w:spacing w:line="540" w:lineRule="exact"/>
        <w:jc w:val="center"/>
        <w:rPr>
          <w:rFonts w:hAnsi="宋体" w:eastAsia="仿宋_GB2312" w:cs="宋体"/>
          <w:kern w:val="0"/>
          <w:sz w:val="30"/>
          <w:szCs w:val="30"/>
        </w:rPr>
      </w:pPr>
    </w:p>
    <w:p w14:paraId="4EAD70C5">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2A5F724F">
      <w:pPr>
        <w:spacing w:line="540" w:lineRule="exact"/>
        <w:jc w:val="center"/>
        <w:rPr>
          <w:rFonts w:hAnsi="宋体" w:eastAsia="仿宋_GB2312" w:cs="宋体"/>
          <w:kern w:val="0"/>
          <w:sz w:val="30"/>
          <w:szCs w:val="30"/>
        </w:rPr>
      </w:pPr>
    </w:p>
    <w:p w14:paraId="605E02E5">
      <w:pPr>
        <w:spacing w:line="540" w:lineRule="exact"/>
        <w:jc w:val="center"/>
        <w:rPr>
          <w:rFonts w:hAnsi="宋体" w:eastAsia="仿宋_GB2312" w:cs="宋体"/>
          <w:kern w:val="0"/>
          <w:sz w:val="30"/>
          <w:szCs w:val="30"/>
        </w:rPr>
      </w:pPr>
    </w:p>
    <w:p w14:paraId="24EBAA97">
      <w:pPr>
        <w:spacing w:line="540" w:lineRule="exact"/>
        <w:jc w:val="center"/>
        <w:rPr>
          <w:rFonts w:hAnsi="宋体" w:eastAsia="仿宋_GB2312" w:cs="宋体"/>
          <w:kern w:val="0"/>
          <w:sz w:val="30"/>
          <w:szCs w:val="30"/>
        </w:rPr>
      </w:pPr>
    </w:p>
    <w:p w14:paraId="5E6E4AED">
      <w:pPr>
        <w:spacing w:line="540" w:lineRule="exact"/>
        <w:rPr>
          <w:rFonts w:hAnsi="宋体" w:eastAsia="仿宋_GB2312" w:cs="宋体"/>
          <w:kern w:val="0"/>
          <w:sz w:val="30"/>
          <w:szCs w:val="30"/>
        </w:rPr>
      </w:pPr>
    </w:p>
    <w:p w14:paraId="7CC9E769">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4401110F">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履行人大职能和提升代表履职能力项目</w:t>
      </w:r>
    </w:p>
    <w:p w14:paraId="319673DF">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lang w:eastAsia="zh-CN"/>
        </w:rPr>
        <w:t>巴音郭楞蒙古自治州</w:t>
      </w:r>
      <w:bookmarkStart w:id="0" w:name="_GoBack"/>
      <w:bookmarkEnd w:id="0"/>
      <w:r>
        <w:rPr>
          <w:rStyle w:val="19"/>
          <w:rFonts w:hint="eastAsia" w:ascii="楷体" w:hAnsi="楷体" w:eastAsia="楷体"/>
          <w:spacing w:val="-4"/>
          <w:sz w:val="28"/>
          <w:szCs w:val="28"/>
        </w:rPr>
        <w:t>人民代表大会常务委员会（办公室）</w:t>
      </w:r>
    </w:p>
    <w:p w14:paraId="571DF92F">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巴音郭楞蒙古自治州人民代表大会常务委员会（办公室）</w:t>
      </w:r>
    </w:p>
    <w:p w14:paraId="218217B1">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李映清</w:t>
      </w:r>
    </w:p>
    <w:p w14:paraId="34095338">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2025年03月25日</w:t>
      </w:r>
    </w:p>
    <w:p w14:paraId="21662DC6">
      <w:pPr>
        <w:spacing w:line="700" w:lineRule="exact"/>
        <w:ind w:firstLine="708" w:firstLineChars="236"/>
        <w:jc w:val="left"/>
        <w:rPr>
          <w:rFonts w:hAnsi="宋体" w:eastAsia="仿宋_GB2312" w:cs="宋体"/>
          <w:kern w:val="0"/>
          <w:sz w:val="30"/>
          <w:szCs w:val="30"/>
        </w:rPr>
      </w:pPr>
    </w:p>
    <w:p w14:paraId="26152034">
      <w:pPr>
        <w:spacing w:line="540" w:lineRule="exact"/>
        <w:rPr>
          <w:rStyle w:val="19"/>
          <w:rFonts w:ascii="黑体" w:hAnsi="黑体" w:eastAsia="黑体"/>
          <w:b w:val="0"/>
          <w:spacing w:val="-4"/>
          <w:sz w:val="32"/>
          <w:szCs w:val="32"/>
        </w:rPr>
      </w:pPr>
    </w:p>
    <w:p w14:paraId="255AD9CD">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2F143D14">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4B4A9D73">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各级人大及其常委会要认真贯彻落实监督法和自治区实施监督法办法，把事关改革发展稳定、群众普遍关注的问题作为监督重点，围绕产业发展、项目建设、招商引资、城市建设、脱贫攻坚和民生改善等重点工作，不断强化问题意识、民生意识，进一步加强和改进法律监督、工作监督，着力增强监督实效，促进“一府两院”依法行政、公正司法，切实维护人民群众合法权益。坚持党的领导和依法监督的原则，不断完善监督机制，加大监督力度，有效促进监督的规范化、制度化和法制化。同时，为认真贯彻落实《中共新疆维吾尔自治区委员会关于在新时期新阶段进一步改进和加强人大工作的意见》的精神要求，加强代表学习培训,深入了解外地经济社会发展，开拓视野、转变观念、提升素质，努力学习先进地区人大工作与代表履职经验，进一步提高人大代表和人大干部的履职能力和工作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认真执行《中华人民共和国各级人民代表大会常务委员会监督法》，通过执法检查、代表视察，专题询问、专题调研等监督方式，加大对法律法规贯彻执行、宏观经济运行、党委重大决策部署贯彻落实、社会民生事业改善的监督力度。充分发挥办公室的综合协调、参谋决策和后勤保障职能，改善人大办公条件，加强人大常委会机关自身建设，降低成本，搞好各项保障服务。并通过预算联网监督系统，逐步形成横向联通、纵向贯通的预算联网监督网络。充分发挥代表作用，完善常委会组成人员联系代表和代表联系群众制度，建立健全代表联络机构，网络平台，不断推进代表联系群众工作规范化、制度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本年度财政预算安排资金93万元，截止2024年12月20日，资金使用已完成93万元。一是完成了视察调研检查20次，形成调研报告12份，为推动新时代人大工作高质量发展，推进中国式现代化的巴州实践作出积极贡献；二是完成了州直代表的履职活动经费以及代表之家的补助经费，进一步增强了政治责任意识、推动发展信心和依法履职能力；三是保障了预算联网系统的正常维护及办公人员50人的基本运行，积极发挥好办公室综合协调、参谋决策和勤保障职能，搞好各项保障服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该项目年初预算数93万元，全年预算数93万元，该项目资金已全部落实到位，资金来源为财政拨款。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93万元，全年预算数93万元，全年执行数93万元，预算执行率为100%，主要用于办公费12.31万元，印刷费0.64万元，差旅费19.89万元，维修费14.7万元，租赁费0.49万元，培训费26.4万元，劳务费1万元，委托业务费1.17万元，其他交通费12.11万元，办公设备购置4.19万元，无形资产购置0.1万元。</w:t>
      </w:r>
    </w:p>
    <w:p w14:paraId="144E0A2D">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4AED84FC">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保障自治州人大常委会依法行使监督职权，发展社会主义民主，推进依法治国，加强重点领域立法，着力提高立法质量。进一步加强人大监督，完善听取和审议专项工作报告、执法检查、代表视察，专题询问、专题调研等监督检查调研次数不少于20次，加大对法律法规贯彻执行、宏观经济运行、党委重大决策部署贯彻落实、社会民生事业改善的监督力度。积极拓宽代表履职渠道，创新代表活动方式，积极组织代表在闭会期间的活动，充分发挥代表主体作用。充分发挥办公室的综合协调、参谋决策和后勤保障职能，改善人大办公条件，加强人大机关自身建设，降低成本，搞好各项保障服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自治州党委领导下，自治州人大常委会坚持党的领导、人民当家作主、依法治国有机统一，紧紧围绕全州工作大局和人民群众对美好生活的向往，依法履职尽责、主动担当作为，坚持和发展全过程人民民主，为自治州改革发展稳定事业作出了应有贡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-6月阶段：统筹做好1次人代会和3次常委会的会前准备、会中服务、会后落实工作，听取和审议专项工作报告9项、执法检查、代表视察，专题询问、专题调研等监督检查调研工作8项。同时，做好自治州人代会期间代表议案建议研究处理工作，自治区人大代表参加自治区党代会代表议案和建议准备等工作，筹备自治州十五届人大三次会议代表建议交办会等相关代表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7-12月阶段：完成4次常委会的会前准备、会中服务、会后落实工作，听取和审议专项工作报告11项、执法检查、代表视察，专题询问、专题调研等监督检查调研工作4项，完成专题询问工作及法规规章规范性文件监督3项。同时，做好代表思想政治建设和履职能力建设工作，做好代表联系人民群众工作机制和平台建设等代表工作。</w:t>
      </w:r>
    </w:p>
    <w:p w14:paraId="33E2FAEF">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3EE4202D">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2B4500B3">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编制过程中，严格遵循相关法规与标准，结合地方实际情况，从目标设定、指标构建、数据收集、过程透明到结果运用等多个方面进行全面考虑和系统设计。并能通过具体的指标值予以体现。指标应与项目年度任务数或计划数相对应，同时与预算确定的项目投资额或资金量相匹配。例如，可以通过完成视察调研报告数量、监督检查覆盖率及任务完成率等具体指标，全面衡量人大职能和代表的履职能力提升情况。只有这样，才能确保人大职能得到有效履行，为推进国家治理体系和治理能力现代化作出积极贡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多种科学合理的方法，如问卷调查、数据分析等，广泛收集了与项目相关的各类数据。此外，对数据的质量和完整性进行严格把控，对于缺失或异常的数据进行了合理的处理和说明，保证了评价数据的真实性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并通过科学的方法反映履职的实际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绩效评价，客观地评判项目的管理绩效，了解和掌握履行人大职能和提升代表履职能力项目的具体情况，评价该项目资金安排的科学性、合理性、规范性和资金的使用成效，以达到改进预算管理、控制节约成本，优化资源配置，提高预算资金使用效益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分析财政资金的使用效率和效益，深入剖析项目预算资金的投入与产出关系，挖掘潜在的资源优化配置空间、减少浪费、提高项目效益，推动项目在有限的预算资源下实现更高的绩效产出，提升整体资源利用效率，实现从“资源投入导向”向“履职效益导向”的转变。这不仅是推进国家治理现代化的必然要求，更是回应人民群众对高质量人大工作期待的重要路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明确项目各参与主体在预算绩效管理中的职责与任务，借助绩效评价结果对项目管理过程进行监督与问责，推动责任落实与监督效能深度融合，促使项目管理者增强责任意识，主动优化管理流程，完善内部控制机制，提高项目管理水平与执行力，提升人大的工作质量和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通过明确目标、构建指标体系、全面数据收集与分析、提升透明度和有效运用结果，为决策提供了有力的支持，有助于提升人大的决策质量和效率，推动国家治理体系和治理能力现代化。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绩效评价中发现的问题，认真加以整改，及时调整和完善单位的工作计划和绩效目标并加强项目管理，提高管理水平，同时为项目后续资金投入、分配和管理提供决策依据。使人大常委会的监督工作由单纯的程序性监督向程序性和实质性监督相融合的方向迈进，进一步加强了监督工作科学性、民主性和公开性，切实提高人大监督工作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履行人大职能和提升代表履职能力项目及其预算执行情况。该项目由巴州人大常委会办公室负责实施，旨在保障自治州人大常委会依法行使监督职权，发展社会主义民主，推进依法治国，加强重点领域立法，着力提高立法质量。项目预算涵盖从2024年1月1日至2024年12月20日的全部资金投入与支出，涉及资金总额为93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范围广泛而全面，涵盖了从项目立项至评价时点期间的所有关键预算活动和财务流程。并综合考虑宪法法律规定、人民代表大会制度的特点、人大监督工作现状等因素，进行履行人大职能和提升代表履职能力项目评价，评价核心为专项资金的支出完成情况和效果，并把结果应用作为绩效评价的落脚点。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项目预算编制与执行：全面审视项目预算的编制依据、合理性、科学性以及实际执行情况，评估预算执行进度与合规性。包括预算调整的原因和效果。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资金管理：深入分析项目资金的分配、使用和监管情况，确保资金使用的合规性、高效性和透明度。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项目实施进度与产出：评估项目能够按照年初的工作要点顺利推进，各项任务按时完成，以及项目产出的数量、质量和时效性符合预期效果。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社会等影响：在自治州党委领导下，自治州人大常委会坚持党的领导、人民当家作主、依法治国有机统一，紧紧围绕全州工作大局和人民群众对美好生活的向往，依法履职尽责、主动担当作为，坚持和发展全过程人民民主，为自治州改革发展稳定事业作出了应有贡献。同时，常委会坚持以代表工作践行全过程人民民主，创新代表组织形式、健全代表服务机制，支持和保障代表更好依法履职、发挥桥梁作用，代表工作更接地气、更具活力。</w:t>
      </w:r>
    </w:p>
    <w:p w14:paraId="34C25A81">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5A34BFCA">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（1）科学公正。绩效评价应当运用科学合理的方法，按照规范的程序，对项目绩效进行客观、公正的反映。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（2）统筹兼顾。单位自评、部门评价和财政评价应职责明确，各有侧重，相互衔接。单位自评应由项目单位自主实施，即“谁支出、谁自评”。部门评价和财政评价应在单位自评的基础上开展。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（4）公开透明。绩效评价结果应依法依规公开，并自觉接受社会监督。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支出绩效自评采用比较法、因素分析法来实现，原因是：根据工作方案，考察分析监督工作的合法性、合理性等；根据监督工作实施前后有关工作情况的对比，直接估量监督工作实施后的相对成效；并通过核查财务资料、项目组织实施资料、项目绩效资料、数据分析等方法对项目支出效益进行评判，评价绩效目标的实现程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此项目对照机关2024年工作要点和年初确定的绩效目标各项任务，以预先制定的目标设定、计划、完成程度、预算编制、定额等作为评价标准，加强人大监督职能，规范数据信息报送，实现工作的常态化、规范化，切实解决工作中存在的信息提供范围不全面、内容不规范、标准不统一等问题。其次就是规范预算编制、执行、调整调剂、决算等全过程预算数据信息的提供，结合实行本单位提供的项目资料以及情况介绍，对项目的实施和完成情况进行核实，对绩效指标完成情况进行比较。以项目绩效目标和指标完成情况为依据，考核评价项目。</w:t>
      </w:r>
    </w:p>
    <w:p w14:paraId="02419092">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6BBA1291">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首先，明确评价的目标和范围，确定评价的对象和具体内容。包括人大职能项目中涉及的各类资金，如本级部门管理资金和上级转移支付资金。其次，设定评价目标，即通过评价明确公共服务的数量、质量、时效及成本，并确保资源合理配置和预期效果的实现。此外，制定详细的工作计划，包括时间表、责任分工和资源配置，以确保评价工作有序进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体系应科学合理、全面系统，能够准确反映人大职能履行的绩效水平。可以从投入、过程、产出和效果四个维度构建指标体系。投入指标主要衡量资金和资源的投入情况；过程指标关注项目实施过程中的管理效率和规范性；产出指标评估项目实际产出的数量和质量；效果指标则衡量项目对经济、社会、环境等方面的影响。在构建指标体系时，应结合人大职能项目的具体特点和目标，确保指标的可操作性和针对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数据来源应多样化，数据来源可以包括人大内部的文件资料、调研报告、财务报表等，以及外部的调查问卷、统计数据等。通过定量与定性相结合的方法，全面收集项目实施过程中的各类数据。在数据收集过程中，应确保数据的真实性和准确性，为后续的分析评估提供可靠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确保评价报告的质量与实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通过以上过程，履行人大职能和提升代表履职能力项目绩效评价工作能够全面、客观地反映人大职能履行的绩效水平，为改进工作、提高效能提供有力支持。</w:t>
      </w:r>
    </w:p>
    <w:p w14:paraId="3450412B">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3CEA712F">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履行人大职能和提升代表履职能力项目在加大对法律法规贯彻执行、宏观经济运行、党委重大决策部署贯彻落实、社会民生事业改善的监督力度、积极拓宽代表履职渠道，创新代表活动方式，积极组织代表在闭会期间的活动，充分发挥代表主体作用等方面表现出色，达到了预期的标准与要求。同时，项目也在代表履职充电赋能方面取得了显著的成效，如组织37名代表赴厦门培训，举办全过程人民民主、铸牢中华民族共同体意识培训班，培训乡镇人大主席、全过程人民民主实践站站长等130余名，全州各级人大累计培训代表1.4万人次，代表的政治能力、履职能力、实践能力持续提升等。</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在项目管理方面，巴州人大常委会办公室通过有效的规划、组织与协调，项目得以顺利实施，并在预算与时间上保持了良好的控制。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从项目效益的角度来看，本项目不仅实现了预期的社会效益方面产生了积极的影响。具体而言，不断增强立法监督工作实效性方面的提升，为项目的利益相关者带来了实实在在的利益。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履行人大职能和提升代表履职能力项目在绩效评价中表现出色，达到了项目的预期目标，并在多个方面取得了显著的成效。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100分，属于“优”。其中，项目决策类指标权重为20分，得分为 20分，得分率为100%。项目过程类指标权重为20分，得分为20分，得分率为100%。项目产出类指标权重为40分，得分为40分，得分率为100%。项目效益类指标权重为20分，得分为20分，得分率为100%。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40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100 100</w:t>
      </w:r>
    </w:p>
    <w:p w14:paraId="76795126">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3D6DA6BA">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1558F1F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立项符合《中华人民共和国地方各级人民代表大会和地方各级人民政府组织法》、《中华人民共和国代表法》的相关法律法规和政策要求，并遵循预算管理和绩效评价的相关规定，围绕本年度工作要点和实际工作需求制定经费预算，设立人大事务经费项目，保障人大及其常委会正常履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需按照规定的程序进行申请和设立，经过有关部门的审批，确保项目符合法律法规、相关政策和发展规划。项目预算需经过科学论证，明确资金额度与年度目标相适应，确保资金使用的合理性和效率性。预算资金分配应有明确的测算依据，与项目实际需求相适应，确保资金使用的公平性和透明度。绩效指标应清晰、细化、可衡量，以便对项目执行情况进行有效的监控和评估。并引入第三方机构对项目进行绩效评价，确保评价结果的客观性和公正性。同时，项目信息应公开透明，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项目设置了明确的预期产出效益和效果，将绩效目标细化分解为具体的绩效指标，绩效目标与项目目标任务数相对应，绩效目标设定的绩效指标清晰、细化、可衡量。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我单位对各项支出严格按照预算额度进行压缩控制，按照项目计划和财经纪律要求，做到专款专用，加强预算管理的执行力度。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预算编制过程中，还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我单位严格按照财政部门预算编制与预算调整的工作要求，在预算编制、分配依据充分的条件下，切实做好“先定目标再编预算”，确保预算分配结果合理。本项目的资金分配遵循了公平、公正、透明的原则，确保了项目资源的合理配置与高效利用。在资金分配过程中，我们充分考虑了项目的实际需求与目标，对不同阶段、不同任务的资金进行了科学的规划与安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资金分配紧密结合了项目的特点与实际情况，对关键领域与重要环节给予了重点支持。同时，我们也注重资金的均衡分配，避免了资源浪费与资金闲置。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本项目的资金分配是合理的、科学的，既符合项目的实际情况，又满足了资金使用的效益最大化要求。资金分配的合理性为项目的成功实施提供了有力的保障，也为项目的绩效评价奠定了坚实的基础。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4CCB9B6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28521DFD">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本项目总投资93万元，财政资金及时足额到位，到位率100%，预算资金按计划进度执行。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预算编制较为详细，项目资金支出总体能够按照预算执行，预算资金支出93万元，预算执行率为100%。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项目的资金使用符合国家财经法规和财务管理制度以及有关专项资金管理办法的规定，确保了资金的合规性与安全性。在资金使用过程中，我们建立了完善的财务管理体系，对资金的流动进行了全程监控与记录。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资金使用坚持了专款专用的原则，不存在截留、挤占、挪用、虚列支出等情况。同时，我们还加强了对资金使用的审计与监督，定期对财务收支进行自查与自纠，及时发现并纠正可能存在的问题。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使用是合规的、安全的，既符合国家相关法律法规与财务制度的要求，又满足了项目实施的实际需要。资金使用的合规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拥有一套完善、健全的管理制度体系，为项目的成功实施提供了坚实的制度保障。项目管理制度的制定紧密结合了项目的特点与实际情况，涵盖了项目的策划、组织、实施、监控与收尾等各个环节。构建起“预算编制有目标、预算执行有监控、预算完成有评价、评价结果有运用、绩效缺失有问责”的全过程预算绩效管理新机制，以提高财政资金使用绩效，促进机关管理效能提升，做到合法、合规、完整，为项目顺利实施提供了保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管理制度的健全性不仅体现在制度的完善上，还体现在制度的执行与监督上。我们建立了有效的监督机制与反馈机制，对项目的实施情况进行定期检查与评估，及时发现并纠正可能存在的问题。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本项目的管理制度是健全的、有效的，既符合项目的实际情况，又满足了项目管理的需要。管理制度的健全性为项目的成功实施提供了有力的保障，也为项目的绩效评价奠定了坚实的基础。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在执行过程中，管理制度得到了全面、有效的落实，为确保项目的顺利实施与目标实现提供了坚实的保障。对资金使用的合法合规性进行监督，年末对资金使用效果进行评价。项目单位重视制度执行的重要性，通过明确责任分工、制定详细执行计划、加强监督考核等措施，确保了各项管理制度能够得到有效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我们建立了有效的沟通机制与反馈机制，确保项目信息的及时传递与问题的及时解决，进一步提高了制度执行的效率与效果。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本项目的管理制度在执行过程中表现出了高度的有效性，既确保了项目的顺利进行，又实现了项目目标的有效达成。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19BAF680">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7E373A63">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项目产出类指标包括产出数量、产出质量、产出时效、产出成本四方面的内容，由18个三级指标构成，权重分为40分，实际得分40分，得分率为100%。具体产出指标完成情况如下：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指标1：组织开展视察调研督导检查次数，指标值：&gt;=20次，实际完成值：=20次，指标完成率100 %。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指标2：完成视察调研报告数量，指标值：&gt;=12个，实际完成值：=12个，指标完成率100%。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指标3：软件信息及设备系统维护数量，指标值：&gt;=2套，实际完成值：=2套，指标完成率100%。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指标4：州本级人大代表活动经费拨付次数，指标值： =1次，实际完成值：=1次，指标完成率100%。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指标5：州级人大代表“家室站”补助拨付次数，指标值：=1次，实际完成值：=1次，指标完成率100%。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指标6：保障办公人员数量，指标值：&gt;=50人，实际完成值：=50人，指标完成率100%。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指标7：公务保障用车数量，指标值：&gt;=10辆，实际完成值：=10辆，指标完成率100%。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指标1：公用经费保障率，指标值：=100%，实际完成值：=100%，指标完成率100%。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指标2：系统故障率，指标值：&lt;=3%，实际完成值：=3%，指标完成率100%。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指标3：监督检查覆盖率，指标值：&gt;=98%，实际完成值：=100%，指标完成率100%。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指标1：视察调研督导检查任务按时完成率，指标值：&gt;=98%，实际完成值：=100%，指标完成率100%。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指标2：公用经费支付及时率，指标值：&gt;=98%，实际完成值：=100%，指标完成率100%。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指标3：系统故障修复处理时间，指标值：&lt;=1天，实际完成值：=1天，指标完成率100%。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指标4：系统运行维护响应时间，指标值：&lt;=5小时，实际完成值：=5小时，指标完成率100%。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指标1：人大代表活动经费成本，指标值=31.56万元，实际完成值：=31.56万元，指标完成率100%。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指标1：州级人大代表“家室站”补助经费成本，指标值：&lt;=10万元，实际完成值：=10万元，指标完成率100%。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指标1：人均运转经费数，指标值：=0.625万元，实际完成值：=0.625万元，指标完成率100%。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指标1：软件信息及设备系统维护成本，指标值：&lt;=20万元，实际完成值：=20万元，指标完成率100%。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29D3D9F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479B4D8B">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项目效益类指标包括项目实施效益和满意度两方面的内容，由2个三级指标构成，权重分为20分，实际得分20分，得分率为100%。具体效益指标及满意度指标完成情况如下：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①社会效益指标：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指标1：不断增强立法监督工作实效性，指标值：效果显著，实际完成值：达成目标，指标完成率100%。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73A05FF4">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1.满意度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指标1：人大代表的满意度，指标值：&gt;=98%，实际完成值：=98%，指标完成率100%。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06E10191">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432ED22B">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确保项目顺利进行，提前做好项目规划，明确目标与范围。制定项目启动、计划、执行、控制盒收尾等各个阶段的具体流程。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严格坚持先做事、后验收、再拨付的原则，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1.预算编制工作不够明确和细化。预算编制工作有待细化，预算编制的合理性、科学性和准确性需要提高，预算执行力度还要进一步加强，使预算编制更加符合项目实际情况。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相关绩效管理方面专业知识的系统性学习有待加强。各项指标的设置要进一步优化、完善，主要在细化、量化上改进。将被动认识转化为主动实践，完善制度，切实加强组织领导，深入推进评价工作，提升单位整体绩效管理水平。</w:t>
      </w:r>
    </w:p>
    <w:p w14:paraId="0E60B70F">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3DB8A205">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1.确定预算编制的范围，包括涉及的部门、项目、时间周期和具体内容，避免遗漏或重复。制定详细的预算编制流程，提高预算编制的精细化程度，建立完善的财务数据收集系统，确保预算编制有据可依。</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多进行有关绩效管理工作方面的培训。积极组织第三方开展绩效管理工作培训，进一步夯实业务基础，提高我单位绩效人员水平。同时，进一步加强对绩效管理工作的组织领导，提高对预算绩效管理工作重要性的认识，总结经验查找问题，抓紧研究制定更全面更完善的绩效评价管理办法。加大对全面实施预算绩效管理和绩效管理工作的学习力度，让“花钱必问效，无效必问责”的理念深入工作每个环节。</w:t>
      </w:r>
    </w:p>
    <w:p w14:paraId="2A7DD73C">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5F5643E6">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68A428BF">
      <w:pPr>
        <w:spacing w:line="540" w:lineRule="exact"/>
        <w:ind w:firstLine="567"/>
        <w:rPr>
          <w:rStyle w:val="19"/>
          <w:rFonts w:ascii="仿宋" w:hAnsi="仿宋" w:eastAsia="仿宋"/>
          <w:b w:val="0"/>
          <w:spacing w:val="-4"/>
          <w:sz w:val="32"/>
          <w:szCs w:val="32"/>
        </w:rPr>
      </w:pPr>
    </w:p>
    <w:p w14:paraId="4DD82122">
      <w:pPr>
        <w:spacing w:line="540" w:lineRule="exact"/>
        <w:ind w:firstLine="567"/>
        <w:rPr>
          <w:rStyle w:val="19"/>
          <w:rFonts w:ascii="仿宋" w:hAnsi="仿宋" w:eastAsia="仿宋"/>
          <w:b w:val="0"/>
          <w:spacing w:val="-4"/>
          <w:sz w:val="32"/>
          <w:szCs w:val="32"/>
        </w:rPr>
      </w:pPr>
    </w:p>
    <w:p w14:paraId="03CAA10B">
      <w:pPr>
        <w:spacing w:line="540" w:lineRule="exact"/>
        <w:ind w:firstLine="567"/>
        <w:rPr>
          <w:rStyle w:val="19"/>
          <w:rFonts w:ascii="仿宋" w:hAnsi="仿宋" w:eastAsia="仿宋"/>
          <w:b w:val="0"/>
          <w:spacing w:val="-4"/>
          <w:sz w:val="32"/>
          <w:szCs w:val="32"/>
        </w:rPr>
      </w:pPr>
    </w:p>
    <w:p w14:paraId="2B8D3E6D">
      <w:pPr>
        <w:spacing w:line="540" w:lineRule="exact"/>
        <w:ind w:firstLine="567"/>
        <w:rPr>
          <w:rStyle w:val="19"/>
          <w:rFonts w:ascii="仿宋" w:hAnsi="仿宋" w:eastAsia="仿宋"/>
          <w:b w:val="0"/>
          <w:spacing w:val="-4"/>
          <w:sz w:val="32"/>
          <w:szCs w:val="32"/>
        </w:rPr>
      </w:pPr>
    </w:p>
    <w:p w14:paraId="00DD9BAC">
      <w:pPr>
        <w:spacing w:line="540" w:lineRule="exact"/>
        <w:ind w:firstLine="567"/>
        <w:rPr>
          <w:rStyle w:val="19"/>
          <w:rFonts w:ascii="仿宋" w:hAnsi="仿宋" w:eastAsia="仿宋"/>
          <w:b w:val="0"/>
          <w:spacing w:val="-4"/>
          <w:sz w:val="32"/>
          <w:szCs w:val="32"/>
        </w:rPr>
      </w:pPr>
    </w:p>
    <w:p w14:paraId="014EA222">
      <w:pPr>
        <w:spacing w:line="540" w:lineRule="exact"/>
        <w:ind w:firstLine="567"/>
        <w:rPr>
          <w:rStyle w:val="19"/>
          <w:rFonts w:ascii="仿宋" w:hAnsi="仿宋" w:eastAsia="仿宋"/>
          <w:b w:val="0"/>
          <w:spacing w:val="-4"/>
          <w:sz w:val="32"/>
          <w:szCs w:val="32"/>
        </w:rPr>
      </w:pPr>
    </w:p>
    <w:p w14:paraId="2491614B">
      <w:pPr>
        <w:spacing w:line="540" w:lineRule="exact"/>
        <w:ind w:firstLine="567"/>
        <w:rPr>
          <w:rStyle w:val="19"/>
          <w:rFonts w:ascii="仿宋" w:hAnsi="仿宋" w:eastAsia="仿宋"/>
          <w:b w:val="0"/>
          <w:spacing w:val="-4"/>
          <w:sz w:val="32"/>
          <w:szCs w:val="32"/>
        </w:rPr>
      </w:pPr>
    </w:p>
    <w:p w14:paraId="1AF81B1E">
      <w:pPr>
        <w:spacing w:line="540" w:lineRule="exact"/>
        <w:ind w:firstLine="567"/>
        <w:rPr>
          <w:rStyle w:val="19"/>
          <w:rFonts w:ascii="仿宋" w:hAnsi="仿宋" w:eastAsia="仿宋"/>
          <w:b w:val="0"/>
          <w:spacing w:val="-4"/>
          <w:sz w:val="32"/>
          <w:szCs w:val="32"/>
        </w:rPr>
      </w:pPr>
    </w:p>
    <w:p w14:paraId="16CCF680">
      <w:pPr>
        <w:spacing w:line="540" w:lineRule="exact"/>
        <w:ind w:firstLine="567"/>
        <w:rPr>
          <w:rStyle w:val="19"/>
          <w:rFonts w:ascii="仿宋" w:hAnsi="仿宋" w:eastAsia="仿宋"/>
          <w:b w:val="0"/>
          <w:spacing w:val="-4"/>
          <w:sz w:val="32"/>
          <w:szCs w:val="32"/>
        </w:rPr>
      </w:pPr>
    </w:p>
    <w:p w14:paraId="66332446">
      <w:pPr>
        <w:spacing w:line="540" w:lineRule="exact"/>
        <w:ind w:firstLine="567"/>
        <w:rPr>
          <w:rStyle w:val="19"/>
          <w:rFonts w:ascii="仿宋" w:hAnsi="仿宋" w:eastAsia="仿宋"/>
          <w:b w:val="0"/>
          <w:spacing w:val="-4"/>
          <w:sz w:val="32"/>
          <w:szCs w:val="32"/>
        </w:rPr>
      </w:pPr>
    </w:p>
    <w:p w14:paraId="47431076">
      <w:pPr>
        <w:spacing w:line="540" w:lineRule="exact"/>
        <w:ind w:firstLine="567"/>
        <w:rPr>
          <w:rStyle w:val="19"/>
          <w:rFonts w:ascii="仿宋" w:hAnsi="仿宋" w:eastAsia="仿宋"/>
          <w:b w:val="0"/>
          <w:spacing w:val="-4"/>
          <w:sz w:val="32"/>
          <w:szCs w:val="32"/>
        </w:rPr>
      </w:pPr>
    </w:p>
    <w:p w14:paraId="736D3C4E">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772F976-12B2-4B90-8884-E5D51DEAB3E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9FF15D2F-7189-487E-8C9E-F764A534A856}"/>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925A6D96-3AE0-480C-B0E2-384291DD757B}"/>
  </w:font>
  <w:font w:name="华文中宋">
    <w:panose1 w:val="02010600040101010101"/>
    <w:charset w:val="86"/>
    <w:family w:val="auto"/>
    <w:pitch w:val="default"/>
    <w:sig w:usb0="00000287" w:usb1="080F0000" w:usb2="00000000" w:usb3="00000000" w:csb0="0004009F" w:csb1="DFD70000"/>
    <w:embedRegular r:id="rId4" w:fontKey="{3112A279-A074-453B-BA83-C66D9F0791FD}"/>
  </w:font>
  <w:font w:name="方正小标宋_GBK">
    <w:panose1 w:val="02000000000000000000"/>
    <w:charset w:val="86"/>
    <w:family w:val="script"/>
    <w:pitch w:val="default"/>
    <w:sig w:usb0="A00002BF" w:usb1="38CF7CFA" w:usb2="00082016" w:usb3="00000000" w:csb0="00040001" w:csb1="00000000"/>
    <w:embedRegular r:id="rId5" w:fontKey="{7FFF44B0-BE71-4FF6-9AC8-3C1C29DADA2E}"/>
  </w:font>
  <w:font w:name="仿宋_GB2312">
    <w:altName w:val="仿宋"/>
    <w:panose1 w:val="02010609030101010101"/>
    <w:charset w:val="86"/>
    <w:family w:val="modern"/>
    <w:pitch w:val="default"/>
    <w:sig w:usb0="00000000" w:usb1="00000000" w:usb2="00000000" w:usb3="00000000" w:csb0="00040000" w:csb1="00000000"/>
    <w:embedRegular r:id="rId6" w:fontKey="{6F649243-23AC-4B8A-86F1-2FCE5D86C615}"/>
  </w:font>
  <w:font w:name="楷体">
    <w:panose1 w:val="02010609060101010101"/>
    <w:charset w:val="86"/>
    <w:family w:val="modern"/>
    <w:pitch w:val="default"/>
    <w:sig w:usb0="800002BF" w:usb1="38CF7CFA" w:usb2="00000016" w:usb3="00000000" w:csb0="00040001" w:csb1="00000000"/>
    <w:embedRegular r:id="rId7" w:fontKey="{9AE2548D-4525-4B60-B68F-C16FE9584BF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0DA19F8B">
        <w:pPr>
          <w:pStyle w:val="12"/>
          <w:jc w:val="center"/>
        </w:pPr>
        <w:r>
          <w:fldChar w:fldCharType="begin"/>
        </w:r>
        <w:r>
          <w:instrText xml:space="preserve">PAGE   \* MERGEFORMAT</w:instrText>
        </w:r>
        <w:r>
          <w:fldChar w:fldCharType="separate"/>
        </w:r>
        <w:r>
          <w:rPr>
            <w:lang w:val="zh-CN"/>
          </w:rPr>
          <w:t>1</w:t>
        </w:r>
        <w:r>
          <w:fldChar w:fldCharType="end"/>
        </w:r>
      </w:p>
    </w:sdtContent>
  </w:sdt>
  <w:p w14:paraId="1BC307A4">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BB0927"/>
    <w:rsid w:val="3CDB7D10"/>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273ca9cf-c039-44bf-afa7-4c05715371b1}">
  <ds:schemaRefs/>
</ds:datastoreItem>
</file>

<file path=docProps/app.xml><?xml version="1.0" encoding="utf-8"?>
<Properties xmlns="http://schemas.openxmlformats.org/officeDocument/2006/extended-properties" xmlns:vt="http://schemas.openxmlformats.org/officeDocument/2006/docPropsVTypes">
  <Template>Normal.dotm</Template>
  <Pages>23</Pages>
  <Words>11203</Words>
  <Characters>11569</Characters>
  <Lines>5</Lines>
  <Paragraphs>1</Paragraphs>
  <TotalTime>4</TotalTime>
  <ScaleCrop>false</ScaleCrop>
  <LinksUpToDate>false</LinksUpToDate>
  <CharactersWithSpaces>11597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2025-09-22T10:18:26Z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