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56CCB6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巴音郭楞蒙古自治州人民检察院2024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398149">
      <w:r>
        <w:br w:type="page"/>
      </w:r>
    </w:p>
    <w:p w14:paraId="51F7133E">
      <w:pPr>
        <w:spacing w:line="640" w:lineRule="exact"/>
        <w:jc w:val="center"/>
        <w:outlineLvl w:val="1"/>
      </w:pPr>
      <w:r>
        <w:rPr>
          <w:rFonts w:ascii="黑体" w:hAnsi="黑体" w:eastAsia="黑体"/>
          <w:sz w:val="32"/>
        </w:rPr>
        <w:t>第一部分 部门概况</w:t>
      </w:r>
    </w:p>
    <w:p w14:paraId="6324457E">
      <w:pPr>
        <w:spacing w:line="640" w:lineRule="exact"/>
        <w:ind w:firstLine="640"/>
        <w:jc w:val="both"/>
        <w:outlineLvl w:val="2"/>
      </w:pPr>
      <w:r>
        <w:rPr>
          <w:rFonts w:ascii="黑体" w:hAnsi="黑体" w:eastAsia="黑体"/>
          <w:sz w:val="32"/>
        </w:rPr>
        <w:t>一、主要职能</w:t>
      </w:r>
    </w:p>
    <w:p w14:paraId="6AAE3D44">
      <w:pPr>
        <w:spacing w:line="580" w:lineRule="exact"/>
        <w:ind w:firstLine="640"/>
        <w:jc w:val="both"/>
      </w:pPr>
      <w:r>
        <w:rPr>
          <w:rFonts w:ascii="仿宋_GB2312" w:hAnsi="仿宋_GB2312" w:eastAsia="仿宋_GB2312"/>
          <w:sz w:val="32"/>
        </w:rPr>
        <w:t>（一）依照法律规定对有关刑事案件行使侦查权。</w:t>
      </w:r>
    </w:p>
    <w:p w14:paraId="31DCCFF7">
      <w:pPr>
        <w:spacing w:line="580" w:lineRule="exact"/>
        <w:ind w:firstLine="640"/>
        <w:jc w:val="both"/>
      </w:pPr>
      <w:r>
        <w:rPr>
          <w:rFonts w:ascii="仿宋_GB2312" w:hAnsi="仿宋_GB2312" w:eastAsia="仿宋_GB2312"/>
          <w:sz w:val="32"/>
        </w:rPr>
        <w:t>（二）对刑事案件进行审查，批准或者决定是否逮捕犯罪嫌疑人。</w:t>
      </w:r>
    </w:p>
    <w:p w14:paraId="68F0007C">
      <w:pPr>
        <w:spacing w:line="580" w:lineRule="exact"/>
        <w:ind w:firstLine="640"/>
        <w:jc w:val="both"/>
      </w:pPr>
      <w:r>
        <w:rPr>
          <w:rFonts w:ascii="仿宋_GB2312" w:hAnsi="仿宋_GB2312" w:eastAsia="仿宋_GB2312"/>
          <w:sz w:val="32"/>
        </w:rPr>
        <w:t>（三）对刑事案件进行审查，决定是否提起公诉，对决定提起公诉的案件支持公诉。</w:t>
      </w:r>
    </w:p>
    <w:p w14:paraId="14CC7781">
      <w:pPr>
        <w:spacing w:line="580" w:lineRule="exact"/>
        <w:ind w:firstLine="640"/>
        <w:jc w:val="both"/>
      </w:pPr>
      <w:r>
        <w:rPr>
          <w:rFonts w:ascii="仿宋_GB2312" w:hAnsi="仿宋_GB2312" w:eastAsia="仿宋_GB2312"/>
          <w:sz w:val="32"/>
        </w:rPr>
        <w:t>（四）依照法律规定提起公益诉讼。</w:t>
      </w:r>
    </w:p>
    <w:p w14:paraId="2B258292">
      <w:pPr>
        <w:spacing w:line="580" w:lineRule="exact"/>
        <w:ind w:firstLine="640"/>
        <w:jc w:val="both"/>
      </w:pPr>
      <w:r>
        <w:rPr>
          <w:rFonts w:ascii="仿宋_GB2312" w:hAnsi="仿宋_GB2312" w:eastAsia="仿宋_GB2312"/>
          <w:sz w:val="32"/>
        </w:rPr>
        <w:t>（五）对诉讼活动实行法律监督。</w:t>
      </w:r>
    </w:p>
    <w:p w14:paraId="277DD590">
      <w:pPr>
        <w:spacing w:line="580" w:lineRule="exact"/>
        <w:ind w:firstLine="640"/>
        <w:jc w:val="both"/>
      </w:pPr>
      <w:r>
        <w:rPr>
          <w:rFonts w:ascii="仿宋_GB2312" w:hAnsi="仿宋_GB2312" w:eastAsia="仿宋_GB2312"/>
          <w:sz w:val="32"/>
        </w:rPr>
        <w:t>（六）对判决、裁定等生效法律文书的执行工作实行法律监督。</w:t>
      </w:r>
    </w:p>
    <w:p w14:paraId="527F33FD">
      <w:pPr>
        <w:spacing w:line="580" w:lineRule="exact"/>
        <w:ind w:firstLine="640"/>
        <w:jc w:val="both"/>
      </w:pPr>
      <w:r>
        <w:rPr>
          <w:rFonts w:ascii="仿宋_GB2312" w:hAnsi="仿宋_GB2312" w:eastAsia="仿宋_GB2312"/>
          <w:sz w:val="32"/>
        </w:rPr>
        <w:t>（七）对监狱、看守所的执法活动实行法律监督。</w:t>
      </w:r>
    </w:p>
    <w:p w14:paraId="544310CE">
      <w:pPr>
        <w:spacing w:line="580" w:lineRule="exact"/>
        <w:ind w:firstLine="640"/>
        <w:jc w:val="both"/>
      </w:pPr>
      <w:r>
        <w:rPr>
          <w:rFonts w:ascii="仿宋_GB2312" w:hAnsi="仿宋_GB2312" w:eastAsia="仿宋_GB2312"/>
          <w:sz w:val="32"/>
        </w:rPr>
        <w:t>（八）法律规定的其他职权。</w:t>
      </w:r>
    </w:p>
    <w:p w14:paraId="44E13B39">
      <w:pPr>
        <w:spacing w:line="640" w:lineRule="exact"/>
        <w:ind w:firstLine="640"/>
        <w:jc w:val="both"/>
        <w:outlineLvl w:val="2"/>
      </w:pPr>
      <w:r>
        <w:rPr>
          <w:rFonts w:ascii="黑体" w:hAnsi="黑体" w:eastAsia="黑体"/>
          <w:sz w:val="32"/>
        </w:rPr>
        <w:t>二、机构设置及人员情况</w:t>
      </w:r>
    </w:p>
    <w:p w14:paraId="25E5480E">
      <w:pPr>
        <w:spacing w:line="580" w:lineRule="exact"/>
        <w:ind w:firstLine="640"/>
        <w:jc w:val="both"/>
      </w:pPr>
      <w:r>
        <w:rPr>
          <w:rFonts w:ascii="仿宋_GB2312" w:hAnsi="仿宋_GB2312" w:eastAsia="仿宋_GB2312"/>
          <w:sz w:val="32"/>
        </w:rPr>
        <w:t>巴音郭楞蒙古自治州人民检察院2024年度，实有人数124人，其中：在职人员66人，增加3人；离休人员1人，增加0人；退休人员57人,增加2人。</w:t>
      </w:r>
    </w:p>
    <w:p w14:paraId="5235E556">
      <w:pPr>
        <w:spacing w:line="580" w:lineRule="exact"/>
        <w:ind w:firstLine="640"/>
        <w:jc w:val="both"/>
      </w:pPr>
      <w:r>
        <w:rPr>
          <w:rFonts w:ascii="仿宋_GB2312" w:hAnsi="仿宋_GB2312" w:eastAsia="仿宋_GB2312"/>
          <w:sz w:val="32"/>
        </w:rPr>
        <w:t>巴音郭楞蒙古自治州人民检察院无下属预算单位，下设15个科室，分别是：第一检察部（负责办理普通刑事犯罪案件）、第二检察部（负责办理重大刑事犯罪案件）、第三检察部（负责职务犯罪与经济犯罪案件）、第四检察部（负责办理刑事执行检察和司法人员职务犯罪侦查工作）、第五检察部（负责民事与行政检察工作）、第六检察部（负责公益诉讼检察工作）、第七检察部（负责未成年人检察工作）、第八检察部（负责控告申诉检察工作）、办公室、政治部、机关党委、检务督察部、检务保障部、综合检察业务部、法警支队。</w:t>
      </w:r>
    </w:p>
    <w:p w14:paraId="077144A6">
      <w:r>
        <w:br w:type="page"/>
      </w:r>
    </w:p>
    <w:p w14:paraId="6306DD6A">
      <w:pPr>
        <w:spacing w:line="240" w:lineRule="auto"/>
        <w:jc w:val="center"/>
        <w:outlineLvl w:val="1"/>
      </w:pPr>
      <w:r>
        <w:rPr>
          <w:rFonts w:ascii="黑体" w:hAnsi="黑体" w:eastAsia="黑体"/>
          <w:sz w:val="32"/>
        </w:rPr>
        <w:t>第二部分 部门决算情况说明</w:t>
      </w:r>
    </w:p>
    <w:p w14:paraId="79B0FEDC">
      <w:pPr>
        <w:spacing w:line="640" w:lineRule="exact"/>
        <w:ind w:firstLine="640"/>
        <w:jc w:val="both"/>
        <w:outlineLvl w:val="2"/>
      </w:pPr>
      <w:r>
        <w:rPr>
          <w:rFonts w:ascii="黑体" w:hAnsi="黑体" w:eastAsia="黑体"/>
          <w:sz w:val="32"/>
        </w:rPr>
        <w:t>一、收入支出决算总体情况说明</w:t>
      </w:r>
    </w:p>
    <w:p w14:paraId="7142CFEE">
      <w:pPr>
        <w:spacing w:line="580" w:lineRule="exact"/>
        <w:ind w:firstLine="640"/>
        <w:jc w:val="both"/>
      </w:pPr>
      <w:r>
        <w:rPr>
          <w:rFonts w:ascii="仿宋_GB2312" w:hAnsi="仿宋_GB2312" w:eastAsia="仿宋_GB2312"/>
          <w:b/>
          <w:sz w:val="32"/>
        </w:rPr>
        <w:t>2024年度收入总计2,567.04万元，</w:t>
      </w:r>
      <w:r>
        <w:rPr>
          <w:rFonts w:ascii="仿宋_GB2312" w:hAnsi="仿宋_GB2312" w:eastAsia="仿宋_GB2312"/>
          <w:b w:val="0"/>
          <w:sz w:val="32"/>
        </w:rPr>
        <w:t>其中：本年收入合计2,566.81万元，使用非财政拨款结余（含专用结余）0.00万元，年初结转和结余0.23万元。</w:t>
      </w:r>
    </w:p>
    <w:p w14:paraId="06F73EC7">
      <w:pPr>
        <w:spacing w:line="580" w:lineRule="exact"/>
        <w:ind w:firstLine="640"/>
        <w:jc w:val="both"/>
      </w:pPr>
      <w:r>
        <w:rPr>
          <w:rFonts w:ascii="仿宋_GB2312" w:hAnsi="仿宋_GB2312" w:eastAsia="仿宋_GB2312"/>
          <w:b/>
          <w:sz w:val="32"/>
        </w:rPr>
        <w:t>2024年度支出总计2,567.04万元，</w:t>
      </w:r>
      <w:r>
        <w:rPr>
          <w:rFonts w:ascii="仿宋_GB2312" w:hAnsi="仿宋_GB2312" w:eastAsia="仿宋_GB2312"/>
          <w:b w:val="0"/>
          <w:sz w:val="32"/>
        </w:rPr>
        <w:t>其中：本年支出合计2,563.12万元，结余分配0.00万元，年末结转和结余3.92万元。</w:t>
      </w:r>
    </w:p>
    <w:p w14:paraId="7E41682C">
      <w:pPr>
        <w:spacing w:line="580" w:lineRule="exact"/>
        <w:ind w:firstLine="640"/>
        <w:jc w:val="both"/>
      </w:pPr>
      <w:r>
        <w:rPr>
          <w:rFonts w:ascii="仿宋_GB2312" w:hAnsi="仿宋_GB2312" w:eastAsia="仿宋_GB2312"/>
          <w:b w:val="0"/>
          <w:sz w:val="32"/>
        </w:rPr>
        <w:t>收入支出总体与上年相比，减少568.69万元，下降18.14%，主要原因是：本年中央转移支付资金项目经费及司法救助金项目经费较上年减少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减少伙食补助经费，上年补发津贴补贴，绩效奖金，本年正常发放</w:t>
      </w:r>
      <w:r>
        <w:rPr>
          <w:rFonts w:ascii="仿宋_GB2312" w:hAnsi="仿宋_GB2312" w:eastAsia="仿宋_GB2312"/>
          <w:b w:val="0"/>
          <w:sz w:val="32"/>
        </w:rPr>
        <w:t>，导致人员经费较上年减少。</w:t>
      </w:r>
    </w:p>
    <w:p w14:paraId="5A17246B">
      <w:pPr>
        <w:spacing w:line="640" w:lineRule="exact"/>
        <w:ind w:firstLine="640"/>
        <w:jc w:val="both"/>
        <w:outlineLvl w:val="2"/>
      </w:pPr>
      <w:r>
        <w:rPr>
          <w:rFonts w:ascii="黑体" w:hAnsi="黑体" w:eastAsia="黑体"/>
          <w:sz w:val="32"/>
        </w:rPr>
        <w:t>二、收入决算情况说明</w:t>
      </w:r>
    </w:p>
    <w:p w14:paraId="11F6DB86">
      <w:pPr>
        <w:spacing w:line="580" w:lineRule="exact"/>
        <w:ind w:firstLine="640"/>
        <w:jc w:val="both"/>
      </w:pPr>
      <w:r>
        <w:rPr>
          <w:rFonts w:ascii="仿宋_GB2312" w:hAnsi="仿宋_GB2312" w:eastAsia="仿宋_GB2312"/>
          <w:b/>
          <w:sz w:val="32"/>
        </w:rPr>
        <w:t>本年收入2,566.81万元，</w:t>
      </w:r>
      <w:r>
        <w:rPr>
          <w:rFonts w:ascii="仿宋_GB2312" w:hAnsi="仿宋_GB2312" w:eastAsia="仿宋_GB2312"/>
          <w:b w:val="0"/>
          <w:sz w:val="32"/>
        </w:rPr>
        <w:t>其中：财政拨款收入2,540.43万元，占98.97%；上级补助收入0.00万元，占0.00%；事业收入0.00万元，占0.00%；经营收入0.00万元，占0.00%；附属单位上缴收入0.00万元，占0.00%；其他收入26.38万元，占1.03%。</w:t>
      </w:r>
    </w:p>
    <w:p w14:paraId="48EC53DC">
      <w:pPr>
        <w:spacing w:line="640" w:lineRule="exact"/>
        <w:ind w:firstLine="640"/>
        <w:jc w:val="both"/>
        <w:outlineLvl w:val="2"/>
      </w:pPr>
      <w:r>
        <w:rPr>
          <w:rFonts w:ascii="黑体" w:hAnsi="黑体" w:eastAsia="黑体"/>
          <w:sz w:val="32"/>
        </w:rPr>
        <w:t>三、支出决算情况说明</w:t>
      </w:r>
    </w:p>
    <w:p w14:paraId="1C4139E8">
      <w:pPr>
        <w:spacing w:line="580" w:lineRule="exact"/>
        <w:ind w:firstLine="640"/>
        <w:jc w:val="both"/>
      </w:pPr>
      <w:r>
        <w:rPr>
          <w:rFonts w:ascii="仿宋_GB2312" w:hAnsi="仿宋_GB2312" w:eastAsia="仿宋_GB2312"/>
          <w:b/>
          <w:sz w:val="32"/>
        </w:rPr>
        <w:t>本年支出2,563.12万元，</w:t>
      </w:r>
      <w:r>
        <w:rPr>
          <w:rFonts w:ascii="仿宋_GB2312" w:hAnsi="仿宋_GB2312" w:eastAsia="仿宋_GB2312"/>
          <w:b w:val="0"/>
          <w:sz w:val="32"/>
        </w:rPr>
        <w:t>其中：基本支出1,979.14万元，占77.22%；项目支出583.97万元，占22.78%；上缴上级支出0.00万元，占0.00%；经营支出0.00万元，占0.00%；对附属单位补助支出0.00万元，占0.00%。</w:t>
      </w:r>
    </w:p>
    <w:p w14:paraId="7952D22E">
      <w:pPr>
        <w:spacing w:line="640" w:lineRule="exact"/>
        <w:ind w:firstLine="640"/>
        <w:jc w:val="both"/>
        <w:outlineLvl w:val="2"/>
      </w:pPr>
      <w:r>
        <w:rPr>
          <w:rFonts w:ascii="黑体" w:hAnsi="黑体" w:eastAsia="黑体"/>
          <w:sz w:val="32"/>
        </w:rPr>
        <w:t>四、财政拨款收入支出决算总体情况说明</w:t>
      </w:r>
    </w:p>
    <w:p w14:paraId="397B1A23">
      <w:pPr>
        <w:spacing w:line="580" w:lineRule="exact"/>
        <w:ind w:firstLine="640"/>
        <w:jc w:val="both"/>
      </w:pPr>
      <w:r>
        <w:rPr>
          <w:rFonts w:ascii="仿宋_GB2312" w:hAnsi="仿宋_GB2312" w:eastAsia="仿宋_GB2312"/>
          <w:b/>
          <w:sz w:val="32"/>
        </w:rPr>
        <w:t>2024年度财政拨款收入总计2,540.43万元，</w:t>
      </w:r>
      <w:r>
        <w:rPr>
          <w:rFonts w:ascii="仿宋_GB2312" w:hAnsi="仿宋_GB2312" w:eastAsia="仿宋_GB2312"/>
          <w:b w:val="0"/>
          <w:sz w:val="32"/>
        </w:rPr>
        <w:t>其中：年初财政拨款结转和结余0.00万元，本年财政拨款收入2,540.43万元。</w:t>
      </w:r>
      <w:r>
        <w:rPr>
          <w:rFonts w:ascii="仿宋_GB2312" w:hAnsi="仿宋_GB2312" w:eastAsia="仿宋_GB2312"/>
          <w:b/>
          <w:sz w:val="32"/>
        </w:rPr>
        <w:t>财政拨款支出总计2,540.43万元，</w:t>
      </w:r>
      <w:r>
        <w:rPr>
          <w:rFonts w:ascii="仿宋_GB2312" w:hAnsi="仿宋_GB2312" w:eastAsia="仿宋_GB2312"/>
          <w:b w:val="0"/>
          <w:sz w:val="32"/>
        </w:rPr>
        <w:t>其中：年末财政拨款结转和结余0.00万元，本年财政拨款支出2,540.43万元。</w:t>
      </w:r>
    </w:p>
    <w:p w14:paraId="792EB1B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减少542.55万元，下降17.60%，主要原因是：本年中央转移支付资金项目经费及司法救助金项目经费较上年减少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减少伙食补助经费，上年补发津贴补贴，绩效奖金，本年正常发放</w:t>
      </w:r>
      <w:r>
        <w:rPr>
          <w:rFonts w:ascii="仿宋_GB2312" w:hAnsi="仿宋_GB2312" w:eastAsia="仿宋_GB2312"/>
          <w:b w:val="0"/>
          <w:sz w:val="32"/>
        </w:rPr>
        <w:t>，导致人员经费较上年减少。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年初预算数2,601.50万元，决算数2,540.43万元，预决算差异率-2.35%，主要原因是：</w:t>
      </w:r>
      <w:r>
        <w:rPr>
          <w:rFonts w:hint="eastAsia" w:ascii="仿宋_GB2312" w:hAnsi="仿宋_GB2312" w:eastAsia="仿宋_GB2312"/>
          <w:b w:val="0"/>
          <w:sz w:val="32"/>
          <w:lang w:val="en-US" w:eastAsia="zh-CN"/>
        </w:rPr>
        <w:t>年中调减伙食补助经费，津贴补贴，绩效奖金，导致预决算产生差异</w:t>
      </w:r>
      <w:r>
        <w:rPr>
          <w:rFonts w:ascii="仿宋_GB2312" w:hAnsi="仿宋_GB2312" w:eastAsia="仿宋_GB2312"/>
          <w:b w:val="0"/>
          <w:sz w:val="32"/>
        </w:rPr>
        <w:t>。</w:t>
      </w:r>
    </w:p>
    <w:p w14:paraId="13A59959">
      <w:pPr>
        <w:spacing w:line="640" w:lineRule="exact"/>
        <w:ind w:firstLine="640"/>
        <w:jc w:val="both"/>
        <w:outlineLvl w:val="2"/>
      </w:pPr>
      <w:r>
        <w:rPr>
          <w:rFonts w:ascii="黑体" w:hAnsi="黑体" w:eastAsia="黑体"/>
          <w:sz w:val="32"/>
        </w:rPr>
        <w:t>五、一般公共预算财政拨款支出决算情况说明</w:t>
      </w:r>
    </w:p>
    <w:p w14:paraId="028C1FD9">
      <w:pPr>
        <w:spacing w:line="640" w:lineRule="exact"/>
        <w:ind w:firstLine="640"/>
        <w:jc w:val="both"/>
        <w:outlineLvl w:val="3"/>
      </w:pPr>
      <w:r>
        <w:rPr>
          <w:rFonts w:ascii="楷体_GB2312" w:hAnsi="楷体_GB2312" w:eastAsia="楷体_GB2312"/>
          <w:b/>
          <w:sz w:val="32"/>
        </w:rPr>
        <w:t>（一）一般公共预算财政拨款支出决算总体情况</w:t>
      </w:r>
    </w:p>
    <w:p w14:paraId="1EDF0F7E">
      <w:pPr>
        <w:spacing w:line="580" w:lineRule="exact"/>
        <w:ind w:firstLine="640"/>
        <w:jc w:val="both"/>
      </w:pPr>
      <w:r>
        <w:rPr>
          <w:rFonts w:ascii="仿宋_GB2312" w:hAnsi="仿宋_GB2312" w:eastAsia="仿宋_GB2312"/>
          <w:b/>
          <w:sz w:val="32"/>
        </w:rPr>
        <w:t>2024年度一般公共预算财政拨款支出2,540.43万元，</w:t>
      </w:r>
      <w:r>
        <w:rPr>
          <w:rFonts w:ascii="仿宋_GB2312" w:hAnsi="仿宋_GB2312" w:eastAsia="仿宋_GB2312"/>
          <w:b w:val="0"/>
          <w:sz w:val="32"/>
        </w:rPr>
        <w:t>占本年支出合计的99.11%。</w:t>
      </w:r>
      <w:r>
        <w:rPr>
          <w:rFonts w:ascii="仿宋_GB2312" w:hAnsi="仿宋_GB2312" w:eastAsia="仿宋_GB2312"/>
          <w:b/>
          <w:sz w:val="32"/>
        </w:rPr>
        <w:t>与上年相比，</w:t>
      </w:r>
      <w:r>
        <w:rPr>
          <w:rFonts w:ascii="仿宋_GB2312" w:hAnsi="仿宋_GB2312" w:eastAsia="仿宋_GB2312"/>
          <w:b w:val="0"/>
          <w:sz w:val="32"/>
        </w:rPr>
        <w:t>减少542.55万元，下降17.60%，主要原因是：本年中央转移支付资金项目经费及司法救助金项目经费较上年减少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减少伙食补助经费，上年补发津贴补贴，绩效奖金，本年正常发放</w:t>
      </w:r>
      <w:r>
        <w:rPr>
          <w:rFonts w:ascii="仿宋_GB2312" w:hAnsi="仿宋_GB2312" w:eastAsia="仿宋_GB2312"/>
          <w:b w:val="0"/>
          <w:sz w:val="32"/>
        </w:rPr>
        <w:t>，导致人员经费较上年减少。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年初预算数2,601.50万元，决算数2,540.43万元，预决算差异率-2.35%，主要原因是：</w:t>
      </w:r>
      <w:r>
        <w:rPr>
          <w:rFonts w:hint="eastAsia" w:ascii="仿宋_GB2312" w:hAnsi="仿宋_GB2312" w:eastAsia="仿宋_GB2312"/>
          <w:b w:val="0"/>
          <w:sz w:val="32"/>
          <w:lang w:val="en-US" w:eastAsia="zh-CN"/>
        </w:rPr>
        <w:t>年中调减伙食补助经费，津贴补贴，绩效奖金，导致预决算产生差异</w:t>
      </w:r>
      <w:r>
        <w:rPr>
          <w:rFonts w:ascii="仿宋_GB2312" w:hAnsi="仿宋_GB2312" w:eastAsia="仿宋_GB2312"/>
          <w:b w:val="0"/>
          <w:sz w:val="32"/>
        </w:rPr>
        <w:t>。</w:t>
      </w:r>
    </w:p>
    <w:p w14:paraId="04FA3D71">
      <w:pPr>
        <w:spacing w:line="640" w:lineRule="exact"/>
        <w:ind w:firstLine="640"/>
        <w:jc w:val="both"/>
        <w:outlineLvl w:val="3"/>
      </w:pPr>
      <w:r>
        <w:rPr>
          <w:rFonts w:ascii="楷体_GB2312" w:hAnsi="楷体_GB2312" w:eastAsia="楷体_GB2312"/>
          <w:b/>
          <w:sz w:val="32"/>
        </w:rPr>
        <w:t>（二）一般公共预算财政拨款支出决算结构情况</w:t>
      </w:r>
    </w:p>
    <w:p w14:paraId="7FF574CA">
      <w:pPr>
        <w:spacing w:line="580" w:lineRule="exact"/>
        <w:ind w:firstLine="640"/>
        <w:jc w:val="both"/>
      </w:pPr>
      <w:r>
        <w:rPr>
          <w:rFonts w:ascii="仿宋_GB2312" w:hAnsi="仿宋_GB2312" w:eastAsia="仿宋_GB2312"/>
          <w:b w:val="0"/>
          <w:sz w:val="32"/>
        </w:rPr>
        <w:t>1.公共安全支出(类)2098.31万元,占82.60%。</w:t>
      </w:r>
    </w:p>
    <w:p w14:paraId="267FCFBE">
      <w:pPr>
        <w:spacing w:line="580" w:lineRule="exact"/>
        <w:ind w:firstLine="640"/>
        <w:jc w:val="both"/>
      </w:pPr>
      <w:r>
        <w:rPr>
          <w:rFonts w:ascii="仿宋_GB2312" w:hAnsi="仿宋_GB2312" w:eastAsia="仿宋_GB2312"/>
          <w:b w:val="0"/>
          <w:sz w:val="32"/>
        </w:rPr>
        <w:t>2.社会保障和就业支出(类)229.34万元,占9.03%。</w:t>
      </w:r>
    </w:p>
    <w:p w14:paraId="23FC1DDB">
      <w:pPr>
        <w:spacing w:line="580" w:lineRule="exact"/>
        <w:ind w:firstLine="640"/>
        <w:jc w:val="both"/>
      </w:pPr>
      <w:r>
        <w:rPr>
          <w:rFonts w:ascii="仿宋_GB2312" w:hAnsi="仿宋_GB2312" w:eastAsia="仿宋_GB2312"/>
          <w:b w:val="0"/>
          <w:sz w:val="32"/>
        </w:rPr>
        <w:t>3.卫生健康支出(类)84.71万元,占3.33%。</w:t>
      </w:r>
    </w:p>
    <w:p w14:paraId="6E002EE5">
      <w:pPr>
        <w:spacing w:line="580" w:lineRule="exact"/>
        <w:ind w:firstLine="640"/>
        <w:jc w:val="both"/>
      </w:pPr>
      <w:r>
        <w:rPr>
          <w:rFonts w:ascii="仿宋_GB2312" w:hAnsi="仿宋_GB2312" w:eastAsia="仿宋_GB2312"/>
          <w:b w:val="0"/>
          <w:sz w:val="32"/>
        </w:rPr>
        <w:t>4.住房保障支出(类)128.06万元,占5.04%。</w:t>
      </w:r>
    </w:p>
    <w:p w14:paraId="5BEB02A8">
      <w:pPr>
        <w:spacing w:line="640" w:lineRule="exact"/>
        <w:ind w:firstLine="640"/>
        <w:jc w:val="both"/>
        <w:outlineLvl w:val="3"/>
      </w:pPr>
      <w:r>
        <w:rPr>
          <w:rFonts w:ascii="楷体_GB2312" w:hAnsi="楷体_GB2312" w:eastAsia="楷体_GB2312"/>
          <w:b/>
          <w:sz w:val="32"/>
        </w:rPr>
        <w:t>（三）一般公共预算财政拨款支出决算具体情况</w:t>
      </w:r>
    </w:p>
    <w:p w14:paraId="050B5B71">
      <w:pPr>
        <w:spacing w:line="580" w:lineRule="exact"/>
        <w:ind w:firstLine="640"/>
        <w:jc w:val="both"/>
      </w:pPr>
      <w:r>
        <w:rPr>
          <w:rFonts w:ascii="仿宋_GB2312" w:hAnsi="仿宋_GB2312" w:eastAsia="仿宋_GB2312"/>
          <w:b w:val="0"/>
          <w:sz w:val="32"/>
        </w:rPr>
        <w:t>1.公共安全支出(类)检察(款)行政运行(项):支出决算数为1522.31万元，比上年决算减少109.88万元，下降6.73%,主要原因是：</w:t>
      </w:r>
      <w:r>
        <w:rPr>
          <w:rFonts w:hint="eastAsia" w:ascii="仿宋_GB2312" w:hAnsi="仿宋_GB2312" w:eastAsia="仿宋_GB2312"/>
          <w:b w:val="0"/>
          <w:sz w:val="32"/>
          <w:lang w:val="en-US" w:eastAsia="zh-CN"/>
        </w:rPr>
        <w:t>本年减少伙食补助经费，上年补发津贴补贴，绩效奖金，本年正常发放</w:t>
      </w:r>
      <w:r>
        <w:rPr>
          <w:rFonts w:ascii="仿宋_GB2312" w:hAnsi="仿宋_GB2312" w:eastAsia="仿宋_GB2312"/>
          <w:b w:val="0"/>
          <w:sz w:val="32"/>
        </w:rPr>
        <w:t>，导致人员经费较上年减少。</w:t>
      </w:r>
    </w:p>
    <w:p w14:paraId="5121D3AF">
      <w:pPr>
        <w:spacing w:line="580" w:lineRule="exact"/>
        <w:ind w:firstLine="640"/>
        <w:jc w:val="both"/>
      </w:pPr>
      <w:r>
        <w:rPr>
          <w:rFonts w:ascii="仿宋_GB2312" w:hAnsi="仿宋_GB2312" w:eastAsia="仿宋_GB2312"/>
          <w:b w:val="0"/>
          <w:sz w:val="32"/>
        </w:rPr>
        <w:t>2.公共安全支出(类)检察(款)一般行政管理事务(项):支出决算数为12万元，比上年决算增加0.00万元，增长0.00%,主要原因是：本年</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工作队经费与上年一致，无变动。</w:t>
      </w:r>
    </w:p>
    <w:p w14:paraId="1208047E">
      <w:pPr>
        <w:spacing w:line="580" w:lineRule="exact"/>
        <w:ind w:firstLine="640"/>
        <w:jc w:val="both"/>
      </w:pPr>
      <w:r>
        <w:rPr>
          <w:rFonts w:ascii="仿宋_GB2312" w:hAnsi="仿宋_GB2312" w:eastAsia="仿宋_GB2312"/>
          <w:b w:val="0"/>
          <w:sz w:val="32"/>
        </w:rPr>
        <w:t>3.公共安全支出(类)检察(款)其他检察支出(项):支出决算数为564万元，比上年决算减少361.70万元，下降39.07%,主要原因是：本年中央转移支付资金项目经费及司法救助金项目经费较上年减少。</w:t>
      </w:r>
    </w:p>
    <w:p w14:paraId="5387149D">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4.社会保障和就业支出(类)行政事业单位养老支出(款)行政单位离退休(项):支出决算数为77.89万元，比上年决算增加13.70万元，增长21.34%,主要原因是：本年退休人员增加，</w:t>
      </w:r>
      <w:r>
        <w:rPr>
          <w:rFonts w:hint="eastAsia" w:ascii="仿宋_GB2312" w:hAnsi="仿宋_GB2312" w:eastAsia="仿宋_GB2312"/>
          <w:b w:val="0"/>
          <w:sz w:val="32"/>
          <w:lang w:val="en-US" w:eastAsia="zh-CN"/>
        </w:rPr>
        <w:t>发放退休人员绩效</w:t>
      </w:r>
      <w:r>
        <w:rPr>
          <w:rFonts w:ascii="仿宋_GB2312" w:hAnsi="仿宋_GB2312" w:eastAsia="仿宋_GB2312"/>
          <w:b w:val="0"/>
          <w:sz w:val="32"/>
        </w:rPr>
        <w:t>，退休费支出增加。</w:t>
      </w:r>
    </w:p>
    <w:p w14:paraId="0744B25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132.64万元，比上年决算增加5.33万元，增长4.19%,主要原因是：本年在职人员增加，在职人员工资基数调增，养老缴费基数上涨，养老保险缴费较上年增加。</w:t>
      </w:r>
    </w:p>
    <w:p w14:paraId="7E63A572">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18.82万元，比上年决算减少33.25万元，下降63.86%,主要原因是：本年新增退休人数较上年减少，职业年金缴费较上年减少。</w:t>
      </w:r>
    </w:p>
    <w:p w14:paraId="2D8677E2">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7.社会保障和就业支出(类)抚恤(款)死亡抚恤(项):支出决算数为0.00万元，比上年决算减少89.76万元，下降100.00%,主要原因是：本年无新增死亡人员，死亡抚恤支出较上年减少。</w:t>
      </w:r>
    </w:p>
    <w:p w14:paraId="5D4DFB3C">
      <w:pPr>
        <w:spacing w:line="580" w:lineRule="exact"/>
        <w:ind w:firstLine="640"/>
        <w:jc w:val="both"/>
      </w:pPr>
      <w:r>
        <w:rPr>
          <w:rFonts w:ascii="仿宋_GB2312" w:hAnsi="仿宋_GB2312" w:eastAsia="仿宋_GB2312"/>
          <w:b w:val="0"/>
          <w:sz w:val="32"/>
        </w:rPr>
        <w:t>8.卫生健康支出(类)行政事业单位医疗(款)行政单位医疗(项):支出决算数为58.03万元，比上年决算增加2.00万元，增长3.57%,主要原因是：本年在职人员增加，在职人员工资基数调增，医疗缴费基数上涨，行政单位医疗较上年增加。</w:t>
      </w:r>
    </w:p>
    <w:p w14:paraId="490A2722">
      <w:pPr>
        <w:spacing w:line="580" w:lineRule="exact"/>
        <w:ind w:firstLine="640"/>
        <w:jc w:val="both"/>
      </w:pPr>
      <w:r>
        <w:rPr>
          <w:rFonts w:ascii="仿宋_GB2312" w:hAnsi="仿宋_GB2312" w:eastAsia="仿宋_GB2312"/>
          <w:b w:val="0"/>
          <w:sz w:val="32"/>
        </w:rPr>
        <w:t>9.卫生健康支出(类)行政事业单位医疗(款)公务员医疗补助(项):支出决算数为24.87万元，比上年决算增加0.84万元，增长3.50%,主要原因是：本年在职人员增加，在职人员工资基数调增，医疗缴费基数上涨，公务员医疗补助较上年增加。</w:t>
      </w:r>
    </w:p>
    <w:p w14:paraId="2860D15A">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10.卫生健康支出(类)行政事业单位医疗(款)其他行政事业单位医疗支出(项):支出决算数为1.82万元，比上年决算减少1.10万元，下降37.67%,主要原因是：</w:t>
      </w:r>
      <w:r>
        <w:rPr>
          <w:rFonts w:hint="eastAsia" w:ascii="仿宋_GB2312" w:hAnsi="仿宋_GB2312" w:eastAsia="仿宋_GB2312"/>
          <w:b w:val="0"/>
          <w:sz w:val="32"/>
        </w:rPr>
        <w:t>因退休人员医疗保险制度改革，退休人员基本医疗不再由单位缴纳，导致经费较上年减少</w:t>
      </w:r>
      <w:r>
        <w:rPr>
          <w:rFonts w:ascii="仿宋_GB2312" w:hAnsi="仿宋_GB2312" w:eastAsia="仿宋_GB2312"/>
          <w:b w:val="0"/>
          <w:sz w:val="32"/>
        </w:rPr>
        <w:t>。</w:t>
      </w:r>
    </w:p>
    <w:p w14:paraId="33158892">
      <w:pPr>
        <w:spacing w:line="580" w:lineRule="exact"/>
        <w:ind w:firstLine="640"/>
        <w:jc w:val="both"/>
      </w:pPr>
      <w:r>
        <w:rPr>
          <w:rFonts w:ascii="仿宋_GB2312" w:hAnsi="仿宋_GB2312" w:eastAsia="仿宋_GB2312"/>
          <w:b w:val="0"/>
          <w:sz w:val="32"/>
        </w:rPr>
        <w:t>11.住房保障支出(类)住房改革支出(款)住房公积金(项):支出决算数为128.06万元，比上年决算增加31.29万元，增长32.33%,主要原因是：本年在职人员增加，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住房公积金支出较上年增加。</w:t>
      </w:r>
    </w:p>
    <w:p w14:paraId="79CEA974">
      <w:pPr>
        <w:spacing w:line="640" w:lineRule="exact"/>
        <w:ind w:firstLine="640"/>
        <w:jc w:val="both"/>
        <w:outlineLvl w:val="2"/>
      </w:pPr>
      <w:r>
        <w:rPr>
          <w:rFonts w:ascii="黑体" w:hAnsi="黑体" w:eastAsia="黑体"/>
          <w:sz w:val="32"/>
        </w:rPr>
        <w:t>六、一般公共预算财政拨款基本支出决算情况说明</w:t>
      </w:r>
    </w:p>
    <w:p w14:paraId="286E5933">
      <w:pPr>
        <w:spacing w:line="580" w:lineRule="exact"/>
        <w:ind w:firstLine="640"/>
        <w:jc w:val="both"/>
      </w:pPr>
      <w:r>
        <w:rPr>
          <w:rFonts w:ascii="仿宋_GB2312" w:hAnsi="仿宋_GB2312" w:eastAsia="仿宋_GB2312"/>
          <w:b w:val="0"/>
          <w:sz w:val="32"/>
        </w:rPr>
        <w:t>2024年度一般公共预算财政拨款基本支出1,964.43万元，其中：</w:t>
      </w:r>
      <w:r>
        <w:rPr>
          <w:rFonts w:ascii="仿宋_GB2312" w:hAnsi="仿宋_GB2312" w:eastAsia="仿宋_GB2312"/>
          <w:b/>
          <w:sz w:val="32"/>
        </w:rPr>
        <w:t>人员经费1,788.09万元，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生活补助、奖励金。</w:t>
      </w:r>
    </w:p>
    <w:p w14:paraId="6CDE3EC6">
      <w:pPr>
        <w:spacing w:line="580" w:lineRule="exact"/>
        <w:ind w:firstLine="640"/>
        <w:jc w:val="both"/>
      </w:pPr>
      <w:r>
        <w:rPr>
          <w:rFonts w:ascii="仿宋_GB2312" w:hAnsi="仿宋_GB2312" w:eastAsia="仿宋_GB2312"/>
          <w:b/>
          <w:sz w:val="32"/>
        </w:rPr>
        <w:t>公用经费176.34万元，</w:t>
      </w:r>
      <w:r>
        <w:rPr>
          <w:rFonts w:ascii="仿宋_GB2312" w:hAnsi="仿宋_GB2312" w:eastAsia="仿宋_GB2312"/>
          <w:b w:val="0"/>
          <w:sz w:val="32"/>
        </w:rPr>
        <w:t>包括：办公费、水费、电费、取暖费、物业管理费、差旅费、公务接待费、劳务费、工会经费、福利费、公务用车运行维护费、其他商品和服务支出。</w:t>
      </w:r>
    </w:p>
    <w:p w14:paraId="5F51C91D">
      <w:pPr>
        <w:spacing w:line="640" w:lineRule="exact"/>
        <w:ind w:firstLine="640"/>
        <w:jc w:val="both"/>
        <w:outlineLvl w:val="2"/>
      </w:pPr>
      <w:r>
        <w:rPr>
          <w:rFonts w:ascii="黑体" w:hAnsi="黑体" w:eastAsia="黑体"/>
          <w:sz w:val="32"/>
        </w:rPr>
        <w:t>七、政府性基金预算财政拨款收入支出决算情况说明</w:t>
      </w:r>
    </w:p>
    <w:p w14:paraId="56A2AB6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099A07BF">
      <w:pPr>
        <w:spacing w:line="640" w:lineRule="exact"/>
        <w:ind w:firstLine="640"/>
        <w:jc w:val="both"/>
        <w:outlineLvl w:val="2"/>
      </w:pPr>
      <w:r>
        <w:rPr>
          <w:rFonts w:ascii="黑体" w:hAnsi="黑体" w:eastAsia="黑体"/>
          <w:sz w:val="32"/>
        </w:rPr>
        <w:t>八、国有资本经营预算财政拨款收入支出决算情况说明</w:t>
      </w:r>
    </w:p>
    <w:p w14:paraId="41C29D8D">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69A19C6">
      <w:pPr>
        <w:spacing w:line="640" w:lineRule="exact"/>
        <w:ind w:firstLine="640"/>
        <w:jc w:val="both"/>
        <w:outlineLvl w:val="2"/>
      </w:pPr>
      <w:r>
        <w:rPr>
          <w:rFonts w:ascii="黑体" w:hAnsi="黑体" w:eastAsia="黑体"/>
          <w:sz w:val="32"/>
        </w:rPr>
        <w:t>九、财政拨款“三公”经费支出决算情况说明</w:t>
      </w:r>
    </w:p>
    <w:p w14:paraId="00D543ED">
      <w:pPr>
        <w:spacing w:line="580" w:lineRule="exact"/>
        <w:ind w:firstLine="640"/>
        <w:jc w:val="both"/>
      </w:pPr>
      <w:r>
        <w:rPr>
          <w:rFonts w:ascii="仿宋_GB2312" w:hAnsi="仿宋_GB2312" w:eastAsia="仿宋_GB2312"/>
          <w:b/>
          <w:sz w:val="32"/>
        </w:rPr>
        <w:t>2024年度财政拨款“三公”经费支出44.80万元，</w:t>
      </w:r>
      <w:r>
        <w:rPr>
          <w:rFonts w:ascii="仿宋_GB2312" w:hAnsi="仿宋_GB2312" w:eastAsia="仿宋_GB2312"/>
          <w:b w:val="0"/>
          <w:sz w:val="32"/>
        </w:rPr>
        <w:t>比上年减少0.65万元，下降1.43%，主要原因是：严格落实中央八项规定精神，厉行节约，减少公务用车运行维护费；采取有效措施加强公务接待管理，严格控制公务接待活动，认真执行经费开支标准，减少公务接待运行成本费用。其中：因公出国（境）费支出0.00万元，占0.00%，比上年增加0.00万元，增长0.00%，主要原因是：2023年与2024年均未安排因公出国（境）费支出。公务用车购置及运行维护费支出43.00万元，占95.98%，比上年减少0.55万元，下降1.26%，主要原因是：严格落实中央八项规定精神，厉行节约，减少公务用车运行维护费。公务接待费支出1.80万元，占4.02%，比上年减少0.10万元，下降5.26%，主要原因是：采取有效措施加强公务接待管理，严格控制公务接待活动，认真执行经费开支标准，减少公务接待运行成本费用。</w:t>
      </w:r>
    </w:p>
    <w:p w14:paraId="38F9C941">
      <w:pPr>
        <w:spacing w:line="580" w:lineRule="exact"/>
        <w:ind w:firstLine="640"/>
        <w:jc w:val="both"/>
      </w:pPr>
      <w:r>
        <w:rPr>
          <w:rFonts w:ascii="仿宋_GB2312" w:hAnsi="仿宋_GB2312" w:eastAsia="仿宋_GB2312"/>
          <w:b/>
          <w:sz w:val="32"/>
        </w:rPr>
        <w:t>具体情况如下：</w:t>
      </w:r>
    </w:p>
    <w:p w14:paraId="07703B26">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22B02046">
      <w:pPr>
        <w:spacing w:line="580" w:lineRule="exact"/>
        <w:ind w:firstLine="640"/>
        <w:jc w:val="both"/>
      </w:pPr>
      <w:r>
        <w:rPr>
          <w:rFonts w:ascii="仿宋_GB2312" w:hAnsi="仿宋_GB2312" w:eastAsia="仿宋_GB2312"/>
          <w:b w:val="0"/>
          <w:sz w:val="32"/>
        </w:rPr>
        <w:t>公务用车购置及运行维护费43.00万元，其中：公务用车购置费0.00万元，公务用车运行维护费43.00万元。公务用车运行维护费开支内容包括车辆加油费、维修费、保险费、审车费、过路费。公务用车购置数0辆，公务用车保有量21辆。国有资产占用情况中固定资产车辆21辆，与公务用车保有量差异原因是：本部门固定资产车辆与公务用车保有量一致无差异。</w:t>
      </w:r>
    </w:p>
    <w:p w14:paraId="471B64B2">
      <w:pPr>
        <w:spacing w:line="580" w:lineRule="exact"/>
        <w:ind w:firstLine="640"/>
        <w:jc w:val="both"/>
      </w:pPr>
      <w:r>
        <w:rPr>
          <w:rFonts w:ascii="仿宋_GB2312" w:hAnsi="仿宋_GB2312" w:eastAsia="仿宋_GB2312"/>
          <w:b w:val="0"/>
          <w:sz w:val="32"/>
        </w:rPr>
        <w:t>公务接待费1.80万元，开支内容包括接待到本院检查指导、考察调研、执行任务、交流学习产生的就餐费。部门全年安排的国内公务接待18批次，200人次。</w:t>
      </w:r>
    </w:p>
    <w:p w14:paraId="2546679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44.80万元，决算数44.80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43.00万元，决算数43.00万元，预决算差异率0.00%，主要原因是：严格按照预算执行，预决算无差异。公务接待费全年预算数1.80万元，决算数1.80万元，预决算差异率0.00%，主要原因是：严格按照预算执行，预决算无差异。</w:t>
      </w:r>
    </w:p>
    <w:p w14:paraId="2A06ABD2">
      <w:pPr>
        <w:spacing w:line="640" w:lineRule="exact"/>
        <w:ind w:firstLine="640"/>
        <w:jc w:val="both"/>
        <w:outlineLvl w:val="2"/>
      </w:pPr>
      <w:r>
        <w:rPr>
          <w:rFonts w:ascii="黑体" w:hAnsi="黑体" w:eastAsia="黑体"/>
          <w:sz w:val="32"/>
        </w:rPr>
        <w:t>十、其他重要事项的情况说明</w:t>
      </w:r>
    </w:p>
    <w:p w14:paraId="26CDFB6A">
      <w:pPr>
        <w:spacing w:line="640" w:lineRule="exact"/>
        <w:ind w:firstLine="640"/>
        <w:jc w:val="both"/>
        <w:outlineLvl w:val="3"/>
      </w:pPr>
      <w:r>
        <w:rPr>
          <w:rFonts w:ascii="楷体_GB2312" w:hAnsi="楷体_GB2312" w:eastAsia="楷体_GB2312"/>
          <w:b/>
          <w:sz w:val="32"/>
        </w:rPr>
        <w:t>（一）机关运行经费及公用经费支出情况</w:t>
      </w:r>
    </w:p>
    <w:p w14:paraId="7A8D2010">
      <w:pPr>
        <w:spacing w:line="580" w:lineRule="exact"/>
        <w:ind w:firstLine="640"/>
        <w:jc w:val="both"/>
      </w:pPr>
      <w:r>
        <w:rPr>
          <w:rFonts w:ascii="仿宋_GB2312" w:hAnsi="仿宋_GB2312" w:eastAsia="仿宋_GB2312"/>
          <w:b w:val="0"/>
          <w:sz w:val="32"/>
        </w:rPr>
        <w:t>2024年度巴音郭楞蒙古自治州人民检察院（行政单位和参照公务员法管理事业单位）机关运行经费支出176.34万元，比上年增加11.78万元，增长7.16%，主要原因是：本年取暖费及差旅费增加，导致机关运行经费增加。</w:t>
      </w:r>
    </w:p>
    <w:p w14:paraId="5A56B75D">
      <w:pPr>
        <w:spacing w:line="640" w:lineRule="exact"/>
        <w:ind w:firstLine="640"/>
        <w:jc w:val="both"/>
        <w:outlineLvl w:val="3"/>
      </w:pPr>
      <w:r>
        <w:rPr>
          <w:rFonts w:ascii="楷体_GB2312" w:hAnsi="楷体_GB2312" w:eastAsia="楷体_GB2312"/>
          <w:b/>
          <w:sz w:val="32"/>
        </w:rPr>
        <w:t>（二）政府采购情况</w:t>
      </w:r>
    </w:p>
    <w:p w14:paraId="69C58926">
      <w:pPr>
        <w:spacing w:line="580" w:lineRule="exact"/>
        <w:ind w:firstLine="640"/>
        <w:jc w:val="both"/>
      </w:pPr>
      <w:r>
        <w:rPr>
          <w:rFonts w:ascii="仿宋_GB2312" w:hAnsi="仿宋_GB2312" w:eastAsia="仿宋_GB2312"/>
          <w:b w:val="0"/>
          <w:sz w:val="32"/>
        </w:rPr>
        <w:t>2024年度政府采购支出总额88.53万元，其中：政府采购货物支出65.13万元、政府采购工程支出7.94万元、政府采购服务支出15.45万元。</w:t>
      </w:r>
    </w:p>
    <w:p w14:paraId="75614D71">
      <w:pPr>
        <w:spacing w:line="580" w:lineRule="exact"/>
        <w:ind w:firstLine="640"/>
        <w:jc w:val="both"/>
      </w:pPr>
      <w:r>
        <w:rPr>
          <w:rFonts w:ascii="仿宋_GB2312" w:hAnsi="仿宋_GB2312" w:eastAsia="仿宋_GB2312"/>
          <w:b w:val="0"/>
          <w:sz w:val="32"/>
        </w:rPr>
        <w:t>授予中小企业合同金额88.53万元，占政府采购支出总额的100.00%，其中：授予小微企业合同金额85.73万元，占政府采购支出总额的96.84%。</w:t>
      </w:r>
    </w:p>
    <w:p w14:paraId="627645FA">
      <w:pPr>
        <w:spacing w:line="640" w:lineRule="exact"/>
        <w:ind w:firstLine="640"/>
        <w:jc w:val="both"/>
        <w:outlineLvl w:val="3"/>
      </w:pPr>
      <w:r>
        <w:rPr>
          <w:rFonts w:ascii="楷体_GB2312" w:hAnsi="楷体_GB2312" w:eastAsia="楷体_GB2312"/>
          <w:b/>
          <w:sz w:val="32"/>
        </w:rPr>
        <w:t>（三）国有资产占用情况说明</w:t>
      </w:r>
    </w:p>
    <w:p w14:paraId="569C4FB4">
      <w:pPr>
        <w:spacing w:line="580" w:lineRule="exact"/>
        <w:ind w:firstLine="640"/>
        <w:jc w:val="both"/>
      </w:pPr>
      <w:r>
        <w:rPr>
          <w:rFonts w:ascii="仿宋_GB2312" w:hAnsi="仿宋_GB2312" w:eastAsia="仿宋_GB2312"/>
          <w:b w:val="0"/>
          <w:sz w:val="32"/>
        </w:rPr>
        <w:t>截至2024年12月31日，房屋14,131.76平方米，价值4,141.64万元。车辆21辆，价值528.18万元，其中：副部（省）级及以上领导用车0辆、主要负责人用车2辆、机要通信用车0辆、应急保障用车0辆、执法执勤用车14辆、特种专业技术用车5辆、离退休干部服务用车0辆、其他用车0辆，其他用车主要是：本部门无其他用车。单价100万元（含）以上设备（不含车辆）0台（套）。</w:t>
      </w:r>
    </w:p>
    <w:p w14:paraId="4AE0110C">
      <w:pPr>
        <w:spacing w:line="640" w:lineRule="exact"/>
        <w:ind w:firstLine="640"/>
        <w:jc w:val="both"/>
        <w:outlineLvl w:val="2"/>
      </w:pPr>
      <w:r>
        <w:rPr>
          <w:rFonts w:ascii="黑体" w:hAnsi="黑体" w:eastAsia="黑体"/>
          <w:sz w:val="32"/>
        </w:rPr>
        <w:t>十一、预算绩效的情况说明</w:t>
      </w:r>
    </w:p>
    <w:p w14:paraId="228CD1E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根据预算绩效管理要求，本部门2024年度预算绩效管理形成整体支出绩效自评表1个，全年预算总额2,567.04万元，实际执行总额2,563.12万元；预算绩效评价项目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591</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587</w:t>
      </w:r>
      <w:r>
        <w:rPr>
          <w:rFonts w:ascii="仿宋_GB2312" w:hAnsi="仿宋_GB2312" w:eastAsia="仿宋_GB2312"/>
          <w:b w:val="0"/>
          <w:sz w:val="32"/>
        </w:rPr>
        <w:t>.30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74BA677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7B1BF12">
        <w:tblPrEx>
          <w:tblCellMar>
            <w:top w:w="0" w:type="dxa"/>
            <w:left w:w="108" w:type="dxa"/>
            <w:bottom w:w="0" w:type="dxa"/>
            <w:right w:w="108" w:type="dxa"/>
          </w:tblCellMar>
        </w:tblPrEx>
        <w:tc>
          <w:tcPr>
            <w:tcW w:w="8840" w:type="dxa"/>
            <w:gridSpan w:val="8"/>
            <w:vAlign w:val="center"/>
          </w:tcPr>
          <w:p w14:paraId="39B5ADC4">
            <w:pPr>
              <w:jc w:val="center"/>
            </w:pPr>
            <w:r>
              <w:rPr>
                <w:rFonts w:ascii="宋体" w:hAnsi="宋体" w:eastAsia="宋体"/>
                <w:sz w:val="24"/>
              </w:rPr>
              <w:t>部门整体支出绩效自评表</w:t>
            </w:r>
          </w:p>
        </w:tc>
      </w:tr>
      <w:tr w14:paraId="51986C6E">
        <w:tblPrEx>
          <w:tblCellMar>
            <w:top w:w="0" w:type="dxa"/>
            <w:left w:w="108" w:type="dxa"/>
            <w:bottom w:w="0" w:type="dxa"/>
            <w:right w:w="108" w:type="dxa"/>
          </w:tblCellMar>
        </w:tblPrEx>
        <w:tc>
          <w:tcPr>
            <w:tcW w:w="8840" w:type="dxa"/>
            <w:gridSpan w:val="8"/>
            <w:vAlign w:val="center"/>
          </w:tcPr>
          <w:p w14:paraId="1932EDBD">
            <w:pPr>
              <w:jc w:val="center"/>
            </w:pPr>
            <w:r>
              <w:rPr>
                <w:rFonts w:ascii="宋体" w:hAnsi="宋体" w:eastAsia="宋体"/>
                <w:sz w:val="24"/>
              </w:rPr>
              <w:t>（2024年度）</w:t>
            </w:r>
          </w:p>
        </w:tc>
      </w:tr>
      <w:tr w14:paraId="4C56E0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2856B">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9B9BF">
            <w:pPr>
              <w:jc w:val="center"/>
            </w:pPr>
            <w:r>
              <w:rPr>
                <w:rFonts w:ascii="宋体" w:hAnsi="宋体" w:eastAsia="宋体"/>
                <w:sz w:val="16"/>
              </w:rPr>
              <w:t>巴音郭楞蒙古自治州人民检察院</w:t>
            </w:r>
          </w:p>
        </w:tc>
      </w:tr>
      <w:tr w14:paraId="65D1D8B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F433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47CAF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8BAA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DEA2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A5BF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D63D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ADC1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BB4B6">
            <w:pPr>
              <w:jc w:val="center"/>
            </w:pPr>
            <w:r>
              <w:rPr>
                <w:rFonts w:ascii="宋体" w:hAnsi="宋体" w:eastAsia="宋体"/>
                <w:sz w:val="16"/>
              </w:rPr>
              <w:t>得分</w:t>
            </w:r>
          </w:p>
        </w:tc>
      </w:tr>
      <w:tr w14:paraId="1A84BD2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1A14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D88C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44DEB">
            <w:pPr>
              <w:jc w:val="center"/>
            </w:pPr>
            <w:r>
              <w:rPr>
                <w:rFonts w:ascii="宋体" w:hAnsi="宋体" w:eastAsia="宋体"/>
                <w:sz w:val="16"/>
              </w:rPr>
              <w:t>2,616.50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CD836F">
            <w:pPr>
              <w:jc w:val="center"/>
            </w:pPr>
            <w:r>
              <w:rPr>
                <w:rFonts w:ascii="宋体" w:hAnsi="宋体" w:eastAsia="宋体"/>
                <w:sz w:val="16"/>
              </w:rPr>
              <w:t>2,567.04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3A793">
            <w:pPr>
              <w:jc w:val="center"/>
            </w:pPr>
            <w:r>
              <w:rPr>
                <w:rFonts w:ascii="宋体" w:hAnsi="宋体" w:eastAsia="宋体"/>
                <w:sz w:val="16"/>
              </w:rPr>
              <w:t>2,563.12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E53B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46770">
            <w:pPr>
              <w:jc w:val="center"/>
            </w:pPr>
            <w:r>
              <w:rPr>
                <w:rFonts w:ascii="宋体" w:hAnsi="宋体" w:eastAsia="宋体"/>
                <w:sz w:val="16"/>
              </w:rPr>
              <w:t>99.85%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A2EB3A">
            <w:pPr>
              <w:jc w:val="center"/>
            </w:pPr>
            <w:r>
              <w:rPr>
                <w:rFonts w:ascii="宋体" w:hAnsi="宋体" w:eastAsia="宋体"/>
                <w:sz w:val="16"/>
              </w:rPr>
              <w:t>9.99</w:t>
            </w:r>
          </w:p>
        </w:tc>
      </w:tr>
      <w:tr w14:paraId="4F1B5FB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A068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2557D">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12F636">
            <w:pPr>
              <w:jc w:val="center"/>
            </w:pPr>
            <w:r>
              <w:rPr>
                <w:rFonts w:ascii="宋体" w:hAnsi="宋体" w:eastAsia="宋体"/>
                <w:sz w:val="16"/>
              </w:rPr>
              <w:t>422.00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17AF7">
            <w:pPr>
              <w:jc w:val="center"/>
            </w:pPr>
            <w:r>
              <w:rPr>
                <w:rFonts w:ascii="宋体" w:hAnsi="宋体" w:eastAsia="宋体"/>
                <w:sz w:val="16"/>
              </w:rPr>
              <w:t>564.00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2853F8">
            <w:pPr>
              <w:jc w:val="center"/>
            </w:pPr>
            <w:r>
              <w:rPr>
                <w:rFonts w:ascii="宋体" w:hAnsi="宋体" w:eastAsia="宋体"/>
                <w:sz w:val="16"/>
              </w:rPr>
              <w:t>564.00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A37B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057B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D7FA7">
            <w:pPr>
              <w:jc w:val="center"/>
            </w:pPr>
            <w:r>
              <w:rPr>
                <w:rFonts w:ascii="宋体" w:hAnsi="宋体" w:eastAsia="宋体"/>
                <w:sz w:val="16"/>
              </w:rPr>
              <w:t>-</w:t>
            </w:r>
          </w:p>
        </w:tc>
      </w:tr>
      <w:tr w14:paraId="11270A4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DE83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3A1B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9697A">
            <w:pPr>
              <w:jc w:val="center"/>
            </w:pPr>
            <w:r>
              <w:rPr>
                <w:rFonts w:ascii="宋体" w:hAnsi="宋体" w:eastAsia="宋体"/>
                <w:sz w:val="16"/>
              </w:rPr>
              <w:t>2,179.50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43F63">
            <w:pPr>
              <w:jc w:val="center"/>
            </w:pPr>
            <w:r>
              <w:rPr>
                <w:rFonts w:ascii="宋体" w:hAnsi="宋体" w:eastAsia="宋体"/>
                <w:sz w:val="16"/>
              </w:rPr>
              <w:t>1,976.66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A8FB5">
            <w:pPr>
              <w:jc w:val="center"/>
            </w:pPr>
            <w:r>
              <w:rPr>
                <w:rFonts w:ascii="宋体" w:hAnsi="宋体" w:eastAsia="宋体"/>
                <w:sz w:val="16"/>
              </w:rPr>
              <w:t>1,972.74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C6E32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9A84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062BA">
            <w:pPr>
              <w:jc w:val="center"/>
            </w:pPr>
            <w:r>
              <w:rPr>
                <w:rFonts w:ascii="宋体" w:hAnsi="宋体" w:eastAsia="宋体"/>
                <w:sz w:val="16"/>
              </w:rPr>
              <w:t>-</w:t>
            </w:r>
          </w:p>
        </w:tc>
      </w:tr>
      <w:tr w14:paraId="2CB17E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FBEDB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C612C">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D1B8E">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A2679">
            <w:pPr>
              <w:jc w:val="center"/>
            </w:pPr>
            <w:r>
              <w:rPr>
                <w:rFonts w:ascii="宋体" w:hAnsi="宋体" w:eastAsia="宋体"/>
                <w:sz w:val="16"/>
              </w:rPr>
              <w:t>26.38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913B6">
            <w:pPr>
              <w:jc w:val="center"/>
            </w:pPr>
            <w:r>
              <w:rPr>
                <w:rFonts w:ascii="宋体" w:hAnsi="宋体" w:eastAsia="宋体"/>
                <w:sz w:val="16"/>
              </w:rPr>
              <w:t>26.38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F86B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708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4A996">
            <w:pPr>
              <w:jc w:val="center"/>
            </w:pPr>
            <w:r>
              <w:rPr>
                <w:rFonts w:ascii="宋体" w:hAnsi="宋体" w:eastAsia="宋体"/>
                <w:sz w:val="16"/>
              </w:rPr>
              <w:t>-</w:t>
            </w:r>
          </w:p>
        </w:tc>
      </w:tr>
      <w:tr w14:paraId="69BB4FA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1168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A6CAB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33092B">
            <w:pPr>
              <w:jc w:val="center"/>
            </w:pPr>
            <w:r>
              <w:rPr>
                <w:rFonts w:ascii="宋体" w:hAnsi="宋体" w:eastAsia="宋体"/>
                <w:sz w:val="16"/>
              </w:rPr>
              <w:t>实际完成情况</w:t>
            </w:r>
          </w:p>
        </w:tc>
      </w:tr>
      <w:tr w14:paraId="0319F5D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092E2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F3C3C0">
            <w:pPr>
              <w:jc w:val="both"/>
            </w:pPr>
            <w:r>
              <w:rPr>
                <w:rFonts w:ascii="宋体" w:hAnsi="宋体" w:eastAsia="宋体"/>
                <w:sz w:val="16"/>
              </w:rPr>
              <w:t>全面优化刑事检察监督,保障被监管人的合法权益；持续加强民行行政检察监督；大力推进公益诉讼检察 ；不断深化信访工作；打造忠诚干净担当的过硬检察队伍，保障检察业务工作正常运行，保障检察人员专项福利。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DCEC34">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办理案件数7590件，全年办理案件的结案率达到84%，检察建议采纳率达到100%。全面优化刑事检察监督，保障被监管人的合法权益；持续加强民行行政检察监督；大力推进公益诉讼检察；不断深化信访工作，加大对法律援助经费和司法救助资金的投入力度，群众信访案件满意度达到97%。打造忠诚干净担当的过硬检察队伍，保障检察业务工作正常运行。</w:t>
            </w:r>
          </w:p>
        </w:tc>
      </w:tr>
      <w:tr w14:paraId="429CCF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09AE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00FC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AA239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3D82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C4C1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9EA2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B23E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83836">
            <w:pPr>
              <w:jc w:val="center"/>
            </w:pPr>
            <w:r>
              <w:rPr>
                <w:rFonts w:ascii="宋体" w:hAnsi="宋体" w:eastAsia="宋体"/>
                <w:sz w:val="16"/>
              </w:rPr>
              <w:t>得分</w:t>
            </w:r>
          </w:p>
        </w:tc>
      </w:tr>
      <w:tr w14:paraId="0E0ED05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1BD2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8A78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8DBF5">
            <w:pPr>
              <w:jc w:val="center"/>
            </w:pPr>
            <w:r>
              <w:rPr>
                <w:rFonts w:ascii="宋体" w:hAnsi="宋体" w:eastAsia="宋体"/>
                <w:sz w:val="16"/>
              </w:rPr>
              <w:t>全州全年法律监督办案数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74017">
            <w:pPr>
              <w:jc w:val="center"/>
            </w:pPr>
            <w:r>
              <w:rPr>
                <w:rFonts w:ascii="宋体" w:hAnsi="宋体" w:eastAsia="宋体"/>
                <w:sz w:val="16"/>
              </w:rPr>
              <w:t>&gt;=6000件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57DB5">
            <w:pPr>
              <w:jc w:val="center"/>
            </w:pPr>
            <w:r>
              <w:rPr>
                <w:rFonts w:ascii="宋体" w:hAnsi="宋体" w:eastAsia="宋体"/>
                <w:sz w:val="16"/>
              </w:rPr>
              <w:t>巴州人民检察院工作报告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6456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1769CE">
            <w:pPr>
              <w:jc w:val="center"/>
            </w:pPr>
            <w:r>
              <w:rPr>
                <w:rFonts w:ascii="宋体" w:hAnsi="宋体" w:eastAsia="宋体"/>
                <w:sz w:val="16"/>
              </w:rPr>
              <w:t>7590件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974D4">
            <w:pPr>
              <w:jc w:val="center"/>
            </w:pPr>
            <w:r>
              <w:rPr>
                <w:rFonts w:ascii="宋体" w:hAnsi="宋体" w:eastAsia="宋体"/>
                <w:sz w:val="16"/>
              </w:rPr>
              <w:t>30</w:t>
            </w:r>
          </w:p>
        </w:tc>
      </w:tr>
      <w:tr w14:paraId="3B7765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B2C4A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63C9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FCE5B">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CD3C9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0F3C4">
            <w:pPr>
              <w:jc w:val="center"/>
            </w:pPr>
            <w:r>
              <w:rPr>
                <w:rFonts w:ascii="宋体" w:hAnsi="宋体" w:eastAsia="宋体"/>
                <w:sz w:val="16"/>
              </w:rPr>
              <w:t>巴州人民检察院工作报告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F3F2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90E0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24609">
            <w:pPr>
              <w:jc w:val="center"/>
            </w:pPr>
            <w:r>
              <w:rPr>
                <w:rFonts w:ascii="宋体" w:hAnsi="宋体" w:eastAsia="宋体"/>
                <w:sz w:val="16"/>
              </w:rPr>
              <w:t>30</w:t>
            </w:r>
          </w:p>
        </w:tc>
      </w:tr>
      <w:tr w14:paraId="133B9B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886B6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84FA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84AF4">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3AC3D">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4A3FD">
            <w:pPr>
              <w:jc w:val="center"/>
            </w:pPr>
            <w:r>
              <w:rPr>
                <w:rFonts w:ascii="宋体" w:hAnsi="宋体" w:eastAsia="宋体"/>
                <w:sz w:val="16"/>
              </w:rPr>
              <w:t>巴州人民检察院工作报告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64D0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61FDE">
            <w:pPr>
              <w:jc w:val="center"/>
            </w:pPr>
            <w:r>
              <w:rPr>
                <w:rFonts w:ascii="宋体" w:hAnsi="宋体" w:eastAsia="宋体"/>
                <w:sz w:val="16"/>
              </w:rPr>
              <w:t>78.7%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61ACF">
            <w:pPr>
              <w:jc w:val="center"/>
            </w:pPr>
            <w:r>
              <w:rPr>
                <w:rFonts w:ascii="宋体" w:hAnsi="宋体" w:eastAsia="宋体"/>
                <w:sz w:val="16"/>
              </w:rPr>
              <w:t>20</w:t>
            </w:r>
          </w:p>
        </w:tc>
      </w:tr>
      <w:tr w14:paraId="5E2BA2B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F209B">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93675F">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2F5DD">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4CC59">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B7229">
            <w:pPr>
              <w:jc w:val="center"/>
            </w:pPr>
            <w:r>
              <w:rPr>
                <w:rFonts w:ascii="宋体" w:hAnsi="宋体" w:eastAsia="宋体"/>
                <w:sz w:val="16"/>
              </w:rPr>
              <w:t>巴州人民检察院工作报告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2495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4C9A4">
            <w:pPr>
              <w:jc w:val="center"/>
            </w:pPr>
            <w:r>
              <w:rPr>
                <w:rFonts w:ascii="宋体" w:hAnsi="宋体" w:eastAsia="宋体"/>
                <w:sz w:val="16"/>
              </w:rPr>
              <w:t>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ADA35">
            <w:pPr>
              <w:jc w:val="center"/>
            </w:pPr>
            <w:r>
              <w:rPr>
                <w:rFonts w:ascii="宋体" w:hAnsi="宋体" w:eastAsia="宋体"/>
                <w:sz w:val="16"/>
              </w:rPr>
              <w:t>10</w:t>
            </w:r>
          </w:p>
        </w:tc>
      </w:tr>
    </w:tbl>
    <w:p w14:paraId="13DBBE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430B1A5">
        <w:tblPrEx>
          <w:tblCellMar>
            <w:top w:w="0" w:type="dxa"/>
            <w:left w:w="108" w:type="dxa"/>
            <w:bottom w:w="0" w:type="dxa"/>
            <w:right w:w="108" w:type="dxa"/>
          </w:tblCellMar>
        </w:tblPrEx>
        <w:tc>
          <w:tcPr>
            <w:tcW w:w="8848" w:type="dxa"/>
            <w:gridSpan w:val="14"/>
            <w:vAlign w:val="center"/>
          </w:tcPr>
          <w:p w14:paraId="579C18C6">
            <w:pPr>
              <w:jc w:val="center"/>
            </w:pPr>
            <w:r>
              <w:rPr>
                <w:rFonts w:ascii="宋体" w:hAnsi="宋体" w:eastAsia="宋体"/>
                <w:sz w:val="24"/>
              </w:rPr>
              <w:t>项目支出绩效自评表</w:t>
            </w:r>
          </w:p>
        </w:tc>
      </w:tr>
      <w:tr w14:paraId="706B840B">
        <w:tblPrEx>
          <w:tblCellMar>
            <w:top w:w="0" w:type="dxa"/>
            <w:left w:w="108" w:type="dxa"/>
            <w:bottom w:w="0" w:type="dxa"/>
            <w:right w:w="108" w:type="dxa"/>
          </w:tblCellMar>
        </w:tblPrEx>
        <w:tc>
          <w:tcPr>
            <w:tcW w:w="8848" w:type="dxa"/>
            <w:gridSpan w:val="14"/>
            <w:vAlign w:val="center"/>
          </w:tcPr>
          <w:p w14:paraId="06242934">
            <w:pPr>
              <w:jc w:val="center"/>
            </w:pPr>
            <w:r>
              <w:rPr>
                <w:rFonts w:ascii="宋体" w:hAnsi="宋体" w:eastAsia="宋体"/>
                <w:sz w:val="24"/>
              </w:rPr>
              <w:t>(2024年度)</w:t>
            </w:r>
          </w:p>
        </w:tc>
      </w:tr>
      <w:tr w14:paraId="1CA92E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80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8A7872">
            <w:pPr>
              <w:jc w:val="center"/>
            </w:pPr>
            <w:r>
              <w:rPr>
                <w:rFonts w:ascii="宋体" w:hAnsi="宋体" w:eastAsia="宋体"/>
                <w:sz w:val="16"/>
              </w:rPr>
              <w:t>2024</w:t>
            </w:r>
            <w:r>
              <w:rPr>
                <w:rFonts w:hint="eastAsia" w:ascii="宋体" w:hAnsi="宋体"/>
                <w:sz w:val="16"/>
                <w:lang w:eastAsia="zh-CN"/>
              </w:rPr>
              <w:t>为民办实事</w:t>
            </w:r>
            <w:r>
              <w:rPr>
                <w:rFonts w:ascii="宋体" w:hAnsi="宋体" w:eastAsia="宋体"/>
                <w:sz w:val="16"/>
              </w:rPr>
              <w:t>工作队经费</w:t>
            </w:r>
          </w:p>
        </w:tc>
      </w:tr>
      <w:tr w14:paraId="1DF0C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3D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336C3">
            <w:pPr>
              <w:jc w:val="center"/>
            </w:pPr>
            <w:r>
              <w:rPr>
                <w:rFonts w:ascii="宋体" w:hAnsi="宋体" w:eastAsia="宋体"/>
                <w:sz w:val="16"/>
              </w:rPr>
              <w:t>巴音郭楞蒙古自治州人民检察院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D5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A5CC8C">
            <w:pPr>
              <w:jc w:val="center"/>
            </w:pPr>
            <w:r>
              <w:rPr>
                <w:rFonts w:ascii="宋体" w:hAnsi="宋体" w:eastAsia="宋体"/>
                <w:sz w:val="16"/>
              </w:rPr>
              <w:t>巴音郭楞蒙古自治州人民检察院</w:t>
            </w:r>
          </w:p>
        </w:tc>
      </w:tr>
      <w:tr w14:paraId="62DB8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839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E4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776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69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00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28B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D6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256F">
            <w:pPr>
              <w:jc w:val="center"/>
            </w:pPr>
            <w:r>
              <w:rPr>
                <w:rFonts w:ascii="宋体" w:hAnsi="宋体" w:eastAsia="宋体"/>
                <w:sz w:val="16"/>
              </w:rPr>
              <w:t>得分</w:t>
            </w:r>
          </w:p>
        </w:tc>
      </w:tr>
      <w:tr w14:paraId="33F8A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F9D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2B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7B2E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D1C9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435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B2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381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F4D1">
            <w:pPr>
              <w:jc w:val="center"/>
            </w:pPr>
            <w:r>
              <w:rPr>
                <w:rFonts w:ascii="宋体" w:hAnsi="宋体" w:eastAsia="宋体"/>
                <w:sz w:val="16"/>
              </w:rPr>
              <w:t>10.00</w:t>
            </w:r>
          </w:p>
        </w:tc>
      </w:tr>
      <w:tr w14:paraId="14201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9A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88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EF70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2C43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DA82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DE1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B5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4DC8">
            <w:pPr>
              <w:jc w:val="center"/>
            </w:pPr>
            <w:r>
              <w:rPr>
                <w:rFonts w:ascii="宋体" w:hAnsi="宋体" w:eastAsia="宋体"/>
                <w:sz w:val="16"/>
              </w:rPr>
              <w:t>-</w:t>
            </w:r>
          </w:p>
        </w:tc>
      </w:tr>
      <w:tr w14:paraId="1BB97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7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42A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55A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4C8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CE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4DD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1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CD64">
            <w:pPr>
              <w:jc w:val="center"/>
            </w:pPr>
            <w:r>
              <w:rPr>
                <w:rFonts w:ascii="宋体" w:hAnsi="宋体" w:eastAsia="宋体"/>
                <w:sz w:val="16"/>
              </w:rPr>
              <w:t>-</w:t>
            </w:r>
          </w:p>
        </w:tc>
      </w:tr>
      <w:tr w14:paraId="0F5997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DDD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3AFE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266FAA">
            <w:pPr>
              <w:jc w:val="center"/>
            </w:pPr>
            <w:r>
              <w:rPr>
                <w:rFonts w:ascii="宋体" w:hAnsi="宋体" w:eastAsia="宋体"/>
                <w:sz w:val="16"/>
              </w:rPr>
              <w:t>总体目标完成情况</w:t>
            </w:r>
          </w:p>
        </w:tc>
      </w:tr>
      <w:tr w14:paraId="45A3F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DB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67C7">
            <w:pPr>
              <w:jc w:val="both"/>
            </w:pPr>
            <w:r>
              <w:rPr>
                <w:rFonts w:ascii="宋体" w:hAnsi="宋体" w:eastAsia="宋体"/>
                <w:sz w:val="16"/>
              </w:rPr>
              <w:t>合理合规使用为民办实事经费，确保为民办实事经费使用的安全性、规范性和实效性。确保和什力克村工作队共5名工作人员、1名第一书记，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D1F23F">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和什力克村工作队共5名工作人员、1名第一书记，充分发挥村（社区）党组织第一书记统筹基层各方力量服务总目标，落实维护社会稳定，建强基层组织、做好群众工作、落实惠民政策、办好事实事，增强工作队在居民群众中的组织吸引力和凝聚力。我院组织各项慰问和文体活动，开展“民族团结一家亲”，团结关爱户、独居老人、社区干部联谊活动，有效提升村民文化生活水平，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，把惠民生、暖民心、顺民意的工作做到群众心坎上。我院合理合规使用</w:t>
            </w:r>
            <w:r>
              <w:rPr>
                <w:rFonts w:hint="eastAsia" w:ascii="宋体" w:hAnsi="宋体"/>
                <w:sz w:val="16"/>
                <w:lang w:eastAsia="zh-CN"/>
              </w:rPr>
              <w:t>为民办实事</w:t>
            </w:r>
            <w:r>
              <w:rPr>
                <w:rFonts w:ascii="宋体" w:hAnsi="宋体" w:eastAsia="宋体"/>
                <w:sz w:val="16"/>
              </w:rPr>
              <w:t>工作队经费，确保</w:t>
            </w:r>
            <w:r>
              <w:rPr>
                <w:rFonts w:hint="eastAsia" w:ascii="宋体" w:hAnsi="宋体"/>
                <w:sz w:val="16"/>
                <w:lang w:eastAsia="zh-CN"/>
              </w:rPr>
              <w:t>为民办实事</w:t>
            </w:r>
            <w:r>
              <w:rPr>
                <w:rFonts w:ascii="宋体" w:hAnsi="宋体" w:eastAsia="宋体"/>
                <w:sz w:val="16"/>
              </w:rPr>
              <w:t>工作队经费使用的安全性、规范性和实效性，保障工作经费落实到实处。</w:t>
            </w:r>
          </w:p>
        </w:tc>
      </w:tr>
      <w:tr w14:paraId="723FB0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E9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46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DF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91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9CD2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E9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383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F54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2C8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78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4FB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0E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F7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4D26">
            <w:pPr>
              <w:jc w:val="center"/>
            </w:pPr>
            <w:r>
              <w:rPr>
                <w:rFonts w:ascii="宋体" w:hAnsi="宋体" w:eastAsia="宋体"/>
                <w:sz w:val="16"/>
              </w:rPr>
              <w:t>偏差原因分析及改进措施</w:t>
            </w:r>
          </w:p>
        </w:tc>
      </w:tr>
      <w:tr w14:paraId="69084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886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CF8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08D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FA40">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DD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9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A5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DB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6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F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72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E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6B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A921">
            <w:pPr>
              <w:jc w:val="center"/>
            </w:pPr>
          </w:p>
        </w:tc>
      </w:tr>
      <w:tr w14:paraId="1B39D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AA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C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31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0348">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732C">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5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C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C3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68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C4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F62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6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47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3231">
            <w:pPr>
              <w:jc w:val="center"/>
            </w:pPr>
          </w:p>
        </w:tc>
      </w:tr>
      <w:tr w14:paraId="48B41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12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9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26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FEFA">
            <w:pPr>
              <w:jc w:val="center"/>
            </w:pPr>
            <w:r>
              <w:rPr>
                <w:rFonts w:ascii="宋体" w:hAnsi="宋体" w:eastAsia="宋体"/>
                <w:sz w:val="16"/>
              </w:rPr>
              <w:t>派驻工作队第一书记人数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557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B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D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C6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0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B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D88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1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98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52E8">
            <w:pPr>
              <w:jc w:val="center"/>
            </w:pPr>
          </w:p>
        </w:tc>
      </w:tr>
      <w:tr w14:paraId="5BC0E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93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E3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1C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9A65">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D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5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B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2F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D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A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9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3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9F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5213">
            <w:pPr>
              <w:jc w:val="center"/>
            </w:pPr>
          </w:p>
        </w:tc>
      </w:tr>
      <w:tr w14:paraId="491A7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0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DC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0D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6A93">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9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17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F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5A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4E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C8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E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8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80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DB62">
            <w:pPr>
              <w:jc w:val="center"/>
            </w:pPr>
          </w:p>
        </w:tc>
      </w:tr>
      <w:tr w14:paraId="104ED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54D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BF7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4B5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C357">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3C5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88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A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E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8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79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9F8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C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8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1320">
            <w:pPr>
              <w:jc w:val="center"/>
            </w:pPr>
          </w:p>
        </w:tc>
      </w:tr>
      <w:tr w14:paraId="23CF5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B8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F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B8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CE68">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29A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D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E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7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9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8A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D23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3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C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17F1">
            <w:pPr>
              <w:jc w:val="center"/>
            </w:pPr>
          </w:p>
        </w:tc>
      </w:tr>
      <w:tr w14:paraId="52528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0A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60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73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244C">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10F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3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A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0E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76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7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2FD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6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8A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C1DE">
            <w:pPr>
              <w:jc w:val="center"/>
            </w:pPr>
          </w:p>
        </w:tc>
      </w:tr>
      <w:tr w14:paraId="383F3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F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D6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1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236C">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75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B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C4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C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07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B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0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2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0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4633">
            <w:pPr>
              <w:jc w:val="center"/>
            </w:pPr>
          </w:p>
        </w:tc>
      </w:tr>
      <w:tr w14:paraId="4DB9A8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643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69C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C2E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17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F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928F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86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8B8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81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DD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69574"/>
        </w:tc>
      </w:tr>
    </w:tbl>
    <w:p w14:paraId="707E0C2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14:paraId="2F9DD8B8">
        <w:tblPrEx>
          <w:tblCellMar>
            <w:top w:w="0" w:type="dxa"/>
            <w:left w:w="108" w:type="dxa"/>
            <w:bottom w:w="0" w:type="dxa"/>
            <w:right w:w="108" w:type="dxa"/>
          </w:tblCellMar>
        </w:tblPrEx>
        <w:tc>
          <w:tcPr>
            <w:tcW w:w="8848" w:type="dxa"/>
            <w:gridSpan w:val="14"/>
            <w:vAlign w:val="center"/>
          </w:tcPr>
          <w:p w14:paraId="40AA3441">
            <w:pPr>
              <w:jc w:val="center"/>
            </w:pPr>
            <w:r>
              <w:rPr>
                <w:rFonts w:ascii="宋体" w:hAnsi="宋体" w:eastAsia="宋体"/>
                <w:sz w:val="24"/>
              </w:rPr>
              <w:t>项目支出绩效自评表</w:t>
            </w:r>
          </w:p>
        </w:tc>
      </w:tr>
      <w:tr w14:paraId="249207A9">
        <w:tblPrEx>
          <w:tblCellMar>
            <w:top w:w="0" w:type="dxa"/>
            <w:left w:w="108" w:type="dxa"/>
            <w:bottom w:w="0" w:type="dxa"/>
            <w:right w:w="108" w:type="dxa"/>
          </w:tblCellMar>
        </w:tblPrEx>
        <w:tc>
          <w:tcPr>
            <w:tcW w:w="8848" w:type="dxa"/>
            <w:gridSpan w:val="14"/>
            <w:vAlign w:val="center"/>
          </w:tcPr>
          <w:p w14:paraId="303A807B">
            <w:pPr>
              <w:jc w:val="center"/>
            </w:pPr>
            <w:r>
              <w:rPr>
                <w:rFonts w:ascii="宋体" w:hAnsi="宋体" w:eastAsia="宋体"/>
                <w:sz w:val="24"/>
              </w:rPr>
              <w:t>(2024年度)</w:t>
            </w:r>
          </w:p>
        </w:tc>
      </w:tr>
      <w:tr w14:paraId="516621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FC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99F749">
            <w:pPr>
              <w:jc w:val="center"/>
            </w:pPr>
            <w:r>
              <w:rPr>
                <w:rFonts w:ascii="宋体" w:hAnsi="宋体" w:eastAsia="宋体"/>
                <w:sz w:val="16"/>
              </w:rPr>
              <w:t>2024年河北援疆资金</w:t>
            </w:r>
          </w:p>
        </w:tc>
      </w:tr>
      <w:tr w14:paraId="0A6204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3E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46C9C9">
            <w:pPr>
              <w:jc w:val="center"/>
            </w:pPr>
            <w:r>
              <w:rPr>
                <w:rFonts w:ascii="宋体" w:hAnsi="宋体" w:eastAsia="宋体"/>
                <w:sz w:val="16"/>
              </w:rPr>
              <w:t>新疆巴州检察院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86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E8DF9E">
            <w:pPr>
              <w:jc w:val="center"/>
            </w:pPr>
            <w:r>
              <w:rPr>
                <w:rFonts w:ascii="宋体" w:hAnsi="宋体" w:eastAsia="宋体"/>
                <w:sz w:val="16"/>
              </w:rPr>
              <w:t>巴音郭楞蒙古自治州人民检察院</w:t>
            </w:r>
          </w:p>
        </w:tc>
      </w:tr>
      <w:tr w14:paraId="22FB90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87D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D5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37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92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24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C5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56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9495">
            <w:pPr>
              <w:jc w:val="center"/>
            </w:pPr>
            <w:r>
              <w:rPr>
                <w:rFonts w:ascii="宋体" w:hAnsi="宋体" w:eastAsia="宋体"/>
                <w:sz w:val="16"/>
              </w:rPr>
              <w:t>得分</w:t>
            </w:r>
          </w:p>
        </w:tc>
      </w:tr>
      <w:tr w14:paraId="53A4A0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29E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DBE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2709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4DB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999D">
            <w:pPr>
              <w:jc w:val="center"/>
            </w:pPr>
            <w:r>
              <w:rPr>
                <w:rFonts w:ascii="宋体" w:hAnsi="宋体" w:eastAsia="宋体"/>
                <w:sz w:val="16"/>
              </w:rPr>
              <w:t>11.30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175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A1BF">
            <w:pPr>
              <w:jc w:val="center"/>
            </w:pPr>
            <w:r>
              <w:rPr>
                <w:rFonts w:ascii="宋体" w:hAnsi="宋体" w:eastAsia="宋体"/>
                <w:sz w:val="16"/>
              </w:rPr>
              <w:t>75.33%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B65C">
            <w:pPr>
              <w:jc w:val="center"/>
            </w:pPr>
            <w:r>
              <w:rPr>
                <w:rFonts w:ascii="宋体" w:hAnsi="宋体" w:eastAsia="宋体"/>
                <w:sz w:val="16"/>
              </w:rPr>
              <w:t>3.83</w:t>
            </w:r>
          </w:p>
        </w:tc>
      </w:tr>
      <w:tr w14:paraId="4024C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E3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FF1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966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D8F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70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2D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5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E707">
            <w:pPr>
              <w:jc w:val="center"/>
            </w:pPr>
            <w:r>
              <w:rPr>
                <w:rFonts w:ascii="宋体" w:hAnsi="宋体" w:eastAsia="宋体"/>
                <w:sz w:val="16"/>
              </w:rPr>
              <w:t>-</w:t>
            </w:r>
          </w:p>
        </w:tc>
      </w:tr>
      <w:tr w14:paraId="48D70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DA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6C0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7B7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0B6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6207">
            <w:pPr>
              <w:jc w:val="center"/>
            </w:pPr>
            <w:r>
              <w:rPr>
                <w:rFonts w:ascii="宋体" w:hAnsi="宋体" w:eastAsia="宋体"/>
                <w:sz w:val="16"/>
              </w:rPr>
              <w:t>11.30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5F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CB0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EEFC">
            <w:pPr>
              <w:jc w:val="center"/>
            </w:pPr>
            <w:r>
              <w:rPr>
                <w:rFonts w:ascii="宋体" w:hAnsi="宋体" w:eastAsia="宋体"/>
                <w:sz w:val="16"/>
              </w:rPr>
              <w:t>-</w:t>
            </w:r>
          </w:p>
        </w:tc>
      </w:tr>
      <w:tr w14:paraId="4CD59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916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8EC5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C96A0C">
            <w:pPr>
              <w:jc w:val="center"/>
            </w:pPr>
            <w:r>
              <w:rPr>
                <w:rFonts w:ascii="宋体" w:hAnsi="宋体" w:eastAsia="宋体"/>
                <w:sz w:val="16"/>
              </w:rPr>
              <w:t>总体目标完成情况</w:t>
            </w:r>
          </w:p>
        </w:tc>
      </w:tr>
      <w:tr w14:paraId="66AA8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A7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682E7">
            <w:pPr>
              <w:jc w:val="both"/>
            </w:pPr>
            <w:r>
              <w:rPr>
                <w:rFonts w:ascii="宋体" w:hAnsi="宋体" w:eastAsia="宋体"/>
                <w:sz w:val="16"/>
              </w:rPr>
              <w:t>加强检察文化交流学习力度，有效提升检察干警综合素质素养和专业办案能力，保障2名援疆检察官经费支出，弥补我院63人运转经费不足部分</w:t>
            </w:r>
            <w:r>
              <w:rPr>
                <w:rFonts w:hint="eastAsia" w:ascii="宋体" w:hAnsi="宋体"/>
                <w:sz w:val="16"/>
                <w:lang w:eastAsia="zh-CN"/>
              </w:rPr>
              <w:t>，为</w:t>
            </w:r>
            <w:r>
              <w:rPr>
                <w:rFonts w:ascii="宋体" w:hAnsi="宋体" w:eastAsia="宋体"/>
                <w:sz w:val="16"/>
              </w:rPr>
              <w:t>推动巴州检察工作持续稳步发展</w:t>
            </w:r>
            <w:r>
              <w:rPr>
                <w:rFonts w:hint="eastAsia" w:ascii="宋体" w:hAnsi="宋体"/>
                <w:sz w:val="16"/>
                <w:lang w:eastAsia="zh-CN"/>
              </w:rPr>
              <w:t>，为</w:t>
            </w:r>
            <w:r>
              <w:rPr>
                <w:rFonts w:ascii="宋体" w:hAnsi="宋体" w:eastAsia="宋体"/>
                <w:sz w:val="16"/>
              </w:rPr>
              <w:t>努力实现新疆社会稳定和长治久安总目标提供智力支持和人才保障，做好援疆检察官津贴补贴发放工作等经费支出，确保资金及时支付。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3473E6">
            <w:pPr>
              <w:jc w:val="both"/>
            </w:pPr>
            <w:r>
              <w:rPr>
                <w:rFonts w:ascii="宋体" w:hAnsi="宋体" w:eastAsia="宋体"/>
                <w:sz w:val="16"/>
              </w:rPr>
              <w:t>本年度保障办公人员数量66人，保障援疆干部人数2人，资金及时到位，援疆干部支出经费3.39万元，人均运转经费0.12万元，有效提升了检察干警综合素质和专业办案能力，检察干警满意度达到100%。</w:t>
            </w:r>
          </w:p>
        </w:tc>
      </w:tr>
      <w:tr w14:paraId="2770E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F20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78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68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88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188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BB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AC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F7F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F1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55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10C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94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2D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117">
            <w:pPr>
              <w:jc w:val="center"/>
            </w:pPr>
            <w:r>
              <w:rPr>
                <w:rFonts w:ascii="宋体" w:hAnsi="宋体" w:eastAsia="宋体"/>
                <w:sz w:val="16"/>
              </w:rPr>
              <w:t>偏差原因分析及改进措施</w:t>
            </w:r>
          </w:p>
        </w:tc>
      </w:tr>
      <w:tr w14:paraId="6E2F31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95C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689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560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CAF3">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9815">
            <w:pPr>
              <w:jc w:val="center"/>
            </w:pPr>
            <w:r>
              <w:rPr>
                <w:rFonts w:ascii="宋体" w:hAnsi="宋体" w:eastAsia="宋体"/>
                <w:sz w:val="16"/>
              </w:rPr>
              <w:t>&gt;=63人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7C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D1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C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9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DA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82B1">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9F8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E1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8897">
            <w:pPr>
              <w:jc w:val="center"/>
            </w:pPr>
            <w:r>
              <w:rPr>
                <w:rFonts w:ascii="宋体" w:hAnsi="宋体" w:eastAsia="宋体"/>
                <w:sz w:val="16"/>
              </w:rPr>
              <w:t>2024年度</w:t>
            </w:r>
            <w:bookmarkStart w:id="0" w:name="_GoBack"/>
            <w:bookmarkEnd w:id="0"/>
            <w:r>
              <w:rPr>
                <w:rFonts w:ascii="宋体" w:hAnsi="宋体" w:eastAsia="宋体"/>
                <w:sz w:val="16"/>
              </w:rPr>
              <w:t>人员变动发生变动，调出7人，退休12人，调入12人。</w:t>
            </w:r>
          </w:p>
        </w:tc>
      </w:tr>
      <w:tr w14:paraId="081B9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83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A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C5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E53D">
            <w:pPr>
              <w:jc w:val="center"/>
            </w:pPr>
            <w:r>
              <w:rPr>
                <w:rFonts w:ascii="宋体" w:hAnsi="宋体" w:eastAsia="宋体"/>
                <w:sz w:val="16"/>
              </w:rPr>
              <w:t>保障援疆干部人数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330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2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9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5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0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F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9E5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9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3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5D88">
            <w:pPr>
              <w:jc w:val="center"/>
            </w:pPr>
          </w:p>
        </w:tc>
      </w:tr>
      <w:tr w14:paraId="082E0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A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DC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E3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978D">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D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4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2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44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9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1B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C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32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C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B2CD">
            <w:pPr>
              <w:jc w:val="center"/>
            </w:pPr>
          </w:p>
        </w:tc>
      </w:tr>
      <w:tr w14:paraId="0BADA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E8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DA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0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C98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B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9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2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B2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4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9B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E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BD57">
            <w:pPr>
              <w:jc w:val="center"/>
            </w:pPr>
            <w:r>
              <w:rPr>
                <w:rFonts w:ascii="宋体" w:hAnsi="宋体" w:eastAsia="宋体"/>
                <w:sz w:val="16"/>
              </w:rPr>
              <w:t>75.33%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D9A4">
            <w:pPr>
              <w:jc w:val="center"/>
            </w:pPr>
            <w:r>
              <w:rPr>
                <w:rFonts w:ascii="宋体" w:hAnsi="宋体" w:eastAsia="宋体"/>
                <w:sz w:val="16"/>
              </w:rPr>
              <w:t>3.83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3EB4">
            <w:pPr>
              <w:jc w:val="center"/>
            </w:pPr>
            <w:r>
              <w:rPr>
                <w:rFonts w:ascii="宋体" w:hAnsi="宋体" w:eastAsia="宋体"/>
                <w:sz w:val="16"/>
              </w:rPr>
              <w:t>原因分析：预算编制时无法准确测算2024年度此笔经费的支出。改进措施：加强数据调研，提高执行效率，制定更加准确的预算执行计划。</w:t>
            </w:r>
          </w:p>
        </w:tc>
      </w:tr>
      <w:tr w14:paraId="5916D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56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4E1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DD5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B255">
            <w:pPr>
              <w:jc w:val="center"/>
            </w:pPr>
            <w:r>
              <w:rPr>
                <w:rFonts w:ascii="宋体" w:hAnsi="宋体" w:eastAsia="宋体"/>
                <w:sz w:val="16"/>
              </w:rPr>
              <w:t>援疆干部支出经费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E021">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9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AC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08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D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34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B201">
            <w:pPr>
              <w:jc w:val="center"/>
            </w:pPr>
            <w:r>
              <w:rPr>
                <w:rFonts w:ascii="宋体" w:hAnsi="宋体" w:eastAsia="宋体"/>
                <w:sz w:val="16"/>
              </w:rPr>
              <w:t>=3.39万元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4A06">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4242">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0475">
            <w:pPr>
              <w:jc w:val="center"/>
            </w:pPr>
            <w:r>
              <w:rPr>
                <w:rFonts w:ascii="宋体" w:hAnsi="宋体" w:eastAsia="宋体"/>
                <w:sz w:val="16"/>
              </w:rPr>
              <w:t>原因分析：援疆干部于12月离开，未发放12月份援疆干部津贴。改进措施：在预算安排上，按照本机关职能，结合工作实际，制定切实可行的预算</w:t>
            </w:r>
          </w:p>
        </w:tc>
      </w:tr>
      <w:tr w14:paraId="676CC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A5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53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4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FA73">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0A27">
            <w:pPr>
              <w:jc w:val="center"/>
            </w:pPr>
            <w:r>
              <w:rPr>
                <w:rFonts w:ascii="宋体" w:hAnsi="宋体" w:eastAsia="宋体"/>
                <w:sz w:val="16"/>
              </w:rPr>
              <w:t>&lt;=0.173万元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8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63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7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4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F4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195F">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5B00">
            <w:pPr>
              <w:jc w:val="center"/>
            </w:pPr>
            <w:r>
              <w:rPr>
                <w:rFonts w:ascii="宋体" w:hAnsi="宋体" w:eastAsia="宋体"/>
                <w:sz w:val="16"/>
              </w:rPr>
              <w:t>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DFD9">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E107">
            <w:pPr>
              <w:jc w:val="center"/>
            </w:pPr>
            <w:r>
              <w:rPr>
                <w:rFonts w:ascii="宋体" w:hAnsi="宋体" w:eastAsia="宋体"/>
                <w:sz w:val="16"/>
              </w:rPr>
              <w:t>原因分析：2024年度人员变动导致人均运转经费实际完成值偏离指标值。改进措施：在预算安排上，按照本机关职能，结合工作实际，制定切实可行的预算。</w:t>
            </w:r>
          </w:p>
        </w:tc>
      </w:tr>
      <w:tr w14:paraId="03807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E1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B2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DE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A8ED">
            <w:pPr>
              <w:jc w:val="center"/>
            </w:pPr>
            <w:r>
              <w:rPr>
                <w:rFonts w:ascii="宋体" w:hAnsi="宋体" w:eastAsia="宋体"/>
                <w:sz w:val="16"/>
              </w:rPr>
              <w:t>提升检察干警综合素质素养和专业办案能力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34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2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B8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A7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7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9A5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D18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D8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E435">
            <w:pPr>
              <w:jc w:val="center"/>
            </w:pPr>
          </w:p>
        </w:tc>
      </w:tr>
      <w:tr w14:paraId="01F16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69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8C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3C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94AE">
            <w:pPr>
              <w:jc w:val="center"/>
            </w:pPr>
            <w:r>
              <w:rPr>
                <w:rFonts w:ascii="宋体" w:hAnsi="宋体" w:eastAsia="宋体"/>
                <w:sz w:val="16"/>
              </w:rPr>
              <w:t>检察干警满意度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BC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A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A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8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50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B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C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D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4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9E6B">
            <w:pPr>
              <w:jc w:val="center"/>
            </w:pPr>
          </w:p>
        </w:tc>
      </w:tr>
      <w:tr w14:paraId="713E4EA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8F9C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76A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129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2C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C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066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126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40E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56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4ED">
            <w:pPr>
              <w:jc w:val="center"/>
            </w:pPr>
            <w:r>
              <w:rPr>
                <w:rFonts w:ascii="宋体" w:hAnsi="宋体" w:eastAsia="宋体"/>
                <w:sz w:val="16"/>
              </w:rPr>
              <w:t>75.16分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70A0A"/>
        </w:tc>
      </w:tr>
    </w:tbl>
    <w:p w14:paraId="324B08A1">
      <w:r>
        <w:br w:type="page"/>
      </w:r>
    </w:p>
    <w:p w14:paraId="359867A1">
      <w:pPr>
        <w:spacing w:line="640" w:lineRule="exact"/>
        <w:ind w:firstLine="640"/>
        <w:jc w:val="both"/>
        <w:outlineLvl w:val="2"/>
      </w:pPr>
      <w:r>
        <w:rPr>
          <w:rFonts w:ascii="黑体" w:hAnsi="黑体" w:eastAsia="黑体"/>
          <w:sz w:val="32"/>
        </w:rPr>
        <w:t>十二、其他需说明的事项</w:t>
      </w:r>
    </w:p>
    <w:p w14:paraId="613CF314">
      <w:pPr>
        <w:spacing w:line="580" w:lineRule="exact"/>
        <w:ind w:firstLine="640"/>
        <w:jc w:val="both"/>
      </w:pPr>
      <w:r>
        <w:rPr>
          <w:rFonts w:ascii="仿宋_GB2312" w:hAnsi="仿宋_GB2312" w:eastAsia="仿宋_GB2312"/>
          <w:b w:val="0"/>
          <w:sz w:val="32"/>
        </w:rPr>
        <w:t>本年本部门SM项目2个，全年预算数564.00万元，全年执行数564.00万元。</w:t>
      </w:r>
    </w:p>
    <w:p w14:paraId="67C56DA0">
      <w:r>
        <w:br w:type="page"/>
      </w:r>
    </w:p>
    <w:p w14:paraId="768EECF3">
      <w:pPr>
        <w:spacing w:line="240" w:lineRule="auto"/>
        <w:jc w:val="center"/>
        <w:outlineLvl w:val="1"/>
      </w:pPr>
      <w:r>
        <w:rPr>
          <w:rFonts w:ascii="黑体" w:hAnsi="黑体" w:eastAsia="黑体"/>
          <w:sz w:val="32"/>
        </w:rPr>
        <w:t>第三部分 专业名词解释</w:t>
      </w:r>
    </w:p>
    <w:p w14:paraId="524E249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5700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DCF51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73D3AE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088AA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B797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728DE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F697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5AB0F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BD12A6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19499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0C75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9F8E5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CFBE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16A44B">
      <w:r>
        <w:br w:type="page"/>
      </w:r>
    </w:p>
    <w:p w14:paraId="13D83D09">
      <w:pPr>
        <w:spacing w:line="240" w:lineRule="auto"/>
        <w:jc w:val="center"/>
        <w:outlineLvl w:val="1"/>
      </w:pPr>
      <w:r>
        <w:rPr>
          <w:rFonts w:ascii="黑体" w:hAnsi="黑体" w:eastAsia="黑体"/>
          <w:sz w:val="32"/>
        </w:rPr>
        <w:t>第四部分 部门决算报表（见附表）</w:t>
      </w:r>
    </w:p>
    <w:p w14:paraId="05D6CC90">
      <w:pPr>
        <w:spacing w:line="240" w:lineRule="auto"/>
        <w:ind w:firstLine="640"/>
        <w:jc w:val="both"/>
      </w:pPr>
      <w:r>
        <w:rPr>
          <w:rFonts w:ascii="仿宋_GB2312" w:hAnsi="仿宋_GB2312" w:eastAsia="仿宋_GB2312"/>
          <w:b w:val="0"/>
          <w:sz w:val="32"/>
        </w:rPr>
        <w:t>一、《收入支出决算总表》</w:t>
      </w:r>
    </w:p>
    <w:p w14:paraId="66CA8248">
      <w:pPr>
        <w:spacing w:line="240" w:lineRule="auto"/>
        <w:ind w:firstLine="640"/>
        <w:jc w:val="both"/>
      </w:pPr>
      <w:r>
        <w:rPr>
          <w:rFonts w:ascii="仿宋_GB2312" w:hAnsi="仿宋_GB2312" w:eastAsia="仿宋_GB2312"/>
          <w:b w:val="0"/>
          <w:sz w:val="32"/>
        </w:rPr>
        <w:t>二、《收入决算表》</w:t>
      </w:r>
    </w:p>
    <w:p w14:paraId="7D8E5ED7">
      <w:pPr>
        <w:spacing w:line="240" w:lineRule="auto"/>
        <w:ind w:firstLine="640"/>
        <w:jc w:val="both"/>
      </w:pPr>
      <w:r>
        <w:rPr>
          <w:rFonts w:ascii="仿宋_GB2312" w:hAnsi="仿宋_GB2312" w:eastAsia="仿宋_GB2312"/>
          <w:b w:val="0"/>
          <w:sz w:val="32"/>
        </w:rPr>
        <w:t>三、《支出决算表》</w:t>
      </w:r>
    </w:p>
    <w:p w14:paraId="4E572608">
      <w:pPr>
        <w:spacing w:line="240" w:lineRule="auto"/>
        <w:ind w:firstLine="640"/>
        <w:jc w:val="both"/>
      </w:pPr>
      <w:r>
        <w:rPr>
          <w:rFonts w:ascii="仿宋_GB2312" w:hAnsi="仿宋_GB2312" w:eastAsia="仿宋_GB2312"/>
          <w:b w:val="0"/>
          <w:sz w:val="32"/>
        </w:rPr>
        <w:t>四、《财政拨款收入支出决算总表》</w:t>
      </w:r>
    </w:p>
    <w:p w14:paraId="1330DEA6">
      <w:pPr>
        <w:spacing w:line="240" w:lineRule="auto"/>
        <w:ind w:firstLine="640"/>
        <w:jc w:val="both"/>
      </w:pPr>
      <w:r>
        <w:rPr>
          <w:rFonts w:ascii="仿宋_GB2312" w:hAnsi="仿宋_GB2312" w:eastAsia="仿宋_GB2312"/>
          <w:b w:val="0"/>
          <w:sz w:val="32"/>
        </w:rPr>
        <w:t>五、《一般公共预算财政拨款支出决算表》</w:t>
      </w:r>
    </w:p>
    <w:p w14:paraId="672B9BCA">
      <w:pPr>
        <w:spacing w:line="240" w:lineRule="auto"/>
        <w:ind w:firstLine="640"/>
        <w:jc w:val="both"/>
      </w:pPr>
      <w:r>
        <w:rPr>
          <w:rFonts w:ascii="仿宋_GB2312" w:hAnsi="仿宋_GB2312" w:eastAsia="仿宋_GB2312"/>
          <w:b w:val="0"/>
          <w:sz w:val="32"/>
        </w:rPr>
        <w:t>六、《一般公共预算财政拨款基本支出决算表》</w:t>
      </w:r>
    </w:p>
    <w:p w14:paraId="7409EE5A">
      <w:pPr>
        <w:spacing w:line="240" w:lineRule="auto"/>
        <w:ind w:firstLine="640"/>
        <w:jc w:val="both"/>
      </w:pPr>
      <w:r>
        <w:rPr>
          <w:rFonts w:ascii="仿宋_GB2312" w:hAnsi="仿宋_GB2312" w:eastAsia="仿宋_GB2312"/>
          <w:b w:val="0"/>
          <w:sz w:val="32"/>
        </w:rPr>
        <w:t>七、《政府性基金预算财政拨款收入支出决算表》</w:t>
      </w:r>
    </w:p>
    <w:p w14:paraId="4162476B">
      <w:pPr>
        <w:spacing w:line="240" w:lineRule="auto"/>
        <w:ind w:firstLine="640"/>
        <w:jc w:val="both"/>
      </w:pPr>
      <w:r>
        <w:rPr>
          <w:rFonts w:ascii="仿宋_GB2312" w:hAnsi="仿宋_GB2312" w:eastAsia="仿宋_GB2312"/>
          <w:b w:val="0"/>
          <w:sz w:val="32"/>
        </w:rPr>
        <w:t>八、《国有资本经营预算财政拨款收入支出决算表》</w:t>
      </w:r>
    </w:p>
    <w:p w14:paraId="16542542">
      <w:pPr>
        <w:spacing w:line="240" w:lineRule="auto"/>
        <w:ind w:firstLine="640"/>
        <w:jc w:val="both"/>
      </w:pPr>
      <w:r>
        <w:rPr>
          <w:rFonts w:ascii="仿宋_GB2312" w:hAnsi="仿宋_GB2312" w:eastAsia="仿宋_GB2312"/>
          <w:b w:val="0"/>
          <w:sz w:val="32"/>
        </w:rPr>
        <w:t>九、《财政拨款“三公”经费支出决算表》</w:t>
      </w:r>
    </w:p>
    <w:p w14:paraId="087FEF5B">
      <w:pPr>
        <w:spacing w:line="240" w:lineRule="auto"/>
        <w:ind w:firstLine="640"/>
        <w:jc w:val="both"/>
      </w:pPr>
    </w:p>
    <w:p w14:paraId="08CB151C">
      <w:pPr>
        <w:spacing w:line="240" w:lineRule="auto"/>
        <w:ind w:firstLine="640"/>
        <w:jc w:val="both"/>
      </w:pPr>
    </w:p>
    <w:p w14:paraId="0C4A4723">
      <w:pPr>
        <w:spacing w:line="240" w:lineRule="auto"/>
        <w:ind w:firstLine="640"/>
        <w:jc w:val="both"/>
      </w:pPr>
    </w:p>
    <w:p w14:paraId="0A255C27">
      <w:pPr>
        <w:spacing w:line="240" w:lineRule="auto"/>
        <w:ind w:firstLine="640"/>
        <w:jc w:val="both"/>
      </w:pPr>
    </w:p>
    <w:p w14:paraId="32522BE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0552AD-CB46-45EF-BCCB-D318BB7A16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BFBD1D0-909C-4953-97B0-4C22DDBA318F}"/>
  </w:font>
  <w:font w:name="仿宋_GB2312">
    <w:panose1 w:val="02010609030101010101"/>
    <w:charset w:val="86"/>
    <w:family w:val="modern"/>
    <w:pitch w:val="default"/>
    <w:sig w:usb0="00000001" w:usb1="080E0000" w:usb2="00000000" w:usb3="00000000" w:csb0="00040000" w:csb1="00000000"/>
    <w:embedRegular r:id="rId3" w:fontKey="{4474DCB4-CFC3-4FF1-B8E3-E3D58C593636}"/>
  </w:font>
  <w:font w:name="楷体_GB2312">
    <w:panose1 w:val="02010609030101010101"/>
    <w:charset w:val="86"/>
    <w:family w:val="auto"/>
    <w:pitch w:val="default"/>
    <w:sig w:usb0="00000001" w:usb1="080E0000" w:usb2="00000000" w:usb3="00000000" w:csb0="00040000" w:csb1="00000000"/>
    <w:embedRegular r:id="rId4" w:fontKey="{78CA5658-14CC-4C89-8AD9-9B242EF0A4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AF051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B22043"/>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5272</Words>
  <Characters>6041</Characters>
  <Lines>0</Lines>
  <Paragraphs>0</Paragraphs>
  <TotalTime>8</TotalTime>
  <ScaleCrop>false</ScaleCrop>
  <LinksUpToDate>false</LinksUpToDate>
  <CharactersWithSpaces>6049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2025-09-11T09:08:50Z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