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1A9915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新疆巴州轮台县人民检察院2024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531C445">
      <w:r>
        <w:br w:type="page"/>
      </w:r>
    </w:p>
    <w:p w14:paraId="44623DC3">
      <w:pPr>
        <w:spacing w:line="640" w:lineRule="exact"/>
        <w:jc w:val="center"/>
        <w:outlineLvl w:val="1"/>
      </w:pPr>
      <w:r>
        <w:rPr>
          <w:rFonts w:ascii="黑体" w:hAnsi="黑体" w:eastAsia="黑体"/>
          <w:sz w:val="32"/>
        </w:rPr>
        <w:t>第一部分 部门概况</w:t>
      </w:r>
    </w:p>
    <w:p w14:paraId="3D75260A">
      <w:pPr>
        <w:spacing w:line="640" w:lineRule="exact"/>
        <w:ind w:firstLine="640"/>
        <w:jc w:val="both"/>
        <w:outlineLvl w:val="2"/>
      </w:pPr>
      <w:r>
        <w:rPr>
          <w:rFonts w:ascii="黑体" w:hAnsi="黑体" w:eastAsia="黑体"/>
          <w:sz w:val="32"/>
        </w:rPr>
        <w:t>一、主要职能</w:t>
      </w:r>
    </w:p>
    <w:p w14:paraId="5F9213AB">
      <w:pPr>
        <w:spacing w:line="580" w:lineRule="exact"/>
        <w:ind w:firstLine="640"/>
        <w:jc w:val="both"/>
      </w:pPr>
      <w:r>
        <w:rPr>
          <w:rFonts w:ascii="仿宋_GB2312" w:hAnsi="仿宋_GB2312" w:eastAsia="仿宋_GB2312"/>
          <w:sz w:val="32"/>
        </w:rPr>
        <w:t>对于叛国案、分裂国家案以及严重破坏国家的政策、法律、政令统一实施的重大犯罪案件，行使检察权。对于直接受理的国家工作人员利用职权实施的犯罪案件，进行侦查。对于公安机关、国家安全机关等侦查机关侦查的案件进行审查，决定是否逮捕、起诉或者不起诉。并对侦查机关的侦查活动是否合法实行监督。对于刑事案件提起公诉，支持公诉；对于人民法院的刑事判决、裁定是否正确和审判活动是否合法实行监督。对于监狱、看守所等执行机关执行刑罚的活动是否合法实行监督。</w:t>
      </w:r>
      <w:r>
        <w:rPr>
          <w:rFonts w:hint="eastAsia" w:ascii="仿宋_GB2312" w:hAnsi="仿宋_GB2312" w:eastAsia="仿宋_GB2312"/>
          <w:sz w:val="32"/>
          <w:lang w:eastAsia="zh-CN"/>
        </w:rPr>
        <w:t>对</w:t>
      </w:r>
      <w:r>
        <w:rPr>
          <w:rFonts w:ascii="仿宋_GB2312" w:hAnsi="仿宋_GB2312" w:eastAsia="仿宋_GB2312"/>
          <w:sz w:val="32"/>
        </w:rPr>
        <w:t>人民法院的民事审判活动实行法律监督，对人民法院已经发生效力的判决、裁定，发现违反法律法规规定的，依法提出抗诉。对于行政诉讼实行法律监督。对人民法院已经发生效力的判决、裁定发现违反法律法规规定的，依法提出抗诉。</w:t>
      </w:r>
    </w:p>
    <w:p w14:paraId="6D88DAC3">
      <w:pPr>
        <w:spacing w:line="640" w:lineRule="exact"/>
        <w:ind w:firstLine="640"/>
        <w:jc w:val="both"/>
        <w:outlineLvl w:val="2"/>
      </w:pPr>
      <w:r>
        <w:rPr>
          <w:rFonts w:ascii="黑体" w:hAnsi="黑体" w:eastAsia="黑体"/>
          <w:sz w:val="32"/>
        </w:rPr>
        <w:t>二、机构设置及人员情况</w:t>
      </w:r>
    </w:p>
    <w:p w14:paraId="5D431A75">
      <w:pPr>
        <w:spacing w:line="580" w:lineRule="exact"/>
        <w:ind w:firstLine="640"/>
        <w:jc w:val="both"/>
      </w:pPr>
      <w:r>
        <w:rPr>
          <w:rFonts w:ascii="仿宋_GB2312" w:hAnsi="仿宋_GB2312" w:eastAsia="仿宋_GB2312"/>
          <w:sz w:val="32"/>
        </w:rPr>
        <w:t>新疆巴州轮台县人民检察院2024年度，实有人数41人，其中：在职人员22人，减少1人；离休人员1人，增加0人；退休人员18人,增加0人。</w:t>
      </w:r>
    </w:p>
    <w:p w14:paraId="07DA171A">
      <w:pPr>
        <w:spacing w:line="580" w:lineRule="exact"/>
        <w:ind w:firstLine="640"/>
        <w:jc w:val="both"/>
      </w:pPr>
      <w:r>
        <w:rPr>
          <w:rFonts w:ascii="仿宋_GB2312" w:hAnsi="仿宋_GB2312" w:eastAsia="仿宋_GB2312"/>
          <w:sz w:val="32"/>
        </w:rPr>
        <w:t>新疆巴州轮台县人民检察院无下属预算单位，下设5个科室，分别是：办公室、政治部、检察第一部、检察第二部、检察第三部。</w:t>
      </w:r>
    </w:p>
    <w:p w14:paraId="5FE24342">
      <w:r>
        <w:br w:type="page"/>
      </w:r>
    </w:p>
    <w:p w14:paraId="740FF692">
      <w:pPr>
        <w:spacing w:line="240" w:lineRule="auto"/>
        <w:jc w:val="center"/>
        <w:outlineLvl w:val="1"/>
      </w:pPr>
      <w:r>
        <w:rPr>
          <w:rFonts w:ascii="黑体" w:hAnsi="黑体" w:eastAsia="黑体"/>
          <w:sz w:val="32"/>
        </w:rPr>
        <w:t>第二部分 部门决算情况说明</w:t>
      </w:r>
    </w:p>
    <w:p w14:paraId="7D575BCB">
      <w:pPr>
        <w:spacing w:line="640" w:lineRule="exact"/>
        <w:ind w:firstLine="640"/>
        <w:jc w:val="both"/>
        <w:outlineLvl w:val="2"/>
      </w:pPr>
      <w:r>
        <w:rPr>
          <w:rFonts w:ascii="黑体" w:hAnsi="黑体" w:eastAsia="黑体"/>
          <w:sz w:val="32"/>
        </w:rPr>
        <w:t>一、收入支出决算总体情况说明</w:t>
      </w:r>
    </w:p>
    <w:p w14:paraId="480D3C38">
      <w:pPr>
        <w:spacing w:line="580" w:lineRule="exact"/>
        <w:ind w:firstLine="640"/>
        <w:jc w:val="both"/>
      </w:pPr>
      <w:r>
        <w:rPr>
          <w:rFonts w:ascii="仿宋_GB2312" w:hAnsi="仿宋_GB2312" w:eastAsia="仿宋_GB2312"/>
          <w:b/>
          <w:sz w:val="32"/>
        </w:rPr>
        <w:t>2024年度收入总计974.68万元，</w:t>
      </w:r>
      <w:r>
        <w:rPr>
          <w:rFonts w:ascii="仿宋_GB2312" w:hAnsi="仿宋_GB2312" w:eastAsia="仿宋_GB2312"/>
          <w:b w:val="0"/>
          <w:sz w:val="32"/>
        </w:rPr>
        <w:t>其中：本年收入合计949.58万元，使用非财政拨款结余（含专用结余）0.00万元，年初结转和结余25.11万元。</w:t>
      </w:r>
    </w:p>
    <w:p w14:paraId="34AF1FEC">
      <w:pPr>
        <w:spacing w:line="580" w:lineRule="exact"/>
        <w:ind w:firstLine="640"/>
        <w:jc w:val="both"/>
      </w:pPr>
      <w:r>
        <w:rPr>
          <w:rFonts w:ascii="仿宋_GB2312" w:hAnsi="仿宋_GB2312" w:eastAsia="仿宋_GB2312"/>
          <w:b/>
          <w:sz w:val="32"/>
        </w:rPr>
        <w:t>2024年度支出总计974.68万元，</w:t>
      </w:r>
      <w:r>
        <w:rPr>
          <w:rFonts w:ascii="仿宋_GB2312" w:hAnsi="仿宋_GB2312" w:eastAsia="仿宋_GB2312"/>
          <w:b w:val="0"/>
          <w:sz w:val="32"/>
        </w:rPr>
        <w:t>其中：本年支出合计970.41万元，结余分配0.00万元，年末结转和结余4.28万元。</w:t>
      </w:r>
    </w:p>
    <w:p w14:paraId="78F3562C">
      <w:pPr>
        <w:spacing w:line="580" w:lineRule="exact"/>
        <w:ind w:firstLine="640"/>
        <w:jc w:val="both"/>
      </w:pPr>
      <w:r>
        <w:rPr>
          <w:rFonts w:ascii="仿宋_GB2312" w:hAnsi="仿宋_GB2312" w:eastAsia="仿宋_GB2312"/>
          <w:b w:val="0"/>
          <w:sz w:val="32"/>
        </w:rPr>
        <w:t>收入支出总体与上年相比，增加177.33万元，增长22.24%，主要原因是：本年退休人员死亡，发放死亡抚恤金。本年增加轮台检察院司法救助金项目、中央转移支付资金项目经费，导致经费较上年增加。</w:t>
      </w:r>
    </w:p>
    <w:p w14:paraId="1D3B831C">
      <w:pPr>
        <w:spacing w:line="640" w:lineRule="exact"/>
        <w:ind w:firstLine="640"/>
        <w:jc w:val="both"/>
        <w:outlineLvl w:val="2"/>
      </w:pPr>
      <w:r>
        <w:rPr>
          <w:rFonts w:ascii="黑体" w:hAnsi="黑体" w:eastAsia="黑体"/>
          <w:sz w:val="32"/>
        </w:rPr>
        <w:t>二、收入决算情况说明</w:t>
      </w:r>
    </w:p>
    <w:p w14:paraId="446142AC">
      <w:pPr>
        <w:spacing w:line="580" w:lineRule="exact"/>
        <w:ind w:firstLine="640"/>
        <w:jc w:val="both"/>
      </w:pPr>
      <w:r>
        <w:rPr>
          <w:rFonts w:ascii="仿宋_GB2312" w:hAnsi="仿宋_GB2312" w:eastAsia="仿宋_GB2312"/>
          <w:b/>
          <w:sz w:val="32"/>
        </w:rPr>
        <w:t>本年收入949.58万元，</w:t>
      </w:r>
      <w:r>
        <w:rPr>
          <w:rFonts w:ascii="仿宋_GB2312" w:hAnsi="仿宋_GB2312" w:eastAsia="仿宋_GB2312"/>
          <w:b w:val="0"/>
          <w:sz w:val="32"/>
        </w:rPr>
        <w:t>其中：财政拨款收入931.17万元，占98.06%；上级补助收入0.00万元，占0.00%；事业收入0.00万元，占0.00%；经营收入0.00万元，占0.00%；附属单位上缴收入0.00万元，占0.00%；其他收入18.41万元，占1.94%。</w:t>
      </w:r>
    </w:p>
    <w:p w14:paraId="11FBB330">
      <w:pPr>
        <w:spacing w:line="640" w:lineRule="exact"/>
        <w:ind w:firstLine="640"/>
        <w:jc w:val="both"/>
        <w:outlineLvl w:val="2"/>
      </w:pPr>
      <w:r>
        <w:rPr>
          <w:rFonts w:ascii="黑体" w:hAnsi="黑体" w:eastAsia="黑体"/>
          <w:sz w:val="32"/>
        </w:rPr>
        <w:t>三、支出决算情况说明</w:t>
      </w:r>
    </w:p>
    <w:p w14:paraId="5A7EAD52">
      <w:pPr>
        <w:spacing w:line="580" w:lineRule="exact"/>
        <w:ind w:firstLine="640"/>
        <w:jc w:val="both"/>
      </w:pPr>
      <w:r>
        <w:rPr>
          <w:rFonts w:ascii="仿宋_GB2312" w:hAnsi="仿宋_GB2312" w:eastAsia="仿宋_GB2312"/>
          <w:b/>
          <w:sz w:val="32"/>
        </w:rPr>
        <w:t>本年支出970.41万元，</w:t>
      </w:r>
      <w:r>
        <w:rPr>
          <w:rFonts w:ascii="仿宋_GB2312" w:hAnsi="仿宋_GB2312" w:eastAsia="仿宋_GB2312"/>
          <w:b w:val="0"/>
          <w:sz w:val="32"/>
        </w:rPr>
        <w:t>其中：基本支出727.84万元，占75.00%；项目支出242.57万元，占25.00%；上缴上级支出0.00万元，占0.00%；经营支出0.00万元，占0.00%；对附属单位补助支出0.00万元，占0.00%。</w:t>
      </w:r>
    </w:p>
    <w:p w14:paraId="789B551C">
      <w:pPr>
        <w:spacing w:line="640" w:lineRule="exact"/>
        <w:ind w:firstLine="640"/>
        <w:jc w:val="both"/>
        <w:outlineLvl w:val="2"/>
      </w:pPr>
      <w:r>
        <w:rPr>
          <w:rFonts w:ascii="黑体" w:hAnsi="黑体" w:eastAsia="黑体"/>
          <w:sz w:val="32"/>
        </w:rPr>
        <w:t>四、财政拨款收入支出决算总体情况说明</w:t>
      </w:r>
    </w:p>
    <w:p w14:paraId="559F3E31">
      <w:pPr>
        <w:spacing w:line="580" w:lineRule="exact"/>
        <w:ind w:firstLine="640"/>
        <w:jc w:val="both"/>
      </w:pPr>
      <w:r>
        <w:rPr>
          <w:rFonts w:ascii="仿宋_GB2312" w:hAnsi="仿宋_GB2312" w:eastAsia="仿宋_GB2312"/>
          <w:b/>
          <w:sz w:val="32"/>
        </w:rPr>
        <w:t>2024年度财政拨款收入总计931.17万元，</w:t>
      </w:r>
      <w:r>
        <w:rPr>
          <w:rFonts w:ascii="仿宋_GB2312" w:hAnsi="仿宋_GB2312" w:eastAsia="仿宋_GB2312"/>
          <w:b w:val="0"/>
          <w:sz w:val="32"/>
        </w:rPr>
        <w:t>其中：年初财政拨款结转和结余0.00万元，本年财政拨款收入931.17万元。</w:t>
      </w:r>
      <w:r>
        <w:rPr>
          <w:rFonts w:ascii="仿宋_GB2312" w:hAnsi="仿宋_GB2312" w:eastAsia="仿宋_GB2312"/>
          <w:b/>
          <w:sz w:val="32"/>
        </w:rPr>
        <w:t>财政拨款支出总计931.17万元，</w:t>
      </w:r>
      <w:r>
        <w:rPr>
          <w:rFonts w:ascii="仿宋_GB2312" w:hAnsi="仿宋_GB2312" w:eastAsia="仿宋_GB2312"/>
          <w:b w:val="0"/>
          <w:sz w:val="32"/>
        </w:rPr>
        <w:t>其中：年末财政拨款结转和结余0.00万元，本年财政拨款支出931.17万元。</w:t>
      </w:r>
    </w:p>
    <w:p w14:paraId="61FFE8E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增加178.43万元，增长23.70%，主要原因是：本年退休人员死亡，发放死亡抚恤金。本年增加轮台检察院司法救助金项目、中央转移支付资金项目经费，导致经费较上年增加。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年初预算数755.25万元，决算数931.17万元，预决算差异率23.29%，主要原因是：年中追加轮台检察院司法救助金项目，导致预决算存在差异。</w:t>
      </w:r>
    </w:p>
    <w:p w14:paraId="2B48BE39">
      <w:pPr>
        <w:spacing w:line="640" w:lineRule="exact"/>
        <w:ind w:firstLine="640"/>
        <w:jc w:val="both"/>
        <w:outlineLvl w:val="2"/>
      </w:pPr>
      <w:r>
        <w:rPr>
          <w:rFonts w:ascii="黑体" w:hAnsi="黑体" w:eastAsia="黑体"/>
          <w:sz w:val="32"/>
        </w:rPr>
        <w:t>五、一般公共预算财政拨款支出决算情况说明</w:t>
      </w:r>
    </w:p>
    <w:p w14:paraId="79B3304E">
      <w:pPr>
        <w:spacing w:line="640" w:lineRule="exact"/>
        <w:ind w:firstLine="640"/>
        <w:jc w:val="both"/>
        <w:outlineLvl w:val="3"/>
      </w:pPr>
      <w:r>
        <w:rPr>
          <w:rFonts w:ascii="楷体_GB2312" w:hAnsi="楷体_GB2312" w:eastAsia="楷体_GB2312"/>
          <w:b/>
          <w:sz w:val="32"/>
        </w:rPr>
        <w:t>（一）一般公共预算财政拨款支出决算总体情况</w:t>
      </w:r>
    </w:p>
    <w:p w14:paraId="655D026B">
      <w:pPr>
        <w:spacing w:line="580" w:lineRule="exact"/>
        <w:ind w:firstLine="640"/>
        <w:jc w:val="both"/>
      </w:pPr>
      <w:r>
        <w:rPr>
          <w:rFonts w:ascii="仿宋_GB2312" w:hAnsi="仿宋_GB2312" w:eastAsia="仿宋_GB2312"/>
          <w:b/>
          <w:sz w:val="32"/>
        </w:rPr>
        <w:t>2024年度一般公共预算财政拨款支出931.17万元，</w:t>
      </w:r>
      <w:r>
        <w:rPr>
          <w:rFonts w:ascii="仿宋_GB2312" w:hAnsi="仿宋_GB2312" w:eastAsia="仿宋_GB2312"/>
          <w:b w:val="0"/>
          <w:sz w:val="32"/>
        </w:rPr>
        <w:t>占本年支出合计的95.96%。</w:t>
      </w:r>
      <w:r>
        <w:rPr>
          <w:rFonts w:ascii="仿宋_GB2312" w:hAnsi="仿宋_GB2312" w:eastAsia="仿宋_GB2312"/>
          <w:b/>
          <w:sz w:val="32"/>
        </w:rPr>
        <w:t>与上年相比，</w:t>
      </w:r>
      <w:r>
        <w:rPr>
          <w:rFonts w:ascii="仿宋_GB2312" w:hAnsi="仿宋_GB2312" w:eastAsia="仿宋_GB2312"/>
          <w:b w:val="0"/>
          <w:sz w:val="32"/>
        </w:rPr>
        <w:t>增加178.43万元，增长23.70%，主要原因是：本年退休人员死亡，发放死亡抚恤金。本年增加轮台检察院司法救助金项目、中央转移支付资金项目经费，导致经费较上年增加。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年初预算数755.25万元，决算数931.17万元，预决算差异率23.29%，主要原因是：年中追加轮台检察院司法救助金项目，导致预决算存在差异。</w:t>
      </w:r>
    </w:p>
    <w:p w14:paraId="38422B13">
      <w:pPr>
        <w:spacing w:line="640" w:lineRule="exact"/>
        <w:ind w:firstLine="640"/>
        <w:jc w:val="both"/>
        <w:outlineLvl w:val="3"/>
      </w:pPr>
      <w:r>
        <w:rPr>
          <w:rFonts w:ascii="楷体_GB2312" w:hAnsi="楷体_GB2312" w:eastAsia="楷体_GB2312"/>
          <w:b/>
          <w:sz w:val="32"/>
        </w:rPr>
        <w:t>（二）一般公共预算财政拨款支出决算结构情况</w:t>
      </w:r>
    </w:p>
    <w:p w14:paraId="1FE589EE">
      <w:pPr>
        <w:spacing w:line="580" w:lineRule="exact"/>
        <w:ind w:firstLine="640"/>
        <w:jc w:val="both"/>
      </w:pPr>
      <w:r>
        <w:rPr>
          <w:rFonts w:ascii="仿宋_GB2312" w:hAnsi="仿宋_GB2312" w:eastAsia="仿宋_GB2312"/>
          <w:b w:val="0"/>
          <w:sz w:val="32"/>
        </w:rPr>
        <w:t>1.公共安全支出(类)712.82万元,占76.55%。</w:t>
      </w:r>
    </w:p>
    <w:p w14:paraId="406D34DA">
      <w:pPr>
        <w:spacing w:line="580" w:lineRule="exact"/>
        <w:ind w:firstLine="640"/>
        <w:jc w:val="both"/>
      </w:pPr>
      <w:r>
        <w:rPr>
          <w:rFonts w:ascii="仿宋_GB2312" w:hAnsi="仿宋_GB2312" w:eastAsia="仿宋_GB2312"/>
          <w:b w:val="0"/>
          <w:sz w:val="32"/>
        </w:rPr>
        <w:t>2.教育支出(类)1.56万元,占0.17%。</w:t>
      </w:r>
    </w:p>
    <w:p w14:paraId="6A8D8816">
      <w:pPr>
        <w:spacing w:line="580" w:lineRule="exact"/>
        <w:ind w:firstLine="640"/>
        <w:jc w:val="both"/>
      </w:pPr>
      <w:r>
        <w:rPr>
          <w:rFonts w:ascii="仿宋_GB2312" w:hAnsi="仿宋_GB2312" w:eastAsia="仿宋_GB2312"/>
          <w:b w:val="0"/>
          <w:sz w:val="32"/>
        </w:rPr>
        <w:t>3.社会保障和就业支出(类)149.55万元,占16.06%。</w:t>
      </w:r>
    </w:p>
    <w:p w14:paraId="260AE881">
      <w:pPr>
        <w:spacing w:line="580" w:lineRule="exact"/>
        <w:ind w:firstLine="640"/>
        <w:jc w:val="both"/>
      </w:pPr>
      <w:r>
        <w:rPr>
          <w:rFonts w:ascii="仿宋_GB2312" w:hAnsi="仿宋_GB2312" w:eastAsia="仿宋_GB2312"/>
          <w:b w:val="0"/>
          <w:sz w:val="32"/>
        </w:rPr>
        <w:t>4.卫生健康支出(类)25.2万元,占2.71%。</w:t>
      </w:r>
    </w:p>
    <w:p w14:paraId="1658EFA5">
      <w:pPr>
        <w:spacing w:line="580" w:lineRule="exact"/>
        <w:ind w:firstLine="640"/>
        <w:jc w:val="both"/>
      </w:pPr>
      <w:r>
        <w:rPr>
          <w:rFonts w:ascii="仿宋_GB2312" w:hAnsi="仿宋_GB2312" w:eastAsia="仿宋_GB2312"/>
          <w:b w:val="0"/>
          <w:sz w:val="32"/>
        </w:rPr>
        <w:t>5.住房保障支出(类)42.04万元,占4.51%。</w:t>
      </w:r>
    </w:p>
    <w:p w14:paraId="568260B0">
      <w:pPr>
        <w:spacing w:line="640" w:lineRule="exact"/>
        <w:ind w:firstLine="640"/>
        <w:jc w:val="both"/>
        <w:outlineLvl w:val="3"/>
      </w:pPr>
      <w:r>
        <w:rPr>
          <w:rFonts w:ascii="楷体_GB2312" w:hAnsi="楷体_GB2312" w:eastAsia="楷体_GB2312"/>
          <w:b/>
          <w:sz w:val="32"/>
        </w:rPr>
        <w:t>（三）一般公共预算财政拨款支出决算具体情况</w:t>
      </w:r>
    </w:p>
    <w:p w14:paraId="02608FF1">
      <w:pPr>
        <w:spacing w:line="580" w:lineRule="exact"/>
        <w:ind w:firstLine="640"/>
        <w:jc w:val="both"/>
      </w:pPr>
      <w:r>
        <w:rPr>
          <w:rFonts w:ascii="仿宋_GB2312" w:hAnsi="仿宋_GB2312" w:eastAsia="仿宋_GB2312"/>
          <w:b w:val="0"/>
          <w:sz w:val="32"/>
        </w:rPr>
        <w:t>1.公共安全支出(类)检察(款)行政运行(项):支出决算数为470.26万元，比上年决算减少20.24万元，下降4.13%,主要原因是：本年在职人员减少，聘用人员减少，相应人员经费较上年减少。</w:t>
      </w:r>
    </w:p>
    <w:p w14:paraId="6DA60A56">
      <w:pPr>
        <w:spacing w:line="580" w:lineRule="exact"/>
        <w:ind w:firstLine="640"/>
        <w:jc w:val="both"/>
      </w:pPr>
      <w:r>
        <w:rPr>
          <w:rFonts w:ascii="仿宋_GB2312" w:hAnsi="仿宋_GB2312" w:eastAsia="仿宋_GB2312"/>
          <w:b w:val="0"/>
          <w:sz w:val="32"/>
        </w:rPr>
        <w:t>2.公共安全支出(类)检察(款)一般行政管理事务(项):支出决算数为12万元，比上年决算增加0.00万元，增长0.00%,主要原因是：本年为民办实事经费与上年一致，无变动。</w:t>
      </w:r>
    </w:p>
    <w:p w14:paraId="218B5C47">
      <w:pPr>
        <w:spacing w:line="580" w:lineRule="exact"/>
        <w:ind w:firstLine="640"/>
        <w:jc w:val="both"/>
      </w:pPr>
      <w:r>
        <w:rPr>
          <w:rFonts w:ascii="仿宋_GB2312" w:hAnsi="仿宋_GB2312" w:eastAsia="仿宋_GB2312"/>
          <w:b w:val="0"/>
          <w:sz w:val="32"/>
        </w:rPr>
        <w:t>3.公共安全支出(类)检察(款)其他检察支出(项):支出决算数为230.57万元，比上年决算增加101.32万元，增长78.39%,主要原因是：本年增加轮台检察院司法救助金项目、中央转移支付资金项目经费，导致经费较上年增加。</w:t>
      </w:r>
    </w:p>
    <w:p w14:paraId="0D65569A">
      <w:pPr>
        <w:spacing w:line="580" w:lineRule="exact"/>
        <w:ind w:firstLine="640"/>
        <w:jc w:val="both"/>
      </w:pPr>
      <w:r>
        <w:rPr>
          <w:rFonts w:ascii="仿宋_GB2312" w:hAnsi="仿宋_GB2312" w:eastAsia="仿宋_GB2312"/>
          <w:b w:val="0"/>
          <w:sz w:val="32"/>
        </w:rPr>
        <w:t>4.教育支出(类)进修及培训(款)培训支出(项):支出决算数为1.56万元，比上年决算增加0.48万元，增长44.44%,主要原因是：本年业务培训次数增加，相应的培训费增加。</w:t>
      </w:r>
    </w:p>
    <w:p w14:paraId="27A65177">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97.73万元，比上年决算增加69.53万元，增长246.56%,主要原因是：本年增加退休人员基础绩效奖，发放死亡退休人员抚恤金，导致经费支出增加。</w:t>
      </w:r>
    </w:p>
    <w:p w14:paraId="007391AE">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39.29万元，比上年决算增加4.46万元，增长12.81%,主要原因是：本年在职人员工资基数调增，养老缴费基数上涨，相应支出增加。</w:t>
      </w:r>
    </w:p>
    <w:p w14:paraId="1E373EA5">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7.社会保障和就业支出(类)行政事业单位养老支出(款)机关事业单位职业年金缴费支出(项):支出决算数为12.53万元，比上年决算增加6.03万元，增长92.77%,主要原因是：本年新增退休人员，职业年金缴费支出增加。</w:t>
      </w:r>
    </w:p>
    <w:p w14:paraId="4CFE8067">
      <w:pPr>
        <w:spacing w:line="580" w:lineRule="exact"/>
        <w:ind w:firstLine="640"/>
        <w:jc w:val="both"/>
      </w:pPr>
      <w:r>
        <w:rPr>
          <w:rFonts w:ascii="仿宋_GB2312" w:hAnsi="仿宋_GB2312" w:eastAsia="仿宋_GB2312"/>
          <w:b w:val="0"/>
          <w:sz w:val="32"/>
        </w:rPr>
        <w:t>8.卫生健康支出(类)行政事业单位医疗(款)行政单位医疗(项):支出决算数为17.19万元，比上年决算增加0.79万元，增长4.82%,主要原因是：本年在职人员工资基数调增，医疗缴费基数上涨，相应支出增加。</w:t>
      </w:r>
    </w:p>
    <w:p w14:paraId="60FE2D8C">
      <w:pPr>
        <w:spacing w:line="580" w:lineRule="exact"/>
        <w:ind w:firstLine="640"/>
        <w:jc w:val="both"/>
      </w:pPr>
      <w:r>
        <w:rPr>
          <w:rFonts w:ascii="仿宋_GB2312" w:hAnsi="仿宋_GB2312" w:eastAsia="仿宋_GB2312"/>
          <w:b w:val="0"/>
          <w:sz w:val="32"/>
        </w:rPr>
        <w:t>9.卫生健康支出(类)行政事业单位医疗(款)公务员医疗补助(项):支出决算数为7.37万元，比上年决算增加0.41万元，增长5.89%,主要原因是：本年在职人员工资基数调增，医疗缴费基数上涨，相应支出增加。</w:t>
      </w:r>
    </w:p>
    <w:p w14:paraId="1A8EFACE">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0.64万元，比上年决算减少0.36万元，下降36.00%,主要原因是：本年在职人员减少，导致其他行政事业单位医疗支出较上年减少。</w:t>
      </w:r>
    </w:p>
    <w:p w14:paraId="4EDAC866">
      <w:pPr>
        <w:spacing w:line="580" w:lineRule="exact"/>
        <w:ind w:firstLine="640"/>
        <w:jc w:val="both"/>
      </w:pPr>
      <w:r>
        <w:rPr>
          <w:rFonts w:ascii="仿宋_GB2312" w:hAnsi="仿宋_GB2312" w:eastAsia="仿宋_GB2312"/>
          <w:b w:val="0"/>
          <w:sz w:val="32"/>
        </w:rPr>
        <w:t>11.住房保障支出(类)住房改革支出(款)住房公积金(项):支出决算数为42.04万元，比上年决算增加16.03万元，增长61.63%,主要原因是：本年在职人员工资基数调增，公积金缴费基数上涨，相应支出增加。</w:t>
      </w:r>
    </w:p>
    <w:p w14:paraId="6CECE536">
      <w:pPr>
        <w:spacing w:line="640" w:lineRule="exact"/>
        <w:ind w:firstLine="640"/>
        <w:jc w:val="both"/>
        <w:outlineLvl w:val="2"/>
      </w:pPr>
      <w:r>
        <w:rPr>
          <w:rFonts w:ascii="黑体" w:hAnsi="黑体" w:eastAsia="黑体"/>
          <w:sz w:val="32"/>
        </w:rPr>
        <w:t>六、一般公共预算财政拨款基本支出决算情况说明</w:t>
      </w:r>
    </w:p>
    <w:p w14:paraId="7F005556">
      <w:pPr>
        <w:spacing w:line="580" w:lineRule="exact"/>
        <w:ind w:firstLine="640"/>
        <w:jc w:val="both"/>
      </w:pPr>
      <w:r>
        <w:rPr>
          <w:rFonts w:ascii="仿宋_GB2312" w:hAnsi="仿宋_GB2312" w:eastAsia="仿宋_GB2312"/>
          <w:b w:val="0"/>
          <w:sz w:val="32"/>
        </w:rPr>
        <w:t>2024年度一般公共预算财政拨款基本支出688.60万元，其中：</w:t>
      </w:r>
      <w:r>
        <w:rPr>
          <w:rFonts w:ascii="仿宋_GB2312" w:hAnsi="仿宋_GB2312" w:eastAsia="仿宋_GB2312"/>
          <w:b/>
          <w:sz w:val="32"/>
        </w:rPr>
        <w:t>人员经费641.86万元，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离休费、退休费、抚恤金、生活补助、奖励金。</w:t>
      </w:r>
    </w:p>
    <w:p w14:paraId="0BE720DE">
      <w:pPr>
        <w:spacing w:line="580" w:lineRule="exact"/>
        <w:ind w:firstLine="640"/>
        <w:jc w:val="both"/>
      </w:pPr>
      <w:r>
        <w:rPr>
          <w:rFonts w:ascii="仿宋_GB2312" w:hAnsi="仿宋_GB2312" w:eastAsia="仿宋_GB2312"/>
          <w:b/>
          <w:sz w:val="32"/>
        </w:rPr>
        <w:t>公用经费46.74万元，</w:t>
      </w:r>
      <w:r>
        <w:rPr>
          <w:rFonts w:ascii="仿宋_GB2312" w:hAnsi="仿宋_GB2312" w:eastAsia="仿宋_GB2312"/>
          <w:b w:val="0"/>
          <w:sz w:val="32"/>
        </w:rPr>
        <w:t>包括：办公费、水费、电费、邮电费、物业管理费、差旅费、维修（护）费、培训费、劳务费、工会经费、福利费、公务用车运行维护费、其他商品和服务支出。</w:t>
      </w:r>
    </w:p>
    <w:p w14:paraId="610FE4CA">
      <w:pPr>
        <w:spacing w:line="640" w:lineRule="exact"/>
        <w:ind w:firstLine="640"/>
        <w:jc w:val="both"/>
        <w:outlineLvl w:val="2"/>
      </w:pPr>
      <w:r>
        <w:rPr>
          <w:rFonts w:ascii="黑体" w:hAnsi="黑体" w:eastAsia="黑体"/>
          <w:sz w:val="32"/>
        </w:rPr>
        <w:t>七、政府性基金预算财政拨款收入支出决算情况说明</w:t>
      </w:r>
    </w:p>
    <w:p w14:paraId="5FEE6566">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46AC5AE2">
      <w:pPr>
        <w:spacing w:line="640" w:lineRule="exact"/>
        <w:ind w:firstLine="640"/>
        <w:jc w:val="both"/>
        <w:outlineLvl w:val="2"/>
      </w:pPr>
      <w:r>
        <w:rPr>
          <w:rFonts w:ascii="黑体" w:hAnsi="黑体" w:eastAsia="黑体"/>
          <w:sz w:val="32"/>
        </w:rPr>
        <w:t>八、国有资本经营预算财政拨款收入支出决算情况说明</w:t>
      </w:r>
    </w:p>
    <w:p w14:paraId="5C89691E">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0DC7D14E">
      <w:pPr>
        <w:spacing w:line="640" w:lineRule="exact"/>
        <w:ind w:firstLine="640"/>
        <w:jc w:val="both"/>
        <w:outlineLvl w:val="2"/>
      </w:pPr>
      <w:r>
        <w:rPr>
          <w:rFonts w:ascii="黑体" w:hAnsi="黑体" w:eastAsia="黑体"/>
          <w:sz w:val="32"/>
        </w:rPr>
        <w:t>九、财政拨款“三公”经费支出决算情况说明</w:t>
      </w:r>
    </w:p>
    <w:p w14:paraId="26166EE7">
      <w:pPr>
        <w:spacing w:line="580" w:lineRule="exact"/>
        <w:ind w:firstLine="640"/>
        <w:jc w:val="both"/>
      </w:pPr>
      <w:r>
        <w:rPr>
          <w:rFonts w:ascii="仿宋_GB2312" w:hAnsi="仿宋_GB2312" w:eastAsia="仿宋_GB2312"/>
          <w:b/>
          <w:sz w:val="32"/>
        </w:rPr>
        <w:t>2024年度财政拨款“三公”经费支出20.00万元，</w:t>
      </w:r>
      <w:r>
        <w:rPr>
          <w:rFonts w:ascii="仿宋_GB2312" w:hAnsi="仿宋_GB2312" w:eastAsia="仿宋_GB2312"/>
          <w:b w:val="0"/>
          <w:sz w:val="32"/>
        </w:rPr>
        <w:t>比上年增加0.00万元，增长0.00%，主要原因是：本部门“三公”经费与上年一致无变化。其中：因公出国（境）费支出0.00万元，占0.00%，比上年增加0.00万元，增长0.00%，主要原因是：2023年与2024年均未安排因公出国（境）费支出。公务用车购置及运行维护费支出20.00万元，占100.00%，比上年增加0.00万元，增长0.00%，主要原因是：本部门公务用车运行维护费与上年一致无变化。公务接待费支出0.00万元，占0.00%，比上年增加0.00万元，增长0.00%，主要原因是：2023年与2024年均未安排公务接待费支出。</w:t>
      </w:r>
    </w:p>
    <w:p w14:paraId="0EE0D66C">
      <w:pPr>
        <w:spacing w:line="580" w:lineRule="exact"/>
        <w:ind w:firstLine="640"/>
        <w:jc w:val="both"/>
      </w:pPr>
      <w:r>
        <w:rPr>
          <w:rFonts w:ascii="仿宋_GB2312" w:hAnsi="仿宋_GB2312" w:eastAsia="仿宋_GB2312"/>
          <w:b/>
          <w:sz w:val="32"/>
        </w:rPr>
        <w:t>具体情况如下：</w:t>
      </w:r>
    </w:p>
    <w:p w14:paraId="434FC5BF">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51B9CBFD">
      <w:pPr>
        <w:spacing w:line="580" w:lineRule="exact"/>
        <w:ind w:firstLine="640"/>
        <w:jc w:val="both"/>
      </w:pPr>
      <w:r>
        <w:rPr>
          <w:rFonts w:ascii="仿宋_GB2312" w:hAnsi="仿宋_GB2312" w:eastAsia="仿宋_GB2312"/>
          <w:b w:val="0"/>
          <w:sz w:val="32"/>
        </w:rPr>
        <w:t>公务用车购置及运行维护费20.00万元，其中：公务用车购置费0.00万元，公务用车运行维护费20.00万元。公务用车运行维护费开支内容包括车辆加油费、维修费、保险费、审车费、过路费。公务用车购置数0辆，公务用车保有量6辆。国有资产占用情况中固定资产车辆6辆，与公务用车保有量差异原因是：本部门固定资产车辆与公务用车保有量一致无差异。</w:t>
      </w:r>
    </w:p>
    <w:p w14:paraId="2FD9CC40">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6D788B3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20.00万元，决算数20.00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20.00万元，决算数20.00万元，预决算差异率0.00%，主要原因是：严格按照预算执行，预决算无差异。公务接待费全年预算数0.00万元，决算数0.00万元，预决算差异率0.00%，主要原因是：本部门无公务接待费。</w:t>
      </w:r>
    </w:p>
    <w:p w14:paraId="5383B661">
      <w:pPr>
        <w:spacing w:line="640" w:lineRule="exact"/>
        <w:ind w:firstLine="640"/>
        <w:jc w:val="both"/>
        <w:outlineLvl w:val="2"/>
      </w:pPr>
      <w:r>
        <w:rPr>
          <w:rFonts w:ascii="黑体" w:hAnsi="黑体" w:eastAsia="黑体"/>
          <w:sz w:val="32"/>
        </w:rPr>
        <w:t>十、其他重要事项的情况说明</w:t>
      </w:r>
    </w:p>
    <w:p w14:paraId="7EE5DA7F">
      <w:pPr>
        <w:spacing w:line="640" w:lineRule="exact"/>
        <w:ind w:firstLine="640"/>
        <w:jc w:val="both"/>
        <w:outlineLvl w:val="3"/>
      </w:pPr>
      <w:r>
        <w:rPr>
          <w:rFonts w:ascii="楷体_GB2312" w:hAnsi="楷体_GB2312" w:eastAsia="楷体_GB2312"/>
          <w:b/>
          <w:sz w:val="32"/>
        </w:rPr>
        <w:t>（一）机关运行经费及公用经费支出情况</w:t>
      </w:r>
    </w:p>
    <w:p w14:paraId="4419B319">
      <w:pPr>
        <w:spacing w:line="580" w:lineRule="exact"/>
        <w:ind w:firstLine="640"/>
        <w:jc w:val="both"/>
      </w:pPr>
      <w:r>
        <w:rPr>
          <w:rFonts w:ascii="仿宋_GB2312" w:hAnsi="仿宋_GB2312" w:eastAsia="仿宋_GB2312"/>
          <w:b w:val="0"/>
          <w:sz w:val="32"/>
        </w:rPr>
        <w:t>2024年度新疆巴州轮台县人民检察院（行政单位和参照公务员法管理事业单位）机关运行经费支出46.74万元，比上年增加2.01万元，增长4.49%，主要原因是：本年办公费增加，导致机关运行经费支出增加。</w:t>
      </w:r>
    </w:p>
    <w:p w14:paraId="03017DBE">
      <w:pPr>
        <w:spacing w:line="640" w:lineRule="exact"/>
        <w:ind w:firstLine="640"/>
        <w:jc w:val="both"/>
        <w:outlineLvl w:val="3"/>
      </w:pPr>
      <w:r>
        <w:rPr>
          <w:rFonts w:ascii="楷体_GB2312" w:hAnsi="楷体_GB2312" w:eastAsia="楷体_GB2312"/>
          <w:b/>
          <w:sz w:val="32"/>
        </w:rPr>
        <w:t>（二）政府采购情况</w:t>
      </w:r>
    </w:p>
    <w:p w14:paraId="3B852A47">
      <w:pPr>
        <w:spacing w:line="580" w:lineRule="exact"/>
        <w:ind w:firstLine="640"/>
        <w:jc w:val="both"/>
      </w:pPr>
      <w:r>
        <w:rPr>
          <w:rFonts w:ascii="仿宋_GB2312" w:hAnsi="仿宋_GB2312" w:eastAsia="仿宋_GB2312"/>
          <w:b w:val="0"/>
          <w:sz w:val="32"/>
        </w:rPr>
        <w:t>2024年度政府采购支出总额57.39万元，其中：政府采购货物支出21.44万元、政府采购工程支出14.59万元、政府采购服务支出21.36万元。</w:t>
      </w:r>
    </w:p>
    <w:p w14:paraId="5883D756">
      <w:pPr>
        <w:spacing w:line="580" w:lineRule="exact"/>
        <w:ind w:firstLine="640"/>
        <w:jc w:val="both"/>
      </w:pPr>
      <w:r>
        <w:rPr>
          <w:rFonts w:ascii="仿宋_GB2312" w:hAnsi="仿宋_GB2312" w:eastAsia="仿宋_GB2312"/>
          <w:b w:val="0"/>
          <w:sz w:val="32"/>
        </w:rPr>
        <w:t>授予中小企业合同金额57.39万元，占政府采购支出总额的100.00%，其中：授予小微企业合同金额55.07万元，占政府采购支出总额的95.96%。</w:t>
      </w:r>
    </w:p>
    <w:p w14:paraId="2D6E5347">
      <w:pPr>
        <w:spacing w:line="640" w:lineRule="exact"/>
        <w:ind w:firstLine="640"/>
        <w:jc w:val="both"/>
        <w:outlineLvl w:val="3"/>
      </w:pPr>
      <w:r>
        <w:rPr>
          <w:rFonts w:ascii="楷体_GB2312" w:hAnsi="楷体_GB2312" w:eastAsia="楷体_GB2312"/>
          <w:b/>
          <w:sz w:val="32"/>
        </w:rPr>
        <w:t>（三）国有资产占用情况说明</w:t>
      </w:r>
    </w:p>
    <w:p w14:paraId="79F2A5BD">
      <w:pPr>
        <w:spacing w:line="580" w:lineRule="exact"/>
        <w:ind w:firstLine="640"/>
        <w:jc w:val="both"/>
      </w:pPr>
      <w:r>
        <w:rPr>
          <w:rFonts w:ascii="仿宋_GB2312" w:hAnsi="仿宋_GB2312" w:eastAsia="仿宋_GB2312"/>
          <w:b w:val="0"/>
          <w:sz w:val="32"/>
        </w:rPr>
        <w:t>截至2024年12月31日，房屋7,455.00平方米，价值1,695.73万元。车辆6辆，价值115.21万元，其中：副部（省）级及以上领导用车0辆、主要负责人用车0辆、机要通信用车0辆、应急保障用车0辆、执法执勤用车4辆、特种专业技术用车2辆、离退休干部服务用车0辆、其他用车0辆，其他用车主要是：本部门无其他用车。单价100万元（含）以上设备（不含车辆）0台（套）。</w:t>
      </w:r>
    </w:p>
    <w:p w14:paraId="6B44BBEC">
      <w:pPr>
        <w:spacing w:line="640" w:lineRule="exact"/>
        <w:ind w:firstLine="640"/>
        <w:jc w:val="both"/>
        <w:outlineLvl w:val="2"/>
      </w:pPr>
      <w:r>
        <w:rPr>
          <w:rFonts w:ascii="黑体" w:hAnsi="黑体" w:eastAsia="黑体"/>
          <w:sz w:val="32"/>
        </w:rPr>
        <w:t>十一、预算绩效的情况说明</w:t>
      </w:r>
    </w:p>
    <w:p w14:paraId="5C199256">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根据预算绩效管理要求，本部门2024年度预算绩效管理形成整体支出绩效自评表1个，全年预算总额974.68万元，实际执行总额970.41万元；预算绩效评价项目</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rPr>
        <w:t>242.57</w:t>
      </w:r>
      <w:r>
        <w:rPr>
          <w:rFonts w:ascii="仿宋_GB2312" w:hAnsi="仿宋_GB2312" w:eastAsia="仿宋_GB2312"/>
          <w:b w:val="0"/>
          <w:sz w:val="32"/>
        </w:rPr>
        <w:t>万元，全年执行数</w:t>
      </w:r>
      <w:r>
        <w:rPr>
          <w:rFonts w:hint="eastAsia" w:ascii="仿宋_GB2312" w:hAnsi="仿宋_GB2312" w:eastAsia="仿宋_GB2312"/>
          <w:b w:val="0"/>
          <w:sz w:val="32"/>
        </w:rPr>
        <w:t>242.57</w:t>
      </w:r>
      <w:r>
        <w:rPr>
          <w:rFonts w:ascii="仿宋_GB2312" w:hAnsi="仿宋_GB2312" w:eastAsia="仿宋_GB2312"/>
          <w:b w:val="0"/>
          <w:sz w:val="32"/>
        </w:rPr>
        <w:t>万元。预算绩效管理取得的成效：一是围绕核心职能科学设定绩效指标，年度绩效目标完成率显著提高，重点工作任务按计划推进，公共服务质量持续优化；二是建立动态绩效监控机制，及时调整执行偏差，资金使用更加精准高效，低效无效支出有效减少；三是业务流程持续优化，服务响应速度加快，群众办事便利度明显改善。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w:t>
      </w:r>
    </w:p>
    <w:p w14:paraId="31B8A2A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391FEF5">
        <w:tblPrEx>
          <w:tblCellMar>
            <w:top w:w="0" w:type="dxa"/>
            <w:left w:w="108" w:type="dxa"/>
            <w:bottom w:w="0" w:type="dxa"/>
            <w:right w:w="108" w:type="dxa"/>
          </w:tblCellMar>
        </w:tblPrEx>
        <w:tc>
          <w:tcPr>
            <w:tcW w:w="8840" w:type="dxa"/>
            <w:gridSpan w:val="8"/>
            <w:vAlign w:val="center"/>
          </w:tcPr>
          <w:p w14:paraId="43C65E5C">
            <w:pPr>
              <w:jc w:val="center"/>
            </w:pPr>
            <w:r>
              <w:rPr>
                <w:rFonts w:ascii="宋体" w:hAnsi="宋体" w:eastAsia="宋体"/>
                <w:sz w:val="24"/>
              </w:rPr>
              <w:t>部门整体支出绩效自评表</w:t>
            </w:r>
          </w:p>
        </w:tc>
      </w:tr>
      <w:tr w14:paraId="1B4169A7">
        <w:tblPrEx>
          <w:tblCellMar>
            <w:top w:w="0" w:type="dxa"/>
            <w:left w:w="108" w:type="dxa"/>
            <w:bottom w:w="0" w:type="dxa"/>
            <w:right w:w="108" w:type="dxa"/>
          </w:tblCellMar>
        </w:tblPrEx>
        <w:tc>
          <w:tcPr>
            <w:tcW w:w="8840" w:type="dxa"/>
            <w:gridSpan w:val="8"/>
            <w:vAlign w:val="center"/>
          </w:tcPr>
          <w:p w14:paraId="4A971FD1">
            <w:pPr>
              <w:jc w:val="center"/>
            </w:pPr>
            <w:r>
              <w:rPr>
                <w:rFonts w:ascii="宋体" w:hAnsi="宋体" w:eastAsia="宋体"/>
                <w:sz w:val="24"/>
              </w:rPr>
              <w:t>（2024年度）</w:t>
            </w:r>
          </w:p>
        </w:tc>
      </w:tr>
      <w:tr w14:paraId="0B4A323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57F06A">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95825F">
            <w:pPr>
              <w:jc w:val="center"/>
            </w:pPr>
            <w:r>
              <w:rPr>
                <w:rFonts w:ascii="宋体" w:hAnsi="宋体" w:eastAsia="宋体"/>
                <w:sz w:val="16"/>
              </w:rPr>
              <w:t>新疆巴州轮台县人民检察院</w:t>
            </w:r>
          </w:p>
        </w:tc>
      </w:tr>
      <w:tr w14:paraId="50D4F12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675ED">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B5795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B567AA">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E96DAF">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F3514F">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F7CDD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059C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E03DBD">
            <w:pPr>
              <w:jc w:val="center"/>
            </w:pPr>
            <w:r>
              <w:rPr>
                <w:rFonts w:ascii="宋体" w:hAnsi="宋体" w:eastAsia="宋体"/>
                <w:sz w:val="16"/>
              </w:rPr>
              <w:t>得分</w:t>
            </w:r>
          </w:p>
        </w:tc>
      </w:tr>
      <w:tr w14:paraId="4AFDF5C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510AB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98D4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004298">
            <w:pPr>
              <w:jc w:val="center"/>
            </w:pPr>
            <w:r>
              <w:rPr>
                <w:rFonts w:ascii="宋体" w:hAnsi="宋体" w:eastAsia="宋体"/>
                <w:sz w:val="16"/>
              </w:rPr>
              <w:t>755.25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0F9EB1">
            <w:pPr>
              <w:jc w:val="center"/>
            </w:pPr>
            <w:r>
              <w:rPr>
                <w:rFonts w:ascii="宋体" w:hAnsi="宋体" w:eastAsia="宋体"/>
                <w:sz w:val="16"/>
              </w:rPr>
              <w:t>974.68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E5CE2F">
            <w:pPr>
              <w:jc w:val="center"/>
            </w:pPr>
            <w:r>
              <w:rPr>
                <w:rFonts w:ascii="宋体" w:hAnsi="宋体" w:eastAsia="宋体"/>
                <w:sz w:val="16"/>
              </w:rPr>
              <w:t>970.41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8A150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3BB995">
            <w:pPr>
              <w:jc w:val="center"/>
            </w:pPr>
            <w:r>
              <w:rPr>
                <w:rFonts w:ascii="宋体" w:hAnsi="宋体" w:eastAsia="宋体"/>
                <w:sz w:val="16"/>
              </w:rPr>
              <w:t>99.56%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D8010A">
            <w:pPr>
              <w:jc w:val="center"/>
            </w:pPr>
            <w:r>
              <w:rPr>
                <w:rFonts w:ascii="宋体" w:hAnsi="宋体" w:eastAsia="宋体"/>
                <w:sz w:val="16"/>
              </w:rPr>
              <w:t>9.96</w:t>
            </w:r>
          </w:p>
        </w:tc>
      </w:tr>
      <w:tr w14:paraId="4E96D1E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8871D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F493FC">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ABC442">
            <w:pPr>
              <w:jc w:val="center"/>
            </w:pPr>
            <w:r>
              <w:rPr>
                <w:rFonts w:ascii="宋体" w:hAnsi="宋体" w:eastAsia="宋体"/>
                <w:sz w:val="16"/>
              </w:rPr>
              <w:t>115.00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447687">
            <w:pPr>
              <w:jc w:val="center"/>
            </w:pPr>
            <w:r>
              <w:rPr>
                <w:rFonts w:ascii="宋体" w:hAnsi="宋体" w:eastAsia="宋体"/>
                <w:sz w:val="16"/>
              </w:rPr>
              <w:t>230.57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59DD86">
            <w:pPr>
              <w:jc w:val="center"/>
            </w:pPr>
            <w:r>
              <w:rPr>
                <w:rFonts w:ascii="宋体" w:hAnsi="宋体" w:eastAsia="宋体"/>
                <w:sz w:val="16"/>
              </w:rPr>
              <w:t>230.57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DFFFB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4D619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C326E6">
            <w:pPr>
              <w:jc w:val="center"/>
            </w:pPr>
            <w:r>
              <w:rPr>
                <w:rFonts w:ascii="宋体" w:hAnsi="宋体" w:eastAsia="宋体"/>
                <w:sz w:val="16"/>
              </w:rPr>
              <w:t>-</w:t>
            </w:r>
          </w:p>
        </w:tc>
      </w:tr>
      <w:tr w14:paraId="1573818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61D56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037141">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7C6AB8">
            <w:pPr>
              <w:jc w:val="center"/>
            </w:pPr>
            <w:r>
              <w:rPr>
                <w:rFonts w:ascii="宋体" w:hAnsi="宋体" w:eastAsia="宋体"/>
                <w:sz w:val="16"/>
              </w:rPr>
              <w:t>640.25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FA07AB">
            <w:pPr>
              <w:jc w:val="center"/>
            </w:pPr>
            <w:r>
              <w:rPr>
                <w:rFonts w:ascii="宋体" w:hAnsi="宋体" w:eastAsia="宋体"/>
                <w:sz w:val="16"/>
              </w:rPr>
              <w:t>744.11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DD1C9B">
            <w:pPr>
              <w:jc w:val="center"/>
            </w:pPr>
            <w:r>
              <w:rPr>
                <w:rFonts w:ascii="宋体" w:hAnsi="宋体" w:eastAsia="宋体"/>
                <w:sz w:val="16"/>
              </w:rPr>
              <w:t>739.84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E939D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203E6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C3E6D0">
            <w:pPr>
              <w:jc w:val="center"/>
            </w:pPr>
            <w:r>
              <w:rPr>
                <w:rFonts w:ascii="宋体" w:hAnsi="宋体" w:eastAsia="宋体"/>
                <w:sz w:val="16"/>
              </w:rPr>
              <w:t>-</w:t>
            </w:r>
          </w:p>
        </w:tc>
      </w:tr>
      <w:tr w14:paraId="16BD89D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75369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1EE6D2">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CA7A1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E756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A270B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CA80C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46C1E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65540A">
            <w:pPr>
              <w:jc w:val="center"/>
            </w:pPr>
            <w:r>
              <w:rPr>
                <w:rFonts w:ascii="宋体" w:hAnsi="宋体" w:eastAsia="宋体"/>
                <w:sz w:val="16"/>
              </w:rPr>
              <w:t>-</w:t>
            </w:r>
          </w:p>
        </w:tc>
      </w:tr>
      <w:tr w14:paraId="251D356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DF9D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D48C4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DA8C14">
            <w:pPr>
              <w:jc w:val="center"/>
            </w:pPr>
            <w:r>
              <w:rPr>
                <w:rFonts w:ascii="宋体" w:hAnsi="宋体" w:eastAsia="宋体"/>
                <w:sz w:val="16"/>
              </w:rPr>
              <w:t>实际完成情况</w:t>
            </w:r>
          </w:p>
        </w:tc>
      </w:tr>
      <w:tr w14:paraId="5B3F912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949C5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699341">
            <w:pPr>
              <w:jc w:val="both"/>
            </w:pPr>
            <w:r>
              <w:rPr>
                <w:rFonts w:ascii="宋体" w:hAnsi="宋体" w:eastAsia="宋体"/>
                <w:sz w:val="16"/>
              </w:rPr>
              <w:t>全面优化刑事检察监督,保障被监管人的合法权益；持续加强民行行政检察监督；大力推进公益诉讼检察 ；不断深化信访工作；打造忠诚干净担当的过硬检察队伍，保障检察业务工作正常运行，保障检察人员专项福利。</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092A19">
            <w:pPr>
              <w:jc w:val="both"/>
            </w:pPr>
            <w:r>
              <w:rPr>
                <w:rFonts w:ascii="宋体" w:hAnsi="宋体" w:eastAsia="宋体"/>
                <w:sz w:val="16"/>
              </w:rPr>
              <w:t>深化法律监督意识，落实相关监督机制，推动刑事、民事、行政和公益诉讼四大检查融合发展、一体履职，把法律监督贯穿融入法治新疆、法治政府、法治社会一体建设，受理民事检察案件数68件，认罪认罚适用率达到89.27%，检察建议采纳率达到94.73%。全面优化刑事检察监督，保障被监管人的合法权益；持续加强民行行政检察监督；大力推进公益诉讼检察；不断深化信访工作，加大对法律援助经费和司法救助资金的投入力度，群众信访案件满意度达到100%。打造忠诚干净担当的过硬检察队伍，保障检察业务工作正常运行。</w:t>
            </w:r>
          </w:p>
        </w:tc>
      </w:tr>
      <w:tr w14:paraId="02BF6BE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8FE3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77DAE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811D9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6084DE">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267D1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66CA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E7B37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EE028E">
            <w:pPr>
              <w:jc w:val="center"/>
            </w:pPr>
            <w:r>
              <w:rPr>
                <w:rFonts w:ascii="宋体" w:hAnsi="宋体" w:eastAsia="宋体"/>
                <w:sz w:val="16"/>
              </w:rPr>
              <w:t>得分</w:t>
            </w:r>
          </w:p>
        </w:tc>
      </w:tr>
      <w:tr w14:paraId="6D90C7F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2450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2EBD7">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BB7ECC">
            <w:pPr>
              <w:jc w:val="center"/>
            </w:pPr>
            <w:r>
              <w:rPr>
                <w:rFonts w:ascii="宋体" w:hAnsi="宋体" w:eastAsia="宋体"/>
                <w:sz w:val="16"/>
              </w:rPr>
              <w:t>受理民事检察案件数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73047F">
            <w:pPr>
              <w:jc w:val="center"/>
            </w:pPr>
            <w:r>
              <w:rPr>
                <w:rFonts w:ascii="宋体" w:hAnsi="宋体" w:eastAsia="宋体"/>
                <w:sz w:val="16"/>
              </w:rPr>
              <w:t>&gt;=90件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A41967">
            <w:pPr>
              <w:jc w:val="center"/>
            </w:pPr>
            <w:r>
              <w:rPr>
                <w:rFonts w:ascii="宋体" w:hAnsi="宋体" w:eastAsia="宋体"/>
                <w:sz w:val="16"/>
              </w:rPr>
              <w:t>年度工作报告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F95F5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ABB077">
            <w:pPr>
              <w:jc w:val="center"/>
            </w:pPr>
            <w:r>
              <w:rPr>
                <w:rFonts w:ascii="宋体" w:hAnsi="宋体" w:eastAsia="宋体"/>
                <w:sz w:val="16"/>
              </w:rPr>
              <w:t>68件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BCFBCB">
            <w:pPr>
              <w:jc w:val="center"/>
            </w:pPr>
            <w:r>
              <w:rPr>
                <w:rFonts w:ascii="宋体" w:hAnsi="宋体" w:eastAsia="宋体"/>
                <w:sz w:val="16"/>
              </w:rPr>
              <w:t>22.67</w:t>
            </w:r>
          </w:p>
        </w:tc>
      </w:tr>
      <w:tr w14:paraId="24B045B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B9D47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1493E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79A37E">
            <w:pPr>
              <w:jc w:val="center"/>
            </w:pPr>
            <w:r>
              <w:rPr>
                <w:rFonts w:ascii="宋体" w:hAnsi="宋体" w:eastAsia="宋体"/>
                <w:sz w:val="16"/>
              </w:rPr>
              <w:t>检察建议采纳率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6990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92521">
            <w:pPr>
              <w:jc w:val="center"/>
            </w:pPr>
            <w:r>
              <w:rPr>
                <w:rFonts w:ascii="宋体" w:hAnsi="宋体" w:eastAsia="宋体"/>
                <w:sz w:val="16"/>
              </w:rPr>
              <w:t>年度工作报告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9AAAA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C4647">
            <w:pPr>
              <w:jc w:val="center"/>
            </w:pPr>
            <w:r>
              <w:rPr>
                <w:rFonts w:ascii="宋体" w:hAnsi="宋体" w:eastAsia="宋体"/>
                <w:sz w:val="16"/>
              </w:rPr>
              <w:t>94.73%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E68DA5">
            <w:pPr>
              <w:jc w:val="center"/>
            </w:pPr>
            <w:r>
              <w:rPr>
                <w:rFonts w:ascii="宋体" w:hAnsi="宋体" w:eastAsia="宋体"/>
                <w:sz w:val="16"/>
              </w:rPr>
              <w:t>28.42</w:t>
            </w:r>
          </w:p>
        </w:tc>
      </w:tr>
      <w:tr w14:paraId="544637C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FDCC4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2E31E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7E2E79">
            <w:pPr>
              <w:jc w:val="center"/>
            </w:pPr>
            <w:r>
              <w:rPr>
                <w:rFonts w:ascii="宋体" w:hAnsi="宋体" w:eastAsia="宋体"/>
                <w:sz w:val="16"/>
              </w:rPr>
              <w:t>认罪认罚适用率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E20D1E">
            <w:pPr>
              <w:jc w:val="center"/>
            </w:pPr>
            <w:r>
              <w:rPr>
                <w:rFonts w:ascii="宋体" w:hAnsi="宋体" w:eastAsia="宋体"/>
                <w:sz w:val="16"/>
              </w:rPr>
              <w:t>&gt;=93%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6C3855">
            <w:pPr>
              <w:jc w:val="center"/>
            </w:pPr>
            <w:r>
              <w:rPr>
                <w:rFonts w:ascii="宋体" w:hAnsi="宋体" w:eastAsia="宋体"/>
                <w:sz w:val="16"/>
              </w:rPr>
              <w:t>年度工作报告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CFE3E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CAA67D">
            <w:pPr>
              <w:jc w:val="center"/>
            </w:pPr>
            <w:r>
              <w:rPr>
                <w:rFonts w:ascii="宋体" w:hAnsi="宋体" w:eastAsia="宋体"/>
                <w:sz w:val="16"/>
              </w:rPr>
              <w:t>89.27%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645EF">
            <w:pPr>
              <w:jc w:val="center"/>
            </w:pPr>
            <w:r>
              <w:rPr>
                <w:rFonts w:ascii="宋体" w:hAnsi="宋体" w:eastAsia="宋体"/>
                <w:sz w:val="16"/>
              </w:rPr>
              <w:t>19.2</w:t>
            </w:r>
          </w:p>
        </w:tc>
      </w:tr>
      <w:tr w14:paraId="7C4FF86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2781A7">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107A48">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0A6861">
            <w:pPr>
              <w:jc w:val="center"/>
            </w:pPr>
            <w:r>
              <w:rPr>
                <w:rFonts w:ascii="宋体" w:hAnsi="宋体" w:eastAsia="宋体"/>
                <w:sz w:val="16"/>
              </w:rPr>
              <w:t>案件当事人满意度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BB6B3F">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593594">
            <w:pPr>
              <w:jc w:val="center"/>
            </w:pPr>
            <w:r>
              <w:rPr>
                <w:rFonts w:ascii="宋体" w:hAnsi="宋体" w:eastAsia="宋体"/>
                <w:sz w:val="16"/>
              </w:rPr>
              <w:t>年度工作报告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2C4FE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162E7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19E60E">
            <w:pPr>
              <w:jc w:val="center"/>
            </w:pPr>
            <w:r>
              <w:rPr>
                <w:rFonts w:ascii="宋体" w:hAnsi="宋体" w:eastAsia="宋体"/>
                <w:sz w:val="16"/>
              </w:rPr>
              <w:t>10</w:t>
            </w:r>
          </w:p>
        </w:tc>
      </w:tr>
    </w:tbl>
    <w:p w14:paraId="37BEEB3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487D0150">
        <w:tblPrEx>
          <w:tblCellMar>
            <w:top w:w="0" w:type="dxa"/>
            <w:left w:w="108" w:type="dxa"/>
            <w:bottom w:w="0" w:type="dxa"/>
            <w:right w:w="108" w:type="dxa"/>
          </w:tblCellMar>
        </w:tblPrEx>
        <w:tc>
          <w:tcPr>
            <w:tcW w:w="8848" w:type="dxa"/>
            <w:gridSpan w:val="14"/>
            <w:vAlign w:val="center"/>
          </w:tcPr>
          <w:p w14:paraId="604D4974">
            <w:pPr>
              <w:jc w:val="center"/>
            </w:pPr>
            <w:r>
              <w:rPr>
                <w:rFonts w:ascii="宋体" w:hAnsi="宋体" w:eastAsia="宋体"/>
                <w:sz w:val="24"/>
              </w:rPr>
              <w:t>项目支出绩效自评表</w:t>
            </w:r>
          </w:p>
        </w:tc>
      </w:tr>
      <w:tr w14:paraId="56C97BE9">
        <w:tblPrEx>
          <w:tblCellMar>
            <w:top w:w="0" w:type="dxa"/>
            <w:left w:w="108" w:type="dxa"/>
            <w:bottom w:w="0" w:type="dxa"/>
            <w:right w:w="108" w:type="dxa"/>
          </w:tblCellMar>
        </w:tblPrEx>
        <w:tc>
          <w:tcPr>
            <w:tcW w:w="8848" w:type="dxa"/>
            <w:gridSpan w:val="14"/>
            <w:vAlign w:val="center"/>
          </w:tcPr>
          <w:p w14:paraId="3BBB1BBA">
            <w:pPr>
              <w:jc w:val="center"/>
            </w:pPr>
            <w:r>
              <w:rPr>
                <w:rFonts w:ascii="宋体" w:hAnsi="宋体" w:eastAsia="宋体"/>
                <w:sz w:val="24"/>
              </w:rPr>
              <w:t>(2024年度)</w:t>
            </w:r>
          </w:p>
        </w:tc>
      </w:tr>
      <w:tr w14:paraId="5E215E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F3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B1382C">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5508A5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36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64417E">
            <w:pPr>
              <w:jc w:val="center"/>
            </w:pPr>
            <w:r>
              <w:rPr>
                <w:rFonts w:ascii="宋体" w:hAnsi="宋体" w:eastAsia="宋体"/>
                <w:sz w:val="16"/>
              </w:rPr>
              <w:t>新疆巴州轮台县人民检察院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7968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5EE519">
            <w:pPr>
              <w:jc w:val="center"/>
            </w:pPr>
            <w:r>
              <w:rPr>
                <w:rFonts w:ascii="宋体" w:hAnsi="宋体" w:eastAsia="宋体"/>
                <w:sz w:val="16"/>
              </w:rPr>
              <w:t>新疆巴州轮台县人民检察院</w:t>
            </w:r>
          </w:p>
        </w:tc>
      </w:tr>
      <w:tr w14:paraId="782092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F926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AB5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735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9A9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39E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553F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CFA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3F58">
            <w:pPr>
              <w:jc w:val="center"/>
            </w:pPr>
            <w:r>
              <w:rPr>
                <w:rFonts w:ascii="宋体" w:hAnsi="宋体" w:eastAsia="宋体"/>
                <w:sz w:val="16"/>
              </w:rPr>
              <w:t>得分</w:t>
            </w:r>
          </w:p>
        </w:tc>
      </w:tr>
      <w:tr w14:paraId="77AD1E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B21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8CA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75EB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C857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EB51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06E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E1FF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9CF6">
            <w:pPr>
              <w:jc w:val="center"/>
            </w:pPr>
            <w:r>
              <w:rPr>
                <w:rFonts w:ascii="宋体" w:hAnsi="宋体" w:eastAsia="宋体"/>
                <w:sz w:val="16"/>
              </w:rPr>
              <w:t>10.00</w:t>
            </w:r>
          </w:p>
        </w:tc>
      </w:tr>
      <w:tr w14:paraId="5792C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BDD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42B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2136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E7AD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322E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C4E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027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BC34">
            <w:pPr>
              <w:jc w:val="center"/>
            </w:pPr>
            <w:r>
              <w:rPr>
                <w:rFonts w:ascii="宋体" w:hAnsi="宋体" w:eastAsia="宋体"/>
                <w:sz w:val="16"/>
              </w:rPr>
              <w:t>-</w:t>
            </w:r>
          </w:p>
        </w:tc>
      </w:tr>
      <w:tr w14:paraId="5AA9D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52C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C55D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B25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390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13E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F95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74A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B4E4">
            <w:pPr>
              <w:jc w:val="center"/>
            </w:pPr>
            <w:r>
              <w:rPr>
                <w:rFonts w:ascii="宋体" w:hAnsi="宋体" w:eastAsia="宋体"/>
                <w:sz w:val="16"/>
              </w:rPr>
              <w:t>-</w:t>
            </w:r>
          </w:p>
        </w:tc>
      </w:tr>
      <w:tr w14:paraId="0BFE57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ED72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25DFD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3C8D79">
            <w:pPr>
              <w:jc w:val="center"/>
            </w:pPr>
            <w:r>
              <w:rPr>
                <w:rFonts w:ascii="宋体" w:hAnsi="宋体" w:eastAsia="宋体"/>
                <w:sz w:val="16"/>
              </w:rPr>
              <w:t>总体目标完成情况</w:t>
            </w:r>
          </w:p>
        </w:tc>
      </w:tr>
      <w:tr w14:paraId="7C5A0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C6F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E2EBAD">
            <w:pPr>
              <w:jc w:val="both"/>
            </w:pPr>
            <w:r>
              <w:rPr>
                <w:rFonts w:ascii="宋体" w:hAnsi="宋体" w:eastAsia="宋体"/>
                <w:sz w:val="16"/>
              </w:rPr>
              <w:t>合理合规使用为民办实事经费，确保为民办实事经费使用的安全性、规范性和实效性。确保轮台县铁热克巴扎乡托乎拉村工作队共6名工作人员，工作经费落实到实处。组织各项慰问和文体活动，提高居民文化生活水平。开展“民族团结一家亲”，团结关爱户、独居老人、社区干部联谊活动，加快资金支付进度，保障项目按期完成，提高为民办实事力度，提升群众获得感，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908CA5">
            <w:pPr>
              <w:jc w:val="both"/>
            </w:pPr>
            <w:r>
              <w:rPr>
                <w:rFonts w:ascii="宋体" w:hAnsi="宋体" w:eastAsia="宋体"/>
                <w:sz w:val="16"/>
              </w:rPr>
              <w:t>为全面贯彻新时代党的治疆方略，努力做好群众工作，落实惠民政策，我院开展</w:t>
            </w:r>
            <w:r>
              <w:rPr>
                <w:rFonts w:hint="eastAsia" w:ascii="宋体" w:hAnsi="宋体"/>
                <w:sz w:val="16"/>
                <w:lang w:eastAsia="zh-CN"/>
              </w:rPr>
              <w:t>为民办实事</w:t>
            </w:r>
            <w:r>
              <w:rPr>
                <w:rFonts w:ascii="宋体" w:hAnsi="宋体" w:eastAsia="宋体"/>
                <w:sz w:val="16"/>
              </w:rPr>
              <w:t>工作队经费项目，确保轮台县铁热克巴扎乡托乎拉村工作队共6名工作人员，工作经费落实到实处。组织慰问贫困户、困难学生，保障项目按期完成，提高为民办实事力度，提升群众获得感，切实做到为村民办实事、解民忧，着力解决村民</w:t>
            </w:r>
            <w:bookmarkStart w:id="0" w:name="_GoBack"/>
            <w:r>
              <w:rPr>
                <w:rFonts w:hint="eastAsia" w:ascii="宋体" w:hAnsi="宋体"/>
                <w:sz w:val="16"/>
                <w:lang w:eastAsia="zh-CN"/>
              </w:rPr>
              <w:t>急难愁盼问题</w:t>
            </w:r>
            <w:bookmarkEnd w:id="0"/>
            <w:r>
              <w:rPr>
                <w:rFonts w:ascii="宋体" w:hAnsi="宋体" w:eastAsia="宋体"/>
                <w:sz w:val="16"/>
              </w:rPr>
              <w:t>，把惠民生、暖民心、顺民意的工作做到群众心坎上。</w:t>
            </w:r>
          </w:p>
        </w:tc>
      </w:tr>
      <w:tr w14:paraId="25BB69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5D0F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8D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4D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47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9C70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4B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3E2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254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5CC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03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A52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51D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D4D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47C8">
            <w:pPr>
              <w:jc w:val="center"/>
            </w:pPr>
            <w:r>
              <w:rPr>
                <w:rFonts w:ascii="宋体" w:hAnsi="宋体" w:eastAsia="宋体"/>
                <w:sz w:val="16"/>
              </w:rPr>
              <w:t>偏差原因分析及改进措施</w:t>
            </w:r>
          </w:p>
        </w:tc>
      </w:tr>
      <w:tr w14:paraId="2D4AC1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480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3CA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43B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BDC4">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AE5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F9B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02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E0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031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34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493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D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9C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6DBC">
            <w:pPr>
              <w:jc w:val="center"/>
            </w:pPr>
          </w:p>
        </w:tc>
      </w:tr>
      <w:tr w14:paraId="1DE12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E86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1B2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39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625D">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D6A7">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F0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E0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91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AE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46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3EB7">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96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FD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0621">
            <w:pPr>
              <w:jc w:val="center"/>
            </w:pPr>
          </w:p>
        </w:tc>
      </w:tr>
      <w:tr w14:paraId="6C72B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BF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A5A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1B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D1F0">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F1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51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E6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91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4A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D1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1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87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A9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543C">
            <w:pPr>
              <w:jc w:val="center"/>
            </w:pPr>
          </w:p>
        </w:tc>
      </w:tr>
      <w:tr w14:paraId="3153C9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A3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BA4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4E4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1D62">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CF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D9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43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10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F0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9D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C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A3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D8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5081">
            <w:pPr>
              <w:jc w:val="center"/>
            </w:pPr>
          </w:p>
        </w:tc>
      </w:tr>
      <w:tr w14:paraId="36C3E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2F5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00E9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738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EBF4">
            <w:pPr>
              <w:jc w:val="center"/>
            </w:pPr>
            <w:r>
              <w:rPr>
                <w:rFonts w:ascii="宋体" w:hAnsi="宋体" w:eastAsia="宋体"/>
                <w:sz w:val="16"/>
              </w:rPr>
              <w:t>为民办实事工作经费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FF3A">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40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A6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4B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1F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71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1CADE">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1E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ED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1375">
            <w:pPr>
              <w:jc w:val="center"/>
            </w:pPr>
          </w:p>
        </w:tc>
      </w:tr>
      <w:tr w14:paraId="5DEF8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5A3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48D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008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BA12">
            <w:pPr>
              <w:jc w:val="center"/>
            </w:pPr>
            <w:r>
              <w:rPr>
                <w:rFonts w:ascii="宋体" w:hAnsi="宋体" w:eastAsia="宋体"/>
                <w:sz w:val="16"/>
              </w:rPr>
              <w:t>第一书记工作经费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5EF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8A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03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2A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CE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1A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1BB6">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60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AA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8B64">
            <w:pPr>
              <w:jc w:val="center"/>
            </w:pPr>
          </w:p>
        </w:tc>
      </w:tr>
      <w:tr w14:paraId="6611AA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299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409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E3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B610">
            <w:pPr>
              <w:jc w:val="center"/>
            </w:pPr>
            <w:r>
              <w:rPr>
                <w:rFonts w:ascii="宋体" w:hAnsi="宋体" w:eastAsia="宋体"/>
                <w:sz w:val="16"/>
              </w:rPr>
              <w:t>村民文化生活水平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29BF">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38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19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00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A9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EA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022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55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17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C475">
            <w:pPr>
              <w:jc w:val="center"/>
            </w:pPr>
          </w:p>
        </w:tc>
      </w:tr>
      <w:tr w14:paraId="5AE3E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939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C2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EC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E7DD">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50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1C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8A7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79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C5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73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56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3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2F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AE04">
            <w:pPr>
              <w:jc w:val="center"/>
            </w:pPr>
          </w:p>
        </w:tc>
      </w:tr>
      <w:tr w14:paraId="66BD497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B1997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2D44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0FE7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37F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B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0E4B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B830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5A54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71F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E6B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79BAB"/>
        </w:tc>
      </w:tr>
    </w:tbl>
    <w:p w14:paraId="55E90104">
      <w:r>
        <w:br w:type="page"/>
      </w:r>
    </w:p>
    <w:p w14:paraId="50F9863F">
      <w:pPr>
        <w:spacing w:line="640" w:lineRule="exact"/>
        <w:ind w:firstLine="640"/>
        <w:jc w:val="both"/>
        <w:outlineLvl w:val="2"/>
      </w:pPr>
      <w:r>
        <w:rPr>
          <w:rFonts w:ascii="黑体" w:hAnsi="黑体" w:eastAsia="黑体"/>
          <w:sz w:val="32"/>
        </w:rPr>
        <w:t>十二、其他需说明的事项</w:t>
      </w:r>
    </w:p>
    <w:p w14:paraId="24D7B6CB">
      <w:pPr>
        <w:spacing w:line="580" w:lineRule="exact"/>
        <w:ind w:firstLine="640"/>
        <w:jc w:val="both"/>
      </w:pPr>
      <w:r>
        <w:rPr>
          <w:rFonts w:ascii="仿宋_GB2312" w:hAnsi="仿宋_GB2312" w:eastAsia="仿宋_GB2312"/>
          <w:b w:val="0"/>
          <w:sz w:val="32"/>
        </w:rPr>
        <w:t>本年本部门SM项目2个，全年预算数230.57万元，全年执行230.57万元。</w:t>
      </w:r>
    </w:p>
    <w:p w14:paraId="3D31557E">
      <w:r>
        <w:br w:type="page"/>
      </w:r>
    </w:p>
    <w:p w14:paraId="7645C7FE">
      <w:pPr>
        <w:spacing w:line="240" w:lineRule="auto"/>
        <w:jc w:val="center"/>
        <w:outlineLvl w:val="1"/>
      </w:pPr>
      <w:r>
        <w:rPr>
          <w:rFonts w:ascii="黑体" w:hAnsi="黑体" w:eastAsia="黑体"/>
          <w:sz w:val="32"/>
        </w:rPr>
        <w:t>第三部分 专业名词解释</w:t>
      </w:r>
    </w:p>
    <w:p w14:paraId="45970F2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F02BF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C97341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FE5F85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18D110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C44572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2E66F5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5AEED0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E85C55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6ECDE6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CCABE4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ECC282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625E3F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C7DFB3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E985501">
      <w:r>
        <w:br w:type="page"/>
      </w:r>
    </w:p>
    <w:p w14:paraId="1DB65B2E">
      <w:pPr>
        <w:spacing w:line="240" w:lineRule="auto"/>
        <w:jc w:val="center"/>
        <w:outlineLvl w:val="1"/>
      </w:pPr>
      <w:r>
        <w:rPr>
          <w:rFonts w:ascii="黑体" w:hAnsi="黑体" w:eastAsia="黑体"/>
          <w:sz w:val="32"/>
        </w:rPr>
        <w:t>第四部分 部门决算报表（见附表）</w:t>
      </w:r>
    </w:p>
    <w:p w14:paraId="3121FD2D">
      <w:pPr>
        <w:spacing w:line="240" w:lineRule="auto"/>
        <w:ind w:firstLine="640"/>
        <w:jc w:val="both"/>
      </w:pPr>
      <w:r>
        <w:rPr>
          <w:rFonts w:ascii="仿宋_GB2312" w:hAnsi="仿宋_GB2312" w:eastAsia="仿宋_GB2312"/>
          <w:b w:val="0"/>
          <w:sz w:val="32"/>
        </w:rPr>
        <w:t>一、《收入支出决算总表》</w:t>
      </w:r>
    </w:p>
    <w:p w14:paraId="1DC68D36">
      <w:pPr>
        <w:spacing w:line="240" w:lineRule="auto"/>
        <w:ind w:firstLine="640"/>
        <w:jc w:val="both"/>
      </w:pPr>
      <w:r>
        <w:rPr>
          <w:rFonts w:ascii="仿宋_GB2312" w:hAnsi="仿宋_GB2312" w:eastAsia="仿宋_GB2312"/>
          <w:b w:val="0"/>
          <w:sz w:val="32"/>
        </w:rPr>
        <w:t>二、《收入决算表》</w:t>
      </w:r>
    </w:p>
    <w:p w14:paraId="423AEFEC">
      <w:pPr>
        <w:spacing w:line="240" w:lineRule="auto"/>
        <w:ind w:firstLine="640"/>
        <w:jc w:val="both"/>
      </w:pPr>
      <w:r>
        <w:rPr>
          <w:rFonts w:ascii="仿宋_GB2312" w:hAnsi="仿宋_GB2312" w:eastAsia="仿宋_GB2312"/>
          <w:b w:val="0"/>
          <w:sz w:val="32"/>
        </w:rPr>
        <w:t>三、《支出决算表》</w:t>
      </w:r>
    </w:p>
    <w:p w14:paraId="762D2180">
      <w:pPr>
        <w:spacing w:line="240" w:lineRule="auto"/>
        <w:ind w:firstLine="640"/>
        <w:jc w:val="both"/>
      </w:pPr>
      <w:r>
        <w:rPr>
          <w:rFonts w:ascii="仿宋_GB2312" w:hAnsi="仿宋_GB2312" w:eastAsia="仿宋_GB2312"/>
          <w:b w:val="0"/>
          <w:sz w:val="32"/>
        </w:rPr>
        <w:t>四、《财政拨款收入支出决算总表》</w:t>
      </w:r>
    </w:p>
    <w:p w14:paraId="6F9983AB">
      <w:pPr>
        <w:spacing w:line="240" w:lineRule="auto"/>
        <w:ind w:firstLine="640"/>
        <w:jc w:val="both"/>
      </w:pPr>
      <w:r>
        <w:rPr>
          <w:rFonts w:ascii="仿宋_GB2312" w:hAnsi="仿宋_GB2312" w:eastAsia="仿宋_GB2312"/>
          <w:b w:val="0"/>
          <w:sz w:val="32"/>
        </w:rPr>
        <w:t>五、《一般公共预算财政拨款支出决算表》</w:t>
      </w:r>
    </w:p>
    <w:p w14:paraId="661CA5BA">
      <w:pPr>
        <w:spacing w:line="240" w:lineRule="auto"/>
        <w:ind w:firstLine="640"/>
        <w:jc w:val="both"/>
      </w:pPr>
      <w:r>
        <w:rPr>
          <w:rFonts w:ascii="仿宋_GB2312" w:hAnsi="仿宋_GB2312" w:eastAsia="仿宋_GB2312"/>
          <w:b w:val="0"/>
          <w:sz w:val="32"/>
        </w:rPr>
        <w:t>六、《一般公共预算财政拨款基本支出决算表》</w:t>
      </w:r>
    </w:p>
    <w:p w14:paraId="3D696B9C">
      <w:pPr>
        <w:spacing w:line="240" w:lineRule="auto"/>
        <w:ind w:firstLine="640"/>
        <w:jc w:val="both"/>
      </w:pPr>
      <w:r>
        <w:rPr>
          <w:rFonts w:ascii="仿宋_GB2312" w:hAnsi="仿宋_GB2312" w:eastAsia="仿宋_GB2312"/>
          <w:b w:val="0"/>
          <w:sz w:val="32"/>
        </w:rPr>
        <w:t>七、《政府性基金预算财政拨款收入支出决算表》</w:t>
      </w:r>
    </w:p>
    <w:p w14:paraId="2278B133">
      <w:pPr>
        <w:spacing w:line="240" w:lineRule="auto"/>
        <w:ind w:firstLine="640"/>
        <w:jc w:val="both"/>
      </w:pPr>
      <w:r>
        <w:rPr>
          <w:rFonts w:ascii="仿宋_GB2312" w:hAnsi="仿宋_GB2312" w:eastAsia="仿宋_GB2312"/>
          <w:b w:val="0"/>
          <w:sz w:val="32"/>
        </w:rPr>
        <w:t>八、《国有资本经营预算财政拨款收入支出决算表》</w:t>
      </w:r>
    </w:p>
    <w:p w14:paraId="67C6A128">
      <w:pPr>
        <w:spacing w:line="240" w:lineRule="auto"/>
        <w:ind w:firstLine="640"/>
        <w:jc w:val="both"/>
      </w:pPr>
      <w:r>
        <w:rPr>
          <w:rFonts w:ascii="仿宋_GB2312" w:hAnsi="仿宋_GB2312" w:eastAsia="仿宋_GB2312"/>
          <w:b w:val="0"/>
          <w:sz w:val="32"/>
        </w:rPr>
        <w:t>九、《财政拨款“三公”经费支出决算表》</w:t>
      </w:r>
    </w:p>
    <w:p w14:paraId="21A04C87">
      <w:pPr>
        <w:spacing w:line="240" w:lineRule="auto"/>
        <w:ind w:firstLine="640"/>
        <w:jc w:val="both"/>
      </w:pPr>
    </w:p>
    <w:p w14:paraId="5AE33D99">
      <w:pPr>
        <w:spacing w:line="240" w:lineRule="auto"/>
        <w:ind w:firstLine="640"/>
        <w:jc w:val="both"/>
      </w:pPr>
    </w:p>
    <w:p w14:paraId="4086D1E8">
      <w:pPr>
        <w:spacing w:line="240" w:lineRule="auto"/>
        <w:ind w:firstLine="640"/>
        <w:jc w:val="both"/>
      </w:pPr>
    </w:p>
    <w:p w14:paraId="15D86C85">
      <w:pPr>
        <w:spacing w:line="240" w:lineRule="auto"/>
        <w:ind w:firstLine="640"/>
        <w:jc w:val="both"/>
      </w:pPr>
    </w:p>
    <w:p w14:paraId="2D8890E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9F866C7-D738-4B2F-971B-2F52787BD90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B3CA348-547E-45FE-B6E0-1B0C30DB8204}"/>
  </w:font>
  <w:font w:name="仿宋_GB2312">
    <w:altName w:val="仿宋"/>
    <w:panose1 w:val="02010609030101010101"/>
    <w:charset w:val="86"/>
    <w:family w:val="modern"/>
    <w:pitch w:val="default"/>
    <w:sig w:usb0="00000000" w:usb1="00000000" w:usb2="00000000" w:usb3="00000000" w:csb0="00040000" w:csb1="00000000"/>
    <w:embedRegular r:id="rId3" w:fontKey="{CA6BE870-8117-4EB3-AEAC-C647A742447D}"/>
  </w:font>
  <w:font w:name="楷体_GB2312">
    <w:altName w:val="楷体"/>
    <w:panose1 w:val="00000000000000000000"/>
    <w:charset w:val="00"/>
    <w:family w:val="auto"/>
    <w:pitch w:val="default"/>
    <w:sig w:usb0="00000000" w:usb1="00000000" w:usb2="00000000" w:usb3="00000000" w:csb0="00000000" w:csb1="00000000"/>
    <w:embedRegular r:id="rId4" w:fontKey="{F3B8E67C-3B56-4A73-BB11-770FB8D1CFB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5D141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5021</Words>
  <Characters>5746</Characters>
  <Lines>0</Lines>
  <Paragraphs>0</Paragraphs>
  <TotalTime>1</TotalTime>
  <ScaleCrop>false</ScaleCrop>
  <LinksUpToDate>false</LinksUpToDate>
  <CharactersWithSpaces>5754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2025-09-10T11:32:48Z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