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FE31FF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新疆巴州尉犁县人民检察院2024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C484ED">
      <w:r>
        <w:br w:type="page"/>
      </w:r>
    </w:p>
    <w:p w14:paraId="39983C63">
      <w:pPr>
        <w:spacing w:line="640" w:lineRule="exact"/>
        <w:jc w:val="center"/>
        <w:outlineLvl w:val="1"/>
      </w:pPr>
      <w:r>
        <w:rPr>
          <w:rFonts w:ascii="黑体" w:hAnsi="黑体" w:eastAsia="黑体"/>
          <w:sz w:val="32"/>
        </w:rPr>
        <w:t>第一部分 部门概况</w:t>
      </w:r>
    </w:p>
    <w:p w14:paraId="04398CA9">
      <w:pPr>
        <w:spacing w:line="640" w:lineRule="exact"/>
        <w:ind w:firstLine="640"/>
        <w:jc w:val="both"/>
        <w:outlineLvl w:val="2"/>
      </w:pPr>
      <w:r>
        <w:rPr>
          <w:rFonts w:ascii="黑体" w:hAnsi="黑体" w:eastAsia="黑体"/>
          <w:sz w:val="32"/>
        </w:rPr>
        <w:t>一、主要职能</w:t>
      </w:r>
    </w:p>
    <w:p w14:paraId="3A4E0BA3">
      <w:pPr>
        <w:spacing w:line="580" w:lineRule="exact"/>
        <w:ind w:firstLine="640"/>
        <w:jc w:val="both"/>
      </w:pPr>
      <w:r>
        <w:rPr>
          <w:rFonts w:ascii="仿宋_GB2312" w:hAnsi="仿宋_GB2312" w:eastAsia="仿宋_GB2312"/>
          <w:sz w:val="32"/>
        </w:rPr>
        <w:t>人民检察院是中华人民共和国国家法律监督机关，通过行使国家检察权来完成自己的任务。它对于危害国家安全案、危害公共安全案、侵犯公民人身权利、民主权利案和其他重大犯罪案件行使检察权；对于公安机关侦查的案件进行审查，决定是否逮捕、起诉或者免予起诉；对于刑事案件提起公诉、支持公诉；对于公安机关、人民法院和监狱、看守所、劳动改造机关的活动是否合法实行监督，对法院民事判决的监督、对行政机关不当履职的监督、公益诉讼等。</w:t>
      </w:r>
    </w:p>
    <w:p w14:paraId="2DBD6A53">
      <w:pPr>
        <w:spacing w:line="640" w:lineRule="exact"/>
        <w:ind w:firstLine="640"/>
        <w:jc w:val="both"/>
        <w:outlineLvl w:val="2"/>
      </w:pPr>
      <w:r>
        <w:rPr>
          <w:rFonts w:ascii="黑体" w:hAnsi="黑体" w:eastAsia="黑体"/>
          <w:sz w:val="32"/>
        </w:rPr>
        <w:t>二、机构设置及人员情况</w:t>
      </w:r>
    </w:p>
    <w:p w14:paraId="70B048CA">
      <w:pPr>
        <w:spacing w:line="580" w:lineRule="exact"/>
        <w:ind w:firstLine="640"/>
        <w:jc w:val="both"/>
      </w:pPr>
      <w:r>
        <w:rPr>
          <w:rFonts w:ascii="仿宋_GB2312" w:hAnsi="仿宋_GB2312" w:eastAsia="仿宋_GB2312"/>
          <w:sz w:val="32"/>
        </w:rPr>
        <w:t>新疆巴州尉犁县人民检察院2024年度，实有人数29人，其中：在职人员21人，减少2人；离休人员0人，增加0人；退休人员8人,增加3人。</w:t>
      </w:r>
    </w:p>
    <w:p w14:paraId="383C9684">
      <w:pPr>
        <w:spacing w:line="580" w:lineRule="exact"/>
        <w:ind w:firstLine="640"/>
        <w:jc w:val="both"/>
      </w:pPr>
      <w:r>
        <w:rPr>
          <w:rFonts w:ascii="仿宋_GB2312" w:hAnsi="仿宋_GB2312" w:eastAsia="仿宋_GB2312"/>
          <w:sz w:val="32"/>
        </w:rPr>
        <w:t>新疆巴州尉犁县人民检察院无下属预算单位，下设5个科室，分别是：第一检察部、第二检察部、第三检察部、办公室、政治部。</w:t>
      </w:r>
    </w:p>
    <w:p w14:paraId="4B31F3D7">
      <w:r>
        <w:br w:type="page"/>
      </w:r>
    </w:p>
    <w:p w14:paraId="63630EC7">
      <w:pPr>
        <w:spacing w:line="240" w:lineRule="auto"/>
        <w:jc w:val="center"/>
        <w:outlineLvl w:val="1"/>
      </w:pPr>
      <w:r>
        <w:rPr>
          <w:rFonts w:ascii="黑体" w:hAnsi="黑体" w:eastAsia="黑体"/>
          <w:sz w:val="32"/>
        </w:rPr>
        <w:t>第二部分 部门决算情况说明</w:t>
      </w:r>
    </w:p>
    <w:p w14:paraId="4448BAC0">
      <w:pPr>
        <w:spacing w:line="640" w:lineRule="exact"/>
        <w:ind w:firstLine="640"/>
        <w:jc w:val="both"/>
        <w:outlineLvl w:val="2"/>
      </w:pPr>
      <w:r>
        <w:rPr>
          <w:rFonts w:ascii="黑体" w:hAnsi="黑体" w:eastAsia="黑体"/>
          <w:sz w:val="32"/>
        </w:rPr>
        <w:t>一、收入支出决算总体情况说明</w:t>
      </w:r>
    </w:p>
    <w:p w14:paraId="06449683">
      <w:pPr>
        <w:spacing w:line="580" w:lineRule="exact"/>
        <w:ind w:firstLine="640"/>
        <w:jc w:val="both"/>
      </w:pPr>
      <w:r>
        <w:rPr>
          <w:rFonts w:ascii="仿宋_GB2312" w:hAnsi="仿宋_GB2312" w:eastAsia="仿宋_GB2312"/>
          <w:b/>
          <w:sz w:val="32"/>
        </w:rPr>
        <w:t>2024年度收入总计723.60万元，</w:t>
      </w:r>
      <w:r>
        <w:rPr>
          <w:rFonts w:ascii="仿宋_GB2312" w:hAnsi="仿宋_GB2312" w:eastAsia="仿宋_GB2312"/>
          <w:b w:val="0"/>
          <w:sz w:val="32"/>
        </w:rPr>
        <w:t>其中：本年收入合计723.60万元，使用非财政拨款结余（含专用结余）0.00万元，年初结转和结余0.00万元。</w:t>
      </w:r>
    </w:p>
    <w:p w14:paraId="0CD78674">
      <w:pPr>
        <w:spacing w:line="580" w:lineRule="exact"/>
        <w:ind w:firstLine="640"/>
        <w:jc w:val="both"/>
      </w:pPr>
      <w:r>
        <w:rPr>
          <w:rFonts w:ascii="仿宋_GB2312" w:hAnsi="仿宋_GB2312" w:eastAsia="仿宋_GB2312"/>
          <w:b/>
          <w:sz w:val="32"/>
        </w:rPr>
        <w:t>2024年度支出总计723.60万元，</w:t>
      </w:r>
      <w:r>
        <w:rPr>
          <w:rFonts w:ascii="仿宋_GB2312" w:hAnsi="仿宋_GB2312" w:eastAsia="仿宋_GB2312"/>
          <w:b w:val="0"/>
          <w:sz w:val="32"/>
        </w:rPr>
        <w:t>其中：本年支出合计723.56万元，结余分配0.00万元，年末结转和结余0.04万元。</w:t>
      </w:r>
    </w:p>
    <w:p w14:paraId="3FA4CD3F">
      <w:pPr>
        <w:spacing w:line="580" w:lineRule="exact"/>
        <w:ind w:firstLine="640"/>
        <w:jc w:val="both"/>
      </w:pPr>
      <w:r>
        <w:rPr>
          <w:rFonts w:ascii="仿宋_GB2312" w:hAnsi="仿宋_GB2312" w:eastAsia="仿宋_GB2312"/>
          <w:b w:val="0"/>
          <w:sz w:val="32"/>
        </w:rPr>
        <w:t>收入支出总体与上年相比，增加32.07万元，增长4.64%，主要原因是：本年增加援疆资金-办公经费、司法救助金项目，导致经费较上年增加。</w:t>
      </w:r>
    </w:p>
    <w:p w14:paraId="5BA11D15">
      <w:pPr>
        <w:spacing w:line="640" w:lineRule="exact"/>
        <w:ind w:firstLine="640"/>
        <w:jc w:val="both"/>
        <w:outlineLvl w:val="2"/>
      </w:pPr>
      <w:r>
        <w:rPr>
          <w:rFonts w:ascii="黑体" w:hAnsi="黑体" w:eastAsia="黑体"/>
          <w:sz w:val="32"/>
        </w:rPr>
        <w:t>二、收入决算情况说明</w:t>
      </w:r>
    </w:p>
    <w:p w14:paraId="439D36D9">
      <w:pPr>
        <w:spacing w:line="580" w:lineRule="exact"/>
        <w:ind w:firstLine="640"/>
        <w:jc w:val="both"/>
      </w:pPr>
      <w:r>
        <w:rPr>
          <w:rFonts w:ascii="仿宋_GB2312" w:hAnsi="仿宋_GB2312" w:eastAsia="仿宋_GB2312"/>
          <w:b/>
          <w:sz w:val="32"/>
        </w:rPr>
        <w:t>本年收入723.60万元，</w:t>
      </w:r>
      <w:r>
        <w:rPr>
          <w:rFonts w:ascii="仿宋_GB2312" w:hAnsi="仿宋_GB2312" w:eastAsia="仿宋_GB2312"/>
          <w:b w:val="0"/>
          <w:sz w:val="32"/>
        </w:rPr>
        <w:t>其中：财政拨款收入705.19万元，占97.46%；上级补助收入0.00万元，占0.00%；事业收入0.00万元，占0.00%；经营收入0.00万元，占0.00%；附属单位上缴收入0.00万元，占0.00%；其他收入18.41万元，占2.54%。</w:t>
      </w:r>
    </w:p>
    <w:p w14:paraId="13B6999C">
      <w:pPr>
        <w:spacing w:line="640" w:lineRule="exact"/>
        <w:ind w:firstLine="640"/>
        <w:jc w:val="both"/>
        <w:outlineLvl w:val="2"/>
      </w:pPr>
      <w:r>
        <w:rPr>
          <w:rFonts w:ascii="黑体" w:hAnsi="黑体" w:eastAsia="黑体"/>
          <w:sz w:val="32"/>
        </w:rPr>
        <w:t>三、支出决算情况说明</w:t>
      </w:r>
    </w:p>
    <w:p w14:paraId="59C6E629">
      <w:pPr>
        <w:spacing w:line="580" w:lineRule="exact"/>
        <w:ind w:firstLine="640"/>
        <w:jc w:val="both"/>
      </w:pPr>
      <w:r>
        <w:rPr>
          <w:rFonts w:ascii="仿宋_GB2312" w:hAnsi="仿宋_GB2312" w:eastAsia="仿宋_GB2312"/>
          <w:b/>
          <w:sz w:val="32"/>
        </w:rPr>
        <w:t>本年支出723.56万元，</w:t>
      </w:r>
      <w:r>
        <w:rPr>
          <w:rFonts w:ascii="仿宋_GB2312" w:hAnsi="仿宋_GB2312" w:eastAsia="仿宋_GB2312"/>
          <w:b w:val="0"/>
          <w:sz w:val="32"/>
        </w:rPr>
        <w:t>其中：基本支出592.56万元，占81.90%；项目支出131.00万元，占18.10%；上缴上级支出0.00万元，占0.00%；经营支出0.00万元，占0.00%；对附属单位补助支出0.00万元，占0.00%。</w:t>
      </w:r>
    </w:p>
    <w:p w14:paraId="61D6D5BF">
      <w:pPr>
        <w:spacing w:line="640" w:lineRule="exact"/>
        <w:ind w:firstLine="640"/>
        <w:jc w:val="both"/>
        <w:outlineLvl w:val="2"/>
      </w:pPr>
      <w:r>
        <w:rPr>
          <w:rFonts w:ascii="黑体" w:hAnsi="黑体" w:eastAsia="黑体"/>
          <w:sz w:val="32"/>
        </w:rPr>
        <w:t>四、财政拨款收入支出决算总体情况说明</w:t>
      </w:r>
    </w:p>
    <w:p w14:paraId="1806856D">
      <w:pPr>
        <w:spacing w:line="580" w:lineRule="exact"/>
        <w:ind w:firstLine="640"/>
        <w:jc w:val="both"/>
      </w:pPr>
      <w:r>
        <w:rPr>
          <w:rFonts w:ascii="仿宋_GB2312" w:hAnsi="仿宋_GB2312" w:eastAsia="仿宋_GB2312"/>
          <w:b/>
          <w:sz w:val="32"/>
        </w:rPr>
        <w:t>2024年度财政拨款收入总计705.19万元，</w:t>
      </w:r>
      <w:r>
        <w:rPr>
          <w:rFonts w:ascii="仿宋_GB2312" w:hAnsi="仿宋_GB2312" w:eastAsia="仿宋_GB2312"/>
          <w:b w:val="0"/>
          <w:sz w:val="32"/>
        </w:rPr>
        <w:t>其中：年初财政拨款结转和结余0.00万元，本年财政拨款收入705.19万元。</w:t>
      </w:r>
      <w:r>
        <w:rPr>
          <w:rFonts w:ascii="仿宋_GB2312" w:hAnsi="仿宋_GB2312" w:eastAsia="仿宋_GB2312"/>
          <w:b/>
          <w:sz w:val="32"/>
        </w:rPr>
        <w:t>财政拨款支出总计705.19万元，</w:t>
      </w:r>
      <w:r>
        <w:rPr>
          <w:rFonts w:ascii="仿宋_GB2312" w:hAnsi="仿宋_GB2312" w:eastAsia="仿宋_GB2312"/>
          <w:b w:val="0"/>
          <w:sz w:val="32"/>
        </w:rPr>
        <w:t>其中：年末财政拨款结转和结余0.00万元，本年财政拨款支出705.19万元。</w:t>
      </w:r>
    </w:p>
    <w:p w14:paraId="0602C82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增加16.79万元，增长2.44%，主要原因是：本年新增退休人员，职业年金缴费增加，增加司法救助金项目，导致经费较上年增加。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年初预算数709.74万元，决算数705.19万元，预决算差异率-0.64%，主要原因是：本年在职人员减少，年中调减人员经费，导致预决算存在差异。</w:t>
      </w:r>
    </w:p>
    <w:p w14:paraId="5E37098A">
      <w:pPr>
        <w:spacing w:line="640" w:lineRule="exact"/>
        <w:ind w:firstLine="640"/>
        <w:jc w:val="both"/>
        <w:outlineLvl w:val="2"/>
      </w:pPr>
      <w:r>
        <w:rPr>
          <w:rFonts w:ascii="黑体" w:hAnsi="黑体" w:eastAsia="黑体"/>
          <w:sz w:val="32"/>
        </w:rPr>
        <w:t>五、一般公共预算财政拨款支出决算情况说明</w:t>
      </w:r>
    </w:p>
    <w:p w14:paraId="1C20E9CA">
      <w:pPr>
        <w:spacing w:line="640" w:lineRule="exact"/>
        <w:ind w:firstLine="640"/>
        <w:jc w:val="both"/>
        <w:outlineLvl w:val="3"/>
      </w:pPr>
      <w:r>
        <w:rPr>
          <w:rFonts w:ascii="楷体_GB2312" w:hAnsi="楷体_GB2312" w:eastAsia="楷体_GB2312"/>
          <w:b/>
          <w:sz w:val="32"/>
        </w:rPr>
        <w:t>（一）一般公共预算财政拨款支出决算总体情况</w:t>
      </w:r>
    </w:p>
    <w:p w14:paraId="05CE2CB0">
      <w:pPr>
        <w:spacing w:line="580" w:lineRule="exact"/>
        <w:ind w:firstLine="640"/>
        <w:jc w:val="both"/>
      </w:pPr>
      <w:r>
        <w:rPr>
          <w:rFonts w:ascii="仿宋_GB2312" w:hAnsi="仿宋_GB2312" w:eastAsia="仿宋_GB2312"/>
          <w:b/>
          <w:sz w:val="32"/>
        </w:rPr>
        <w:t>2024年度一般公共预算财政拨款支出705.19万元，</w:t>
      </w:r>
      <w:r>
        <w:rPr>
          <w:rFonts w:ascii="仿宋_GB2312" w:hAnsi="仿宋_GB2312" w:eastAsia="仿宋_GB2312"/>
          <w:b w:val="0"/>
          <w:sz w:val="32"/>
        </w:rPr>
        <w:t>占本年支出合计的97.46%。</w:t>
      </w:r>
      <w:r>
        <w:rPr>
          <w:rFonts w:ascii="仿宋_GB2312" w:hAnsi="仿宋_GB2312" w:eastAsia="仿宋_GB2312"/>
          <w:b/>
          <w:sz w:val="32"/>
        </w:rPr>
        <w:t>与上年相比，</w:t>
      </w:r>
      <w:r>
        <w:rPr>
          <w:rFonts w:ascii="仿宋_GB2312" w:hAnsi="仿宋_GB2312" w:eastAsia="仿宋_GB2312"/>
          <w:b w:val="0"/>
          <w:sz w:val="32"/>
        </w:rPr>
        <w:t>增加16.79万元，增长2.44%，主要原因是：本年新增退休人员，职业年金缴费增加，增加司法救助金项目，导致经费较上年增加。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年初预算数709.74万元，决算数705.19万元，预决算差异率-0.64%，主要原因是：本年在职人员减少，年中调减人员经费，导致预决算存在差异。</w:t>
      </w:r>
    </w:p>
    <w:p w14:paraId="60CAB590">
      <w:pPr>
        <w:spacing w:line="640" w:lineRule="exact"/>
        <w:ind w:firstLine="640"/>
        <w:jc w:val="both"/>
        <w:outlineLvl w:val="3"/>
      </w:pPr>
      <w:r>
        <w:rPr>
          <w:rFonts w:ascii="楷体_GB2312" w:hAnsi="楷体_GB2312" w:eastAsia="楷体_GB2312"/>
          <w:b/>
          <w:sz w:val="32"/>
        </w:rPr>
        <w:t>（二）一般公共预算财政拨款支出决算结构情况</w:t>
      </w:r>
    </w:p>
    <w:p w14:paraId="7E912512">
      <w:pPr>
        <w:spacing w:line="580" w:lineRule="exact"/>
        <w:ind w:firstLine="640"/>
        <w:jc w:val="both"/>
      </w:pPr>
      <w:r>
        <w:rPr>
          <w:rFonts w:ascii="仿宋_GB2312" w:hAnsi="仿宋_GB2312" w:eastAsia="仿宋_GB2312"/>
          <w:b w:val="0"/>
          <w:sz w:val="32"/>
        </w:rPr>
        <w:t>1.公共安全支出(类)565.77万元,占80.23%。</w:t>
      </w:r>
    </w:p>
    <w:p w14:paraId="4E3738ED">
      <w:pPr>
        <w:spacing w:line="580" w:lineRule="exact"/>
        <w:ind w:firstLine="640"/>
        <w:jc w:val="both"/>
      </w:pPr>
      <w:r>
        <w:rPr>
          <w:rFonts w:ascii="仿宋_GB2312" w:hAnsi="仿宋_GB2312" w:eastAsia="仿宋_GB2312"/>
          <w:b w:val="0"/>
          <w:sz w:val="32"/>
        </w:rPr>
        <w:t>2.教育支出(类)2.82万元,占0.40%。</w:t>
      </w:r>
    </w:p>
    <w:p w14:paraId="5D566B4D">
      <w:pPr>
        <w:spacing w:line="580" w:lineRule="exact"/>
        <w:ind w:firstLine="640"/>
        <w:jc w:val="both"/>
      </w:pPr>
      <w:r>
        <w:rPr>
          <w:rFonts w:ascii="仿宋_GB2312" w:hAnsi="仿宋_GB2312" w:eastAsia="仿宋_GB2312"/>
          <w:b w:val="0"/>
          <w:sz w:val="32"/>
        </w:rPr>
        <w:t>3.社会保障和就业支出(类)72.93万元,占10.34%。</w:t>
      </w:r>
    </w:p>
    <w:p w14:paraId="1DDBC322">
      <w:pPr>
        <w:spacing w:line="580" w:lineRule="exact"/>
        <w:ind w:firstLine="640"/>
        <w:jc w:val="both"/>
      </w:pPr>
      <w:r>
        <w:rPr>
          <w:rFonts w:ascii="仿宋_GB2312" w:hAnsi="仿宋_GB2312" w:eastAsia="仿宋_GB2312"/>
          <w:b w:val="0"/>
          <w:sz w:val="32"/>
        </w:rPr>
        <w:t>4.卫生健康支出(类)25.86万元,占3.67%。</w:t>
      </w:r>
    </w:p>
    <w:p w14:paraId="3FEB4D57">
      <w:pPr>
        <w:spacing w:line="580" w:lineRule="exact"/>
        <w:ind w:firstLine="640"/>
        <w:jc w:val="both"/>
      </w:pPr>
      <w:r>
        <w:rPr>
          <w:rFonts w:ascii="仿宋_GB2312" w:hAnsi="仿宋_GB2312" w:eastAsia="仿宋_GB2312"/>
          <w:b w:val="0"/>
          <w:sz w:val="32"/>
        </w:rPr>
        <w:t>5.住房保障支出(类)37.81万元,占5.36%。</w:t>
      </w:r>
    </w:p>
    <w:p w14:paraId="59156302">
      <w:pPr>
        <w:spacing w:line="640" w:lineRule="exact"/>
        <w:ind w:firstLine="640"/>
        <w:jc w:val="both"/>
        <w:outlineLvl w:val="3"/>
      </w:pPr>
      <w:r>
        <w:rPr>
          <w:rFonts w:ascii="楷体_GB2312" w:hAnsi="楷体_GB2312" w:eastAsia="楷体_GB2312"/>
          <w:b/>
          <w:sz w:val="32"/>
        </w:rPr>
        <w:t>（三）一般公共预算财政拨款支出决算具体情况</w:t>
      </w:r>
    </w:p>
    <w:p w14:paraId="352D1F63">
      <w:pPr>
        <w:spacing w:line="580" w:lineRule="exact"/>
        <w:ind w:firstLine="640"/>
        <w:jc w:val="both"/>
        <w:rPr>
          <w:rFonts w:hint="eastAsia" w:eastAsia="仿宋_GB2312"/>
          <w:lang w:eastAsia="zh-CN"/>
        </w:rPr>
      </w:pPr>
      <w:r>
        <w:rPr>
          <w:rFonts w:ascii="仿宋_GB2312" w:hAnsi="仿宋_GB2312" w:eastAsia="仿宋_GB2312"/>
          <w:b w:val="0"/>
          <w:sz w:val="32"/>
        </w:rPr>
        <w:t>1.公共安全支出(类)检察(款)行政运行(项):支出决算数为408.88万元，比上年决算减少32.61万元，下降7.39%,主要原因是：本年行政在职人员减少，相应人员经费较上年减少。本年功能科目调整，培训支出上年度在</w:t>
      </w:r>
      <w:r>
        <w:rPr>
          <w:rFonts w:hint="eastAsia" w:ascii="仿宋_GB2312" w:hAnsi="仿宋_GB2312" w:eastAsia="仿宋_GB2312"/>
          <w:b w:val="0"/>
          <w:sz w:val="32"/>
          <w:lang w:val="en-US" w:eastAsia="zh-CN"/>
        </w:rPr>
        <w:t>本</w:t>
      </w:r>
      <w:r>
        <w:rPr>
          <w:rFonts w:ascii="仿宋_GB2312" w:hAnsi="仿宋_GB2312" w:eastAsia="仿宋_GB2312"/>
          <w:b w:val="0"/>
          <w:sz w:val="32"/>
        </w:rPr>
        <w:t>科目列支，本年</w:t>
      </w:r>
      <w:r>
        <w:rPr>
          <w:rFonts w:hint="eastAsia" w:ascii="仿宋_GB2312" w:hAnsi="仿宋_GB2312" w:eastAsia="仿宋_GB2312"/>
          <w:b w:val="0"/>
          <w:sz w:val="32"/>
          <w:lang w:val="en-US" w:eastAsia="zh-CN"/>
        </w:rPr>
        <w:t>在</w:t>
      </w:r>
      <w:r>
        <w:rPr>
          <w:rFonts w:ascii="仿宋_GB2312" w:hAnsi="仿宋_GB2312" w:eastAsia="仿宋_GB2312"/>
          <w:b w:val="0"/>
          <w:sz w:val="32"/>
        </w:rPr>
        <w:t>培训支出列支，导致经费较上年</w:t>
      </w:r>
      <w:r>
        <w:rPr>
          <w:rFonts w:hint="eastAsia" w:ascii="仿宋_GB2312" w:hAnsi="仿宋_GB2312" w:eastAsia="仿宋_GB2312"/>
          <w:b w:val="0"/>
          <w:sz w:val="32"/>
          <w:lang w:val="en-US" w:eastAsia="zh-CN"/>
        </w:rPr>
        <w:t>减少。</w:t>
      </w:r>
    </w:p>
    <w:p w14:paraId="50FD99B9">
      <w:pPr>
        <w:spacing w:line="580" w:lineRule="exact"/>
        <w:ind w:firstLine="640"/>
        <w:jc w:val="both"/>
      </w:pPr>
      <w:r>
        <w:rPr>
          <w:rFonts w:ascii="仿宋_GB2312" w:hAnsi="仿宋_GB2312" w:eastAsia="仿宋_GB2312"/>
          <w:b w:val="0"/>
          <w:sz w:val="32"/>
        </w:rPr>
        <w:t>2.公共安全支出(类)检察(款)事业运行(项):支出决算数为25.89万元，比上年决算增加0.49万元，增长1.93%,主要原因是：本年事业在职人员工资调增，导致相关人员经费较上年有所增加。</w:t>
      </w:r>
    </w:p>
    <w:p w14:paraId="3F9D6DF7">
      <w:pPr>
        <w:spacing w:line="580" w:lineRule="exact"/>
        <w:ind w:firstLine="640"/>
        <w:jc w:val="both"/>
      </w:pPr>
      <w:r>
        <w:rPr>
          <w:rFonts w:ascii="仿宋_GB2312" w:hAnsi="仿宋_GB2312" w:eastAsia="仿宋_GB2312"/>
          <w:b w:val="0"/>
          <w:sz w:val="32"/>
        </w:rPr>
        <w:t>3.公共安全支出(类)检察(款)其他检察支出(项):支出决算数为131万元，比上年决算增加7.68万元，增长6.23%,主要原因是：本年增加司法救助金项目资金，导致经费支出较上年增加。</w:t>
      </w:r>
    </w:p>
    <w:p w14:paraId="11AB87B1">
      <w:pPr>
        <w:spacing w:line="580" w:lineRule="exact"/>
        <w:ind w:firstLine="640"/>
        <w:jc w:val="both"/>
      </w:pPr>
      <w:r>
        <w:rPr>
          <w:rFonts w:ascii="仿宋_GB2312" w:hAnsi="仿宋_GB2312" w:eastAsia="仿宋_GB2312"/>
          <w:b w:val="0"/>
          <w:sz w:val="32"/>
        </w:rPr>
        <w:t>4.教育支出(类)进修及培训(款)培训支出(项):支出决算数为2.82万元，比上年决算增加2.82万元，增长100.00%,主要原因是：本年功能科目调整，培训支出上年度在主科目列支，本年单独列支，导致经费较上年增加。</w:t>
      </w:r>
    </w:p>
    <w:p w14:paraId="1EF88F8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5.社会保障和就业支出(类)行政事业单位养老支出(款)行政单位离退休(项):支出决算数为5.27万元，比上年决算增加1.86万元，增长54.55%,主要原因是：本年退休人员增加，退休费支出增加。</w:t>
      </w:r>
    </w:p>
    <w:p w14:paraId="66EB1AA3">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41.53万元，比上年决算增加2.14万元，增长5.43%,主要原因是：本年在职人员工资基数调增，养老缴费基数上涨，相应支出增加。</w:t>
      </w:r>
    </w:p>
    <w:p w14:paraId="48265EB3">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7.社会保障和就业支出(类)行政事业单位养老支出(款)机关事业单位职业年金缴费支出(项):支出决算数为26.13万元，比上年决算增加26.13万元，增长100.00%,主要原因是：本年新增退休人员，职业年金缴费支出增加。</w:t>
      </w:r>
    </w:p>
    <w:p w14:paraId="56DF1202">
      <w:pPr>
        <w:spacing w:line="580" w:lineRule="exact"/>
        <w:ind w:firstLine="640"/>
        <w:jc w:val="both"/>
      </w:pPr>
      <w:r>
        <w:rPr>
          <w:rFonts w:ascii="仿宋_GB2312" w:hAnsi="仿宋_GB2312" w:eastAsia="仿宋_GB2312"/>
          <w:b w:val="0"/>
          <w:sz w:val="32"/>
        </w:rPr>
        <w:t>8.卫生健康支出(类)行政事业单位医疗(款)行政单位医疗(项):支出决算数为16.55万元，比上年决算增加0.78万元，增长4.95%,主要原因是：本年在职人员工资基数调增，医疗缴费基数上涨，相应支出增加。</w:t>
      </w:r>
    </w:p>
    <w:p w14:paraId="1DE25F40">
      <w:pPr>
        <w:spacing w:line="580" w:lineRule="exact"/>
        <w:ind w:firstLine="640"/>
        <w:jc w:val="both"/>
      </w:pPr>
      <w:r>
        <w:rPr>
          <w:rFonts w:ascii="仿宋_GB2312" w:hAnsi="仿宋_GB2312" w:eastAsia="仿宋_GB2312"/>
          <w:b w:val="0"/>
          <w:sz w:val="32"/>
        </w:rPr>
        <w:t>9.卫生健康支出(类)行政事业单位医疗(款)事业单位医疗(项):支出决算数为1.62万元，比上年决算增加0.16万元，增长10.96%,主要原因是：本年在职人员工资基数调增，医疗缴费基数上涨，相应支出增加。</w:t>
      </w:r>
    </w:p>
    <w:p w14:paraId="21321671">
      <w:pPr>
        <w:spacing w:line="580" w:lineRule="exact"/>
        <w:ind w:firstLine="640"/>
        <w:jc w:val="both"/>
      </w:pPr>
      <w:r>
        <w:rPr>
          <w:rFonts w:ascii="仿宋_GB2312" w:hAnsi="仿宋_GB2312" w:eastAsia="仿宋_GB2312"/>
          <w:b w:val="0"/>
          <w:sz w:val="32"/>
        </w:rPr>
        <w:t>10.卫生健康支出(类)行政事业单位医疗(款)公务员医疗补助(项):支出决算数为7.09万元，比上年决算增加0.33万元，增长4.88%,主要原因是：本年在职人员工资基数调增，医疗缴费基数上涨，相应支出增加。</w:t>
      </w:r>
    </w:p>
    <w:p w14:paraId="32D6CA6C">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11.卫生健康支出(类)行政事业单位医疗(款)其他行政事业单位医疗支出(项):支出决算数为0.6万元，比上年决算减少0.05万元，下降7.69%,主要原因是：本年在职人员减少，其他行政事业单位医疗支出较上年减少。</w:t>
      </w:r>
    </w:p>
    <w:p w14:paraId="574A1D70">
      <w:pPr>
        <w:spacing w:line="580" w:lineRule="exact"/>
        <w:ind w:firstLine="640"/>
        <w:jc w:val="both"/>
      </w:pPr>
      <w:r>
        <w:rPr>
          <w:rFonts w:ascii="仿宋_GB2312" w:hAnsi="仿宋_GB2312" w:eastAsia="仿宋_GB2312"/>
          <w:b w:val="0"/>
          <w:sz w:val="32"/>
        </w:rPr>
        <w:t>12.住房保障支出(类)住房改革支出(款)住房公积金(项):支出决算数为37.81万元，比上年决算增加7.05万元，增长22.92%,主要原因是：本年在职人员工资基数调增，公积金缴费基数上涨，相应支出增加。</w:t>
      </w:r>
    </w:p>
    <w:p w14:paraId="4120445D">
      <w:pPr>
        <w:spacing w:line="640" w:lineRule="exact"/>
        <w:ind w:firstLine="640"/>
        <w:jc w:val="both"/>
        <w:outlineLvl w:val="2"/>
      </w:pPr>
      <w:r>
        <w:rPr>
          <w:rFonts w:ascii="黑体" w:hAnsi="黑体" w:eastAsia="黑体"/>
          <w:sz w:val="32"/>
        </w:rPr>
        <w:t>六、一般公共预算财政拨款基本支出决算情况说明</w:t>
      </w:r>
    </w:p>
    <w:p w14:paraId="2A4EAFE7">
      <w:pPr>
        <w:spacing w:line="580" w:lineRule="exact"/>
        <w:ind w:firstLine="640"/>
        <w:jc w:val="both"/>
      </w:pPr>
      <w:r>
        <w:rPr>
          <w:rFonts w:ascii="仿宋_GB2312" w:hAnsi="仿宋_GB2312" w:eastAsia="仿宋_GB2312"/>
          <w:b w:val="0"/>
          <w:sz w:val="32"/>
        </w:rPr>
        <w:t>2024年度一般公共预算财政拨款基本支出574.19万元，其中：</w:t>
      </w:r>
      <w:r>
        <w:rPr>
          <w:rFonts w:ascii="仿宋_GB2312" w:hAnsi="仿宋_GB2312" w:eastAsia="仿宋_GB2312"/>
          <w:b/>
          <w:sz w:val="32"/>
        </w:rPr>
        <w:t>人员经费533.89万元，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54A308DA">
      <w:pPr>
        <w:spacing w:line="580" w:lineRule="exact"/>
        <w:ind w:firstLine="640"/>
        <w:jc w:val="both"/>
      </w:pPr>
      <w:r>
        <w:rPr>
          <w:rFonts w:ascii="仿宋_GB2312" w:hAnsi="仿宋_GB2312" w:eastAsia="仿宋_GB2312"/>
          <w:b/>
          <w:sz w:val="32"/>
        </w:rPr>
        <w:t>公用经费40.30万元，</w:t>
      </w:r>
      <w:r>
        <w:rPr>
          <w:rFonts w:ascii="仿宋_GB2312" w:hAnsi="仿宋_GB2312" w:eastAsia="仿宋_GB2312"/>
          <w:b w:val="0"/>
          <w:sz w:val="32"/>
        </w:rPr>
        <w:t>包括：办公费、水费、电费、取暖费、物业管理费、差旅费、培训费、委托业务费、工会经费、福利费、公务用车运行维护费、其他商品和服务支出。</w:t>
      </w:r>
    </w:p>
    <w:p w14:paraId="33575689">
      <w:pPr>
        <w:spacing w:line="640" w:lineRule="exact"/>
        <w:ind w:firstLine="640"/>
        <w:jc w:val="both"/>
        <w:outlineLvl w:val="2"/>
      </w:pPr>
      <w:r>
        <w:rPr>
          <w:rFonts w:ascii="黑体" w:hAnsi="黑体" w:eastAsia="黑体"/>
          <w:sz w:val="32"/>
        </w:rPr>
        <w:t>七、政府性基金预算财政拨款收入支出决算情况说明</w:t>
      </w:r>
    </w:p>
    <w:p w14:paraId="702C6BB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4B6FEA0">
      <w:pPr>
        <w:spacing w:line="640" w:lineRule="exact"/>
        <w:ind w:firstLine="640"/>
        <w:jc w:val="both"/>
        <w:outlineLvl w:val="2"/>
      </w:pPr>
      <w:r>
        <w:rPr>
          <w:rFonts w:ascii="黑体" w:hAnsi="黑体" w:eastAsia="黑体"/>
          <w:sz w:val="32"/>
        </w:rPr>
        <w:t>八、国有资本经营预算财政拨款收入支出决算情况说明</w:t>
      </w:r>
    </w:p>
    <w:p w14:paraId="29E7004C">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B4C2A9A">
      <w:pPr>
        <w:spacing w:line="640" w:lineRule="exact"/>
        <w:ind w:firstLine="640"/>
        <w:jc w:val="both"/>
        <w:outlineLvl w:val="2"/>
      </w:pPr>
      <w:r>
        <w:rPr>
          <w:rFonts w:ascii="黑体" w:hAnsi="黑体" w:eastAsia="黑体"/>
          <w:sz w:val="32"/>
        </w:rPr>
        <w:t>九、财政拨款“三公”经费支出决算情况说明</w:t>
      </w:r>
    </w:p>
    <w:p w14:paraId="2B1D72A1">
      <w:pPr>
        <w:spacing w:line="580" w:lineRule="exact"/>
        <w:ind w:firstLine="640"/>
        <w:jc w:val="both"/>
      </w:pPr>
      <w:r>
        <w:rPr>
          <w:rFonts w:ascii="仿宋_GB2312" w:hAnsi="仿宋_GB2312" w:eastAsia="仿宋_GB2312"/>
          <w:b/>
          <w:sz w:val="32"/>
        </w:rPr>
        <w:t>2024年度财政拨款“三公”经费支出18.87万元，</w:t>
      </w:r>
      <w:r>
        <w:rPr>
          <w:rFonts w:ascii="仿宋_GB2312" w:hAnsi="仿宋_GB2312" w:eastAsia="仿宋_GB2312"/>
          <w:b w:val="0"/>
          <w:sz w:val="32"/>
        </w:rPr>
        <w:t>比上年增加0.65万元，增长3.57%，主要原因是：本部门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18.87万元，占100.00%，比上年增加0.65万元，增长3.57%，主要原因是：本部门公务用车日渐老化，维修维护成本增加，导致公务用车运行维护费较上年增加。公务接待费支出0.00万元，占0.00%，比上年增加0.00万元，增长0.00%，主要原因是：2023年与2024年均未安排公务接待费支出。</w:t>
      </w:r>
    </w:p>
    <w:p w14:paraId="709FAB4F">
      <w:pPr>
        <w:spacing w:line="580" w:lineRule="exact"/>
        <w:ind w:firstLine="640"/>
        <w:jc w:val="both"/>
      </w:pPr>
      <w:r>
        <w:rPr>
          <w:rFonts w:ascii="仿宋_GB2312" w:hAnsi="仿宋_GB2312" w:eastAsia="仿宋_GB2312"/>
          <w:b/>
          <w:sz w:val="32"/>
        </w:rPr>
        <w:t>具体情况如下：</w:t>
      </w:r>
    </w:p>
    <w:p w14:paraId="0DE1A6D5">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8D76324">
      <w:pPr>
        <w:spacing w:line="580" w:lineRule="exact"/>
        <w:ind w:firstLine="640"/>
        <w:jc w:val="both"/>
      </w:pPr>
      <w:r>
        <w:rPr>
          <w:rFonts w:ascii="仿宋_GB2312" w:hAnsi="仿宋_GB2312" w:eastAsia="仿宋_GB2312"/>
          <w:b w:val="0"/>
          <w:sz w:val="32"/>
        </w:rPr>
        <w:t>公务用车购置及运行维护费18.87万元，其中：公务用车购置费0.00万元，公务用车运行维护费18.87万元。公务用车运行维护费开支内容包括车辆加油费、维修费、保险费、审车费、过路费。公务用车购置数0辆，公务用车保有量4辆。国有资产占用情况中固定资产车辆4辆，与公务用车保有量差异原因是：本部门固定资产车辆与公务用车保有量一致无差异。</w:t>
      </w:r>
    </w:p>
    <w:p w14:paraId="4F363A17">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D78FA1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18.87万元，决算数18.87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18.87万元，决算数18.87万元，预决算差异率0.00%，主要原因是：严格按照预算执行，预决算无差异。公务接待费全年预算数0.00万元，决算数0.00万元，预决算差异率0.00%，主要原因是：本部门无公务接待费。</w:t>
      </w:r>
    </w:p>
    <w:p w14:paraId="5DF752CC">
      <w:pPr>
        <w:spacing w:line="640" w:lineRule="exact"/>
        <w:ind w:firstLine="640"/>
        <w:jc w:val="both"/>
        <w:outlineLvl w:val="2"/>
      </w:pPr>
      <w:r>
        <w:rPr>
          <w:rFonts w:ascii="黑体" w:hAnsi="黑体" w:eastAsia="黑体"/>
          <w:sz w:val="32"/>
        </w:rPr>
        <w:t>十、其他重要事项的情况说明</w:t>
      </w:r>
    </w:p>
    <w:p w14:paraId="374FF659">
      <w:pPr>
        <w:spacing w:line="640" w:lineRule="exact"/>
        <w:ind w:firstLine="640"/>
        <w:jc w:val="both"/>
        <w:outlineLvl w:val="3"/>
      </w:pPr>
      <w:r>
        <w:rPr>
          <w:rFonts w:ascii="楷体_GB2312" w:hAnsi="楷体_GB2312" w:eastAsia="楷体_GB2312"/>
          <w:b/>
          <w:sz w:val="32"/>
        </w:rPr>
        <w:t>（一）机关运行经费及公用经费支出情况</w:t>
      </w:r>
    </w:p>
    <w:p w14:paraId="5DBF2BDF">
      <w:pPr>
        <w:spacing w:line="580" w:lineRule="exact"/>
        <w:ind w:firstLine="640"/>
        <w:jc w:val="both"/>
      </w:pPr>
      <w:r>
        <w:rPr>
          <w:rFonts w:ascii="仿宋_GB2312" w:hAnsi="仿宋_GB2312" w:eastAsia="仿宋_GB2312"/>
          <w:b w:val="0"/>
          <w:sz w:val="32"/>
        </w:rPr>
        <w:t>2024年度新疆巴州尉犁县人民检察院（行政单位和参照公务员法管理事业单位）机关运行经费支出40.30万元，比上年增加2.58万元，增长6.84%，主要原因是：本年培训费增加，导致机关运行经费支出增加。</w:t>
      </w:r>
    </w:p>
    <w:p w14:paraId="73BE7AF6">
      <w:pPr>
        <w:spacing w:line="640" w:lineRule="exact"/>
        <w:ind w:firstLine="640"/>
        <w:jc w:val="both"/>
        <w:outlineLvl w:val="3"/>
      </w:pPr>
      <w:r>
        <w:rPr>
          <w:rFonts w:ascii="楷体_GB2312" w:hAnsi="楷体_GB2312" w:eastAsia="楷体_GB2312"/>
          <w:b/>
          <w:sz w:val="32"/>
        </w:rPr>
        <w:t>（二）政府采购情况</w:t>
      </w:r>
    </w:p>
    <w:p w14:paraId="3A1D41D1">
      <w:pPr>
        <w:spacing w:line="580" w:lineRule="exact"/>
        <w:ind w:firstLine="640"/>
        <w:jc w:val="both"/>
      </w:pPr>
      <w:r>
        <w:rPr>
          <w:rFonts w:ascii="仿宋_GB2312" w:hAnsi="仿宋_GB2312" w:eastAsia="仿宋_GB2312"/>
          <w:b w:val="0"/>
          <w:sz w:val="32"/>
        </w:rPr>
        <w:t>2024年度政府采购支出总额43.83万元，其中：政府采购货物支出21.30万元、政府采购工程支出0.00万元、政府采购服务支出22.54万元。</w:t>
      </w:r>
    </w:p>
    <w:p w14:paraId="1082F45F">
      <w:pPr>
        <w:spacing w:line="580" w:lineRule="exact"/>
        <w:ind w:firstLine="640"/>
        <w:jc w:val="both"/>
      </w:pPr>
      <w:r>
        <w:rPr>
          <w:rFonts w:ascii="仿宋_GB2312" w:hAnsi="仿宋_GB2312" w:eastAsia="仿宋_GB2312"/>
          <w:b w:val="0"/>
          <w:sz w:val="32"/>
        </w:rPr>
        <w:t>授予中小企业合同金额43.83万元，占政府采购支出总额的100.00%，其中：授予小微企业合同金额30.93万元，占政府采购支出总额的70.57%。</w:t>
      </w:r>
    </w:p>
    <w:p w14:paraId="23686545">
      <w:pPr>
        <w:spacing w:line="640" w:lineRule="exact"/>
        <w:ind w:firstLine="640"/>
        <w:jc w:val="both"/>
        <w:outlineLvl w:val="3"/>
      </w:pPr>
      <w:r>
        <w:rPr>
          <w:rFonts w:ascii="楷体_GB2312" w:hAnsi="楷体_GB2312" w:eastAsia="楷体_GB2312"/>
          <w:b/>
          <w:sz w:val="32"/>
        </w:rPr>
        <w:t>（三）国有资产占用情况说明</w:t>
      </w:r>
    </w:p>
    <w:p w14:paraId="2D58C172">
      <w:pPr>
        <w:spacing w:line="580" w:lineRule="exact"/>
        <w:ind w:firstLine="640"/>
        <w:jc w:val="both"/>
      </w:pPr>
      <w:r>
        <w:rPr>
          <w:rFonts w:ascii="仿宋_GB2312" w:hAnsi="仿宋_GB2312" w:eastAsia="仿宋_GB2312"/>
          <w:b w:val="0"/>
          <w:sz w:val="32"/>
        </w:rPr>
        <w:t>截至2024年12月31日，房屋5,104.65平方米，价值992.84万元。车辆4辆，价值124.63万元，其中：副部（省）级及以上领导用车0辆、主要负责人用车0辆、机要通信用车0辆、应急保障用车0辆、执法执勤用车2辆、特种专业技术用车0辆、离退休干部服务用车0辆、其他用车2辆，其他用车主要是：一般公务用车。单价100万元（含）以上设备（不含车辆）0台（套）。</w:t>
      </w:r>
    </w:p>
    <w:p w14:paraId="061BC484">
      <w:pPr>
        <w:spacing w:line="640" w:lineRule="exact"/>
        <w:ind w:firstLine="640"/>
        <w:jc w:val="both"/>
        <w:outlineLvl w:val="2"/>
      </w:pPr>
      <w:r>
        <w:rPr>
          <w:rFonts w:ascii="黑体" w:hAnsi="黑体" w:eastAsia="黑体"/>
          <w:sz w:val="32"/>
        </w:rPr>
        <w:t>十一、预算绩效的情况说明</w:t>
      </w:r>
    </w:p>
    <w:p w14:paraId="4173A8E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根据预算绩效管理要求，本部门2024年度预算绩效管理形成整体支出绩效自评表1个，全年预算总额723.60万元，实际执行总额723.56万元；预算绩效评价项目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146.00</w:t>
      </w:r>
      <w:r>
        <w:rPr>
          <w:rFonts w:ascii="仿宋_GB2312" w:hAnsi="仿宋_GB2312" w:eastAsia="仿宋_GB2312"/>
          <w:b w:val="0"/>
          <w:sz w:val="32"/>
        </w:rPr>
        <w:t>万元，全年执行数</w:t>
      </w:r>
      <w:r>
        <w:rPr>
          <w:rFonts w:hint="eastAsia" w:ascii="仿宋_GB2312" w:hAnsi="仿宋_GB2312" w:eastAsia="仿宋_GB2312"/>
          <w:b w:val="0"/>
          <w:sz w:val="32"/>
        </w:rPr>
        <w:t>145.96</w:t>
      </w:r>
      <w:r>
        <w:rPr>
          <w:rFonts w:ascii="仿宋_GB2312" w:hAnsi="仿宋_GB2312" w:eastAsia="仿宋_GB2312"/>
          <w:b w:val="0"/>
          <w:sz w:val="32"/>
        </w:rPr>
        <w:t>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06C097A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A115ADF">
        <w:tblPrEx>
          <w:tblCellMar>
            <w:top w:w="0" w:type="dxa"/>
            <w:left w:w="108" w:type="dxa"/>
            <w:bottom w:w="0" w:type="dxa"/>
            <w:right w:w="108" w:type="dxa"/>
          </w:tblCellMar>
        </w:tblPrEx>
        <w:tc>
          <w:tcPr>
            <w:tcW w:w="8840" w:type="dxa"/>
            <w:gridSpan w:val="8"/>
            <w:vAlign w:val="center"/>
          </w:tcPr>
          <w:p w14:paraId="6D4C4053">
            <w:pPr>
              <w:jc w:val="center"/>
            </w:pPr>
            <w:r>
              <w:rPr>
                <w:rFonts w:ascii="宋体" w:hAnsi="宋体" w:eastAsia="宋体"/>
                <w:sz w:val="24"/>
              </w:rPr>
              <w:t>部门整体支出绩效自评表</w:t>
            </w:r>
          </w:p>
        </w:tc>
      </w:tr>
      <w:tr w14:paraId="70708165">
        <w:tblPrEx>
          <w:tblCellMar>
            <w:top w:w="0" w:type="dxa"/>
            <w:left w:w="108" w:type="dxa"/>
            <w:bottom w:w="0" w:type="dxa"/>
            <w:right w:w="108" w:type="dxa"/>
          </w:tblCellMar>
        </w:tblPrEx>
        <w:tc>
          <w:tcPr>
            <w:tcW w:w="8840" w:type="dxa"/>
            <w:gridSpan w:val="8"/>
            <w:vAlign w:val="center"/>
          </w:tcPr>
          <w:p w14:paraId="35E00C20">
            <w:pPr>
              <w:jc w:val="center"/>
            </w:pPr>
            <w:r>
              <w:rPr>
                <w:rFonts w:ascii="宋体" w:hAnsi="宋体" w:eastAsia="宋体"/>
                <w:sz w:val="24"/>
              </w:rPr>
              <w:t>（2024年度）</w:t>
            </w:r>
          </w:p>
        </w:tc>
      </w:tr>
      <w:tr w14:paraId="527EBA9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0400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95A86">
            <w:pPr>
              <w:jc w:val="center"/>
            </w:pPr>
            <w:r>
              <w:rPr>
                <w:rFonts w:ascii="宋体" w:hAnsi="宋体" w:eastAsia="宋体"/>
                <w:sz w:val="16"/>
              </w:rPr>
              <w:t>新疆巴州尉犁县人民检察院</w:t>
            </w:r>
          </w:p>
        </w:tc>
      </w:tr>
      <w:tr w14:paraId="0DC2B7D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1FD1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BEDC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00C9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4222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2D3C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F37D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F9FB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13332">
            <w:pPr>
              <w:jc w:val="center"/>
            </w:pPr>
            <w:r>
              <w:rPr>
                <w:rFonts w:ascii="宋体" w:hAnsi="宋体" w:eastAsia="宋体"/>
                <w:sz w:val="16"/>
              </w:rPr>
              <w:t>得分</w:t>
            </w:r>
          </w:p>
        </w:tc>
      </w:tr>
      <w:tr w14:paraId="2786674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3791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1893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CE6B8">
            <w:pPr>
              <w:jc w:val="center"/>
            </w:pPr>
            <w:r>
              <w:rPr>
                <w:rFonts w:ascii="宋体" w:hAnsi="宋体" w:eastAsia="宋体"/>
                <w:sz w:val="16"/>
              </w:rPr>
              <w:t>724.74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D50F3">
            <w:pPr>
              <w:jc w:val="center"/>
            </w:pPr>
            <w:r>
              <w:rPr>
                <w:rFonts w:ascii="宋体" w:hAnsi="宋体" w:eastAsia="宋体"/>
                <w:sz w:val="16"/>
              </w:rPr>
              <w:t>723.60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189CF">
            <w:pPr>
              <w:jc w:val="center"/>
            </w:pPr>
            <w:r>
              <w:rPr>
                <w:rFonts w:ascii="宋体" w:hAnsi="宋体" w:eastAsia="宋体"/>
                <w:sz w:val="16"/>
              </w:rPr>
              <w:t>723.56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0342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648C4F">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9130F">
            <w:pPr>
              <w:jc w:val="center"/>
            </w:pPr>
            <w:r>
              <w:rPr>
                <w:rFonts w:ascii="宋体" w:hAnsi="宋体" w:eastAsia="宋体"/>
                <w:sz w:val="16"/>
              </w:rPr>
              <w:t>9.99</w:t>
            </w:r>
          </w:p>
        </w:tc>
      </w:tr>
      <w:tr w14:paraId="48672C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A673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7076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7B604">
            <w:pPr>
              <w:jc w:val="center"/>
            </w:pPr>
            <w:r>
              <w:rPr>
                <w:rFonts w:ascii="宋体" w:hAnsi="宋体" w:eastAsia="宋体"/>
                <w:sz w:val="16"/>
              </w:rPr>
              <w:t>103.00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11F16">
            <w:pPr>
              <w:jc w:val="center"/>
            </w:pPr>
            <w:r>
              <w:rPr>
                <w:rFonts w:ascii="宋体" w:hAnsi="宋体" w:eastAsia="宋体"/>
                <w:sz w:val="16"/>
              </w:rPr>
              <w:t>131.00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EE3F8">
            <w:pPr>
              <w:jc w:val="center"/>
            </w:pPr>
            <w:r>
              <w:rPr>
                <w:rFonts w:ascii="宋体" w:hAnsi="宋体" w:eastAsia="宋体"/>
                <w:sz w:val="16"/>
              </w:rPr>
              <w:t>131.00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D24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2FC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66BEF">
            <w:pPr>
              <w:jc w:val="center"/>
            </w:pPr>
            <w:r>
              <w:rPr>
                <w:rFonts w:ascii="宋体" w:hAnsi="宋体" w:eastAsia="宋体"/>
                <w:sz w:val="16"/>
              </w:rPr>
              <w:t>-</w:t>
            </w:r>
          </w:p>
        </w:tc>
      </w:tr>
      <w:tr w14:paraId="1E0397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441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2B5A1">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D634E">
            <w:pPr>
              <w:jc w:val="center"/>
            </w:pPr>
            <w:r>
              <w:rPr>
                <w:rFonts w:ascii="宋体" w:hAnsi="宋体" w:eastAsia="宋体"/>
                <w:sz w:val="16"/>
              </w:rPr>
              <w:t>606.74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250AD">
            <w:pPr>
              <w:jc w:val="center"/>
            </w:pPr>
            <w:r>
              <w:rPr>
                <w:rFonts w:ascii="宋体" w:hAnsi="宋体" w:eastAsia="宋体"/>
                <w:sz w:val="16"/>
              </w:rPr>
              <w:t>574.19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C0EA1">
            <w:pPr>
              <w:jc w:val="center"/>
            </w:pPr>
            <w:r>
              <w:rPr>
                <w:rFonts w:ascii="宋体" w:hAnsi="宋体" w:eastAsia="宋体"/>
                <w:sz w:val="16"/>
              </w:rPr>
              <w:t>574.15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C6E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F0D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C72FB">
            <w:pPr>
              <w:jc w:val="center"/>
            </w:pPr>
            <w:r>
              <w:rPr>
                <w:rFonts w:ascii="宋体" w:hAnsi="宋体" w:eastAsia="宋体"/>
                <w:sz w:val="16"/>
              </w:rPr>
              <w:t>-</w:t>
            </w:r>
          </w:p>
        </w:tc>
      </w:tr>
      <w:tr w14:paraId="0CB328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8F05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6F256">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03986">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C3B29">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E1B8B">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932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B46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05B77">
            <w:pPr>
              <w:jc w:val="center"/>
            </w:pPr>
            <w:r>
              <w:rPr>
                <w:rFonts w:ascii="宋体" w:hAnsi="宋体" w:eastAsia="宋体"/>
                <w:sz w:val="16"/>
              </w:rPr>
              <w:t>-</w:t>
            </w:r>
          </w:p>
        </w:tc>
      </w:tr>
      <w:tr w14:paraId="51A3140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C89B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5EBA1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F945D1">
            <w:pPr>
              <w:jc w:val="center"/>
            </w:pPr>
            <w:r>
              <w:rPr>
                <w:rFonts w:ascii="宋体" w:hAnsi="宋体" w:eastAsia="宋体"/>
                <w:sz w:val="16"/>
              </w:rPr>
              <w:t>实际完成情况</w:t>
            </w:r>
          </w:p>
        </w:tc>
      </w:tr>
      <w:tr w14:paraId="719D18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5D019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E4B1DC">
            <w:pPr>
              <w:jc w:val="both"/>
            </w:pPr>
            <w:r>
              <w:rPr>
                <w:rFonts w:ascii="宋体" w:hAnsi="宋体" w:eastAsia="宋体"/>
                <w:sz w:val="16"/>
              </w:rPr>
              <w:t>深化法律监督意识，落实相关监督机制，推动刑事、民事、行政和公益诉讼四大检查融合发展、一体履职，把法律监督贯穿融入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事行政检察监督；大力推进公益诉讼检察；不断深化信访工作，加大对法律援助经费和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5B21DD">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全年法律监督办案数652件，全年办理案件的结案率达到97.32%，检察建议采纳率达到100%。全面优化刑事检察监督，保障被监管人的合法权益；持续加强民行行政检察监督；大力推进公益诉讼检察；不断深化信访工作，加大对法律援助经费和司法救助资金的投入力度，群众信访案件满意度达到90%。打造忠诚干净担当的过硬检察队伍，保障检察业务工作正常运行。</w:t>
            </w:r>
          </w:p>
        </w:tc>
      </w:tr>
      <w:tr w14:paraId="172C634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B747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E424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41D7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B366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D804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FA23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A2C7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943E4">
            <w:pPr>
              <w:jc w:val="center"/>
            </w:pPr>
            <w:r>
              <w:rPr>
                <w:rFonts w:ascii="宋体" w:hAnsi="宋体" w:eastAsia="宋体"/>
                <w:sz w:val="16"/>
              </w:rPr>
              <w:t>得分</w:t>
            </w:r>
          </w:p>
        </w:tc>
      </w:tr>
      <w:tr w14:paraId="1C2EB43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D56DA">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4D23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261EA">
            <w:pPr>
              <w:jc w:val="center"/>
            </w:pPr>
            <w:r>
              <w:rPr>
                <w:rFonts w:ascii="宋体" w:hAnsi="宋体" w:eastAsia="宋体"/>
                <w:sz w:val="16"/>
              </w:rPr>
              <w:t>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EC292">
            <w:pPr>
              <w:jc w:val="center"/>
            </w:pPr>
            <w:r>
              <w:rPr>
                <w:rFonts w:ascii="宋体" w:hAnsi="宋体" w:eastAsia="宋体"/>
                <w:sz w:val="16"/>
              </w:rPr>
              <w:t>&gt;=600件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E0162">
            <w:pPr>
              <w:jc w:val="center"/>
            </w:pPr>
            <w:r>
              <w:rPr>
                <w:rFonts w:ascii="宋体" w:hAnsi="宋体" w:eastAsia="宋体"/>
                <w:sz w:val="16"/>
              </w:rPr>
              <w:t>尉犁县人民检察院工作报告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E435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7857C">
            <w:pPr>
              <w:jc w:val="center"/>
            </w:pPr>
            <w:r>
              <w:rPr>
                <w:rFonts w:ascii="宋体" w:hAnsi="宋体" w:eastAsia="宋体"/>
                <w:sz w:val="16"/>
              </w:rPr>
              <w:t>652件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2FBA7">
            <w:pPr>
              <w:jc w:val="center"/>
            </w:pPr>
            <w:r>
              <w:rPr>
                <w:rFonts w:ascii="宋体" w:hAnsi="宋体" w:eastAsia="宋体"/>
                <w:sz w:val="16"/>
              </w:rPr>
              <w:t>30</w:t>
            </w:r>
          </w:p>
        </w:tc>
      </w:tr>
      <w:tr w14:paraId="11E135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BDA4B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E375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5F4C5">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D15A4">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B80D0">
            <w:pPr>
              <w:jc w:val="center"/>
            </w:pPr>
            <w:r>
              <w:rPr>
                <w:rFonts w:ascii="宋体" w:hAnsi="宋体" w:eastAsia="宋体"/>
                <w:sz w:val="16"/>
              </w:rPr>
              <w:t>尉犁县人民检察院工作报告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80F8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7221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50EFA">
            <w:pPr>
              <w:jc w:val="center"/>
            </w:pPr>
            <w:r>
              <w:rPr>
                <w:rFonts w:ascii="宋体" w:hAnsi="宋体" w:eastAsia="宋体"/>
                <w:sz w:val="16"/>
              </w:rPr>
              <w:t>30</w:t>
            </w:r>
          </w:p>
        </w:tc>
      </w:tr>
      <w:tr w14:paraId="590840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15F9D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FD4E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185FE">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C3847">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F843B">
            <w:pPr>
              <w:jc w:val="center"/>
            </w:pPr>
            <w:r>
              <w:rPr>
                <w:rFonts w:ascii="宋体" w:hAnsi="宋体" w:eastAsia="宋体"/>
                <w:sz w:val="16"/>
              </w:rPr>
              <w:t>尉犁县人民检察院工作报告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06F5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1C5DC">
            <w:pPr>
              <w:jc w:val="center"/>
            </w:pPr>
            <w:r>
              <w:rPr>
                <w:rFonts w:ascii="宋体" w:hAnsi="宋体" w:eastAsia="宋体"/>
                <w:sz w:val="16"/>
              </w:rPr>
              <w:t>97.32%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15E45">
            <w:pPr>
              <w:jc w:val="center"/>
            </w:pPr>
            <w:r>
              <w:rPr>
                <w:rFonts w:ascii="宋体" w:hAnsi="宋体" w:eastAsia="宋体"/>
                <w:sz w:val="16"/>
              </w:rPr>
              <w:t>20</w:t>
            </w:r>
          </w:p>
        </w:tc>
      </w:tr>
      <w:tr w14:paraId="7F9A44DE">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0A602">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D293F">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F4F0A">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BEB4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5F5BE">
            <w:pPr>
              <w:jc w:val="center"/>
            </w:pPr>
            <w:r>
              <w:rPr>
                <w:rFonts w:ascii="宋体" w:hAnsi="宋体" w:eastAsia="宋体"/>
                <w:sz w:val="16"/>
              </w:rPr>
              <w:t>尉犁县人民检察院工作报告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8634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1A31F">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F448D">
            <w:pPr>
              <w:jc w:val="center"/>
            </w:pPr>
            <w:r>
              <w:rPr>
                <w:rFonts w:ascii="宋体" w:hAnsi="宋体" w:eastAsia="宋体"/>
                <w:sz w:val="16"/>
              </w:rPr>
              <w:t>9.47</w:t>
            </w:r>
          </w:p>
        </w:tc>
      </w:tr>
    </w:tbl>
    <w:p w14:paraId="040356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B003ECD">
        <w:tblPrEx>
          <w:tblCellMar>
            <w:top w:w="0" w:type="dxa"/>
            <w:left w:w="108" w:type="dxa"/>
            <w:bottom w:w="0" w:type="dxa"/>
            <w:right w:w="108" w:type="dxa"/>
          </w:tblCellMar>
        </w:tblPrEx>
        <w:tc>
          <w:tcPr>
            <w:tcW w:w="8848" w:type="dxa"/>
            <w:gridSpan w:val="14"/>
            <w:vAlign w:val="center"/>
          </w:tcPr>
          <w:p w14:paraId="0256C02F">
            <w:pPr>
              <w:jc w:val="center"/>
            </w:pPr>
            <w:r>
              <w:rPr>
                <w:rFonts w:ascii="宋体" w:hAnsi="宋体" w:eastAsia="宋体"/>
                <w:sz w:val="24"/>
              </w:rPr>
              <w:t>项目支出绩效自评表</w:t>
            </w:r>
          </w:p>
        </w:tc>
      </w:tr>
      <w:tr w14:paraId="04106190">
        <w:tblPrEx>
          <w:tblCellMar>
            <w:top w:w="0" w:type="dxa"/>
            <w:left w:w="108" w:type="dxa"/>
            <w:bottom w:w="0" w:type="dxa"/>
            <w:right w:w="108" w:type="dxa"/>
          </w:tblCellMar>
        </w:tblPrEx>
        <w:tc>
          <w:tcPr>
            <w:tcW w:w="8848" w:type="dxa"/>
            <w:gridSpan w:val="14"/>
            <w:vAlign w:val="center"/>
          </w:tcPr>
          <w:p w14:paraId="2E2D4BEE">
            <w:pPr>
              <w:jc w:val="center"/>
            </w:pPr>
            <w:r>
              <w:rPr>
                <w:rFonts w:ascii="宋体" w:hAnsi="宋体" w:eastAsia="宋体"/>
                <w:sz w:val="24"/>
              </w:rPr>
              <w:t>(2024年度)</w:t>
            </w:r>
          </w:p>
        </w:tc>
      </w:tr>
      <w:tr w14:paraId="37A528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0F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11CC8B">
            <w:pPr>
              <w:jc w:val="center"/>
            </w:pPr>
            <w:r>
              <w:rPr>
                <w:rFonts w:ascii="宋体" w:hAnsi="宋体" w:eastAsia="宋体"/>
                <w:sz w:val="16"/>
              </w:rPr>
              <w:t>2024年尉犁县检察院援疆资金</w:t>
            </w:r>
          </w:p>
        </w:tc>
      </w:tr>
      <w:tr w14:paraId="5E447F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C1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A59A6">
            <w:pPr>
              <w:jc w:val="center"/>
            </w:pPr>
            <w:r>
              <w:rPr>
                <w:rFonts w:ascii="宋体" w:hAnsi="宋体" w:eastAsia="宋体"/>
                <w:sz w:val="16"/>
              </w:rPr>
              <w:t>新疆巴州尉犁县人民检察院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9E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8AC2AA">
            <w:pPr>
              <w:jc w:val="center"/>
            </w:pPr>
            <w:r>
              <w:rPr>
                <w:rFonts w:ascii="宋体" w:hAnsi="宋体" w:eastAsia="宋体"/>
                <w:sz w:val="16"/>
              </w:rPr>
              <w:t>新疆巴州尉犁县人民检察院</w:t>
            </w:r>
          </w:p>
        </w:tc>
      </w:tr>
      <w:tr w14:paraId="382174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AB4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899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583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91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EE5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3D77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2F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8F64">
            <w:pPr>
              <w:jc w:val="center"/>
            </w:pPr>
            <w:r>
              <w:rPr>
                <w:rFonts w:ascii="宋体" w:hAnsi="宋体" w:eastAsia="宋体"/>
                <w:sz w:val="16"/>
              </w:rPr>
              <w:t>得分</w:t>
            </w:r>
          </w:p>
        </w:tc>
      </w:tr>
      <w:tr w14:paraId="3D333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569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3A5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2C53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71F1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70B1C">
            <w:pPr>
              <w:jc w:val="center"/>
            </w:pPr>
            <w:r>
              <w:rPr>
                <w:rFonts w:ascii="宋体" w:hAnsi="宋体" w:eastAsia="宋体"/>
                <w:sz w:val="16"/>
              </w:rPr>
              <w:t>14.96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BA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003A">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24C2">
            <w:pPr>
              <w:jc w:val="center"/>
            </w:pPr>
            <w:r>
              <w:rPr>
                <w:rFonts w:ascii="宋体" w:hAnsi="宋体" w:eastAsia="宋体"/>
                <w:sz w:val="16"/>
              </w:rPr>
              <w:t>9.93</w:t>
            </w:r>
          </w:p>
        </w:tc>
      </w:tr>
      <w:tr w14:paraId="7FF5B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FAA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404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FA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98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7F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CF6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5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2F00">
            <w:pPr>
              <w:jc w:val="center"/>
            </w:pPr>
            <w:r>
              <w:rPr>
                <w:rFonts w:ascii="宋体" w:hAnsi="宋体" w:eastAsia="宋体"/>
                <w:sz w:val="16"/>
              </w:rPr>
              <w:t>-</w:t>
            </w:r>
          </w:p>
        </w:tc>
      </w:tr>
      <w:tr w14:paraId="54C39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52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AEF8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FA5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DB3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A904">
            <w:pPr>
              <w:jc w:val="center"/>
            </w:pPr>
            <w:r>
              <w:rPr>
                <w:rFonts w:ascii="宋体" w:hAnsi="宋体" w:eastAsia="宋体"/>
                <w:sz w:val="16"/>
              </w:rPr>
              <w:t>14.96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A8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A4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3C02">
            <w:pPr>
              <w:jc w:val="center"/>
            </w:pPr>
            <w:r>
              <w:rPr>
                <w:rFonts w:ascii="宋体" w:hAnsi="宋体" w:eastAsia="宋体"/>
                <w:sz w:val="16"/>
              </w:rPr>
              <w:t>-</w:t>
            </w:r>
          </w:p>
        </w:tc>
      </w:tr>
      <w:tr w14:paraId="3A8E7F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5DA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B5FF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41776">
            <w:pPr>
              <w:jc w:val="center"/>
            </w:pPr>
            <w:r>
              <w:rPr>
                <w:rFonts w:ascii="宋体" w:hAnsi="宋体" w:eastAsia="宋体"/>
                <w:sz w:val="16"/>
              </w:rPr>
              <w:t>总体目标完成情况</w:t>
            </w:r>
          </w:p>
        </w:tc>
      </w:tr>
      <w:tr w14:paraId="1725E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B2E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302AC">
            <w:pPr>
              <w:jc w:val="both"/>
            </w:pPr>
            <w:r>
              <w:rPr>
                <w:rFonts w:ascii="宋体" w:hAnsi="宋体" w:eastAsia="宋体"/>
                <w:sz w:val="16"/>
              </w:rPr>
              <w:t>加强检察文化交流学习力度，有效提升检察干警综合素质素养和专业办案能力，保障2车辆租赁经费支出，弥补我院30人运转经费不足部分</w:t>
            </w:r>
            <w:r>
              <w:rPr>
                <w:rFonts w:hint="eastAsia" w:ascii="宋体" w:hAnsi="宋体"/>
                <w:sz w:val="16"/>
                <w:lang w:eastAsia="zh-CN"/>
              </w:rPr>
              <w:t>，为</w:t>
            </w:r>
            <w:r>
              <w:rPr>
                <w:rFonts w:ascii="宋体" w:hAnsi="宋体" w:eastAsia="宋体"/>
                <w:sz w:val="16"/>
              </w:rPr>
              <w:t>推动尉犁县检察工作持续稳步发展</w:t>
            </w:r>
            <w:r>
              <w:rPr>
                <w:rFonts w:hint="eastAsia" w:ascii="宋体" w:hAnsi="宋体"/>
                <w:sz w:val="16"/>
                <w:lang w:eastAsia="zh-CN"/>
              </w:rPr>
              <w:t>，为</w:t>
            </w:r>
            <w:r>
              <w:rPr>
                <w:rFonts w:ascii="宋体" w:hAnsi="宋体" w:eastAsia="宋体"/>
                <w:sz w:val="16"/>
              </w:rPr>
              <w:t>努力实现新疆社会</w:t>
            </w:r>
            <w:bookmarkStart w:id="0" w:name="_GoBack"/>
            <w:r>
              <w:rPr>
                <w:rFonts w:ascii="宋体" w:hAnsi="宋体" w:eastAsia="宋体"/>
                <w:sz w:val="16"/>
              </w:rPr>
              <w:t>稳定</w:t>
            </w:r>
            <w:bookmarkEnd w:id="0"/>
            <w:r>
              <w:rPr>
                <w:rFonts w:ascii="宋体" w:hAnsi="宋体" w:eastAsia="宋体"/>
                <w:sz w:val="16"/>
              </w:rPr>
              <w:t>和长治久安总目标提供智力支持和人才保障，确保资金及时支付。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8536FC">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保障办公人员数量27人，资金到位率以及资金支付及时率均达到100%，人均运转经费5541元，有效提升了检察干警综合素质和专业办案能力，检察干警满意度达到100%。</w:t>
            </w:r>
          </w:p>
        </w:tc>
      </w:tr>
      <w:tr w14:paraId="7A4F2B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656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D0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CF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8B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2B7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D2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49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D1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C2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64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CF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03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82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1C08">
            <w:pPr>
              <w:jc w:val="center"/>
            </w:pPr>
            <w:r>
              <w:rPr>
                <w:rFonts w:ascii="宋体" w:hAnsi="宋体" w:eastAsia="宋体"/>
                <w:sz w:val="16"/>
              </w:rPr>
              <w:t>偏差原因分析及改进措施</w:t>
            </w:r>
          </w:p>
        </w:tc>
      </w:tr>
      <w:tr w14:paraId="59BBEF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95A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798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BFA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D02E">
            <w:pPr>
              <w:jc w:val="center"/>
            </w:pPr>
            <w:r>
              <w:rPr>
                <w:rFonts w:ascii="宋体" w:hAnsi="宋体" w:eastAsia="宋体"/>
                <w:sz w:val="16"/>
              </w:rPr>
              <w:t>受援疆检察官单位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AD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9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E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4D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D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77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A8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4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7D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470F">
            <w:pPr>
              <w:jc w:val="center"/>
            </w:pPr>
          </w:p>
        </w:tc>
      </w:tr>
      <w:tr w14:paraId="0614F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D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CA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AD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E55F">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B357">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6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9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70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2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FA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29A6">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72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6DC4">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59FA">
            <w:pPr>
              <w:jc w:val="center"/>
            </w:pPr>
            <w:r>
              <w:rPr>
                <w:rFonts w:hint="eastAsia" w:ascii="宋体" w:hAnsi="宋体"/>
                <w:sz w:val="16"/>
                <w:lang w:eastAsia="zh-CN"/>
              </w:rPr>
              <w:t>本单位</w:t>
            </w:r>
            <w:r>
              <w:rPr>
                <w:rFonts w:ascii="宋体" w:hAnsi="宋体" w:eastAsia="宋体"/>
                <w:sz w:val="16"/>
              </w:rPr>
              <w:t>人员发生变动，退休3人。</w:t>
            </w:r>
          </w:p>
        </w:tc>
      </w:tr>
      <w:tr w14:paraId="3649B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6E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E52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FB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916F">
            <w:pPr>
              <w:jc w:val="center"/>
            </w:pPr>
            <w:r>
              <w:rPr>
                <w:rFonts w:ascii="宋体" w:hAnsi="宋体" w:eastAsia="宋体"/>
                <w:sz w:val="16"/>
              </w:rPr>
              <w:t>租赁车辆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0203">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E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2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3B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D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F2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A64C">
            <w:pPr>
              <w:jc w:val="center"/>
            </w:pPr>
            <w:r>
              <w:rPr>
                <w:rFonts w:ascii="宋体" w:hAnsi="宋体" w:eastAsia="宋体"/>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56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38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2BA0">
            <w:pPr>
              <w:jc w:val="center"/>
            </w:pPr>
            <w:r>
              <w:rPr>
                <w:rFonts w:ascii="宋体" w:hAnsi="宋体" w:eastAsia="宋体"/>
                <w:sz w:val="16"/>
              </w:rPr>
              <w:t>因政策调整，整体采购车辆，未产生车辆租赁支出。</w:t>
            </w:r>
          </w:p>
        </w:tc>
      </w:tr>
      <w:tr w14:paraId="4F230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93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D2C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10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33CB">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5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D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C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87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3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5E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C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0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8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3B41">
            <w:pPr>
              <w:jc w:val="center"/>
            </w:pPr>
          </w:p>
        </w:tc>
      </w:tr>
      <w:tr w14:paraId="0FC3E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88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59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68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105D">
            <w:pPr>
              <w:jc w:val="center"/>
            </w:pPr>
            <w:r>
              <w:rPr>
                <w:rFonts w:ascii="宋体" w:hAnsi="宋体" w:eastAsia="宋体"/>
                <w:sz w:val="16"/>
              </w:rPr>
              <w:t>租赁车辆质量合格率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60D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9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5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0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B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6E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6C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22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9D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D4AA">
            <w:pPr>
              <w:jc w:val="center"/>
            </w:pPr>
            <w:r>
              <w:rPr>
                <w:rFonts w:ascii="宋体" w:hAnsi="宋体" w:eastAsia="宋体"/>
                <w:sz w:val="16"/>
              </w:rPr>
              <w:t>因政策调整，整体采购车辆，未产生车辆租赁支出。</w:t>
            </w:r>
          </w:p>
        </w:tc>
      </w:tr>
      <w:tr w14:paraId="1B08C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73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37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73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7F9A">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A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D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6C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AA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D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F2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8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3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92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BD43">
            <w:pPr>
              <w:jc w:val="center"/>
            </w:pPr>
          </w:p>
        </w:tc>
      </w:tr>
      <w:tr w14:paraId="371EF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725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F03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DD7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351B">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779B">
            <w:pPr>
              <w:jc w:val="center"/>
            </w:pPr>
            <w:r>
              <w:rPr>
                <w:rFonts w:ascii="宋体" w:hAnsi="宋体" w:eastAsia="宋体"/>
                <w:sz w:val="16"/>
              </w:rPr>
              <w:t>&lt;=1660元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C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F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44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9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3F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D32B">
            <w:pPr>
              <w:jc w:val="center"/>
            </w:pPr>
            <w:r>
              <w:rPr>
                <w:rFonts w:ascii="宋体" w:hAnsi="宋体" w:eastAsia="宋体"/>
                <w:sz w:val="16"/>
              </w:rPr>
              <w:t>=5541元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9A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A9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7833">
            <w:pPr>
              <w:jc w:val="center"/>
            </w:pPr>
            <w:r>
              <w:rPr>
                <w:rFonts w:ascii="宋体" w:hAnsi="宋体" w:eastAsia="宋体"/>
                <w:sz w:val="16"/>
              </w:rPr>
              <w:t>因产生车辆租赁支出，支付给区院统筹资金5万元，导致人均运转经费超出指标值。</w:t>
            </w:r>
          </w:p>
        </w:tc>
      </w:tr>
      <w:tr w14:paraId="140E8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9B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45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53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9310">
            <w:pPr>
              <w:jc w:val="center"/>
            </w:pPr>
            <w:r>
              <w:rPr>
                <w:rFonts w:ascii="宋体" w:hAnsi="宋体" w:eastAsia="宋体"/>
                <w:sz w:val="16"/>
              </w:rPr>
              <w:t>租赁车辆成本数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491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9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7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4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5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B8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70A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85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BC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958B">
            <w:pPr>
              <w:jc w:val="center"/>
            </w:pPr>
            <w:r>
              <w:rPr>
                <w:rFonts w:ascii="宋体" w:hAnsi="宋体" w:eastAsia="宋体"/>
                <w:sz w:val="16"/>
              </w:rPr>
              <w:t>因政策调整，整体采购车辆，未产生车辆租赁支出。</w:t>
            </w:r>
          </w:p>
        </w:tc>
      </w:tr>
      <w:tr w14:paraId="6FD66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775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E19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C01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1AD2">
            <w:pPr>
              <w:jc w:val="center"/>
            </w:pPr>
            <w:r>
              <w:rPr>
                <w:rFonts w:ascii="宋体" w:hAnsi="宋体" w:eastAsia="宋体"/>
                <w:sz w:val="16"/>
              </w:rPr>
              <w:t>租赁车辆利用率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6F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A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7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6F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D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18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D9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5E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3E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94FE">
            <w:pPr>
              <w:jc w:val="center"/>
            </w:pPr>
            <w:r>
              <w:rPr>
                <w:rFonts w:ascii="宋体" w:hAnsi="宋体" w:eastAsia="宋体"/>
                <w:sz w:val="16"/>
              </w:rPr>
              <w:t>因政策调整，整体采购车辆，未产生车辆租赁支出。</w:t>
            </w:r>
          </w:p>
        </w:tc>
      </w:tr>
      <w:tr w14:paraId="4EE53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94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B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66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0AE0">
            <w:pPr>
              <w:jc w:val="center"/>
            </w:pPr>
            <w:r>
              <w:rPr>
                <w:rFonts w:ascii="宋体" w:hAnsi="宋体" w:eastAsia="宋体"/>
                <w:sz w:val="16"/>
              </w:rPr>
              <w:t>提升检察干警综合素养和专业办案能力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68B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7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4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6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DC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C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DB9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0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5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C556">
            <w:pPr>
              <w:jc w:val="center"/>
            </w:pPr>
          </w:p>
        </w:tc>
      </w:tr>
      <w:tr w14:paraId="75ED9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BB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15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3F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8573">
            <w:pPr>
              <w:jc w:val="center"/>
            </w:pPr>
            <w:r>
              <w:rPr>
                <w:rFonts w:ascii="宋体" w:hAnsi="宋体" w:eastAsia="宋体"/>
                <w:sz w:val="16"/>
              </w:rPr>
              <w:t>受援疆检察官满意度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F6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7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1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8C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27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3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4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D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34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CB74">
            <w:pPr>
              <w:jc w:val="center"/>
            </w:pPr>
          </w:p>
        </w:tc>
      </w:tr>
      <w:tr w14:paraId="27E2D5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426B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DB13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F57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68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2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2EA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5ED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139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BB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F06A">
            <w:pPr>
              <w:jc w:val="center"/>
            </w:pPr>
            <w:r>
              <w:rPr>
                <w:rFonts w:ascii="宋体" w:hAnsi="宋体" w:eastAsia="宋体"/>
                <w:sz w:val="16"/>
              </w:rPr>
              <w:t>53.68分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2506D"/>
        </w:tc>
      </w:tr>
    </w:tbl>
    <w:p w14:paraId="7D435107">
      <w:r>
        <w:br w:type="page"/>
      </w:r>
    </w:p>
    <w:p w14:paraId="2D5A4DED">
      <w:pPr>
        <w:spacing w:line="640" w:lineRule="exact"/>
        <w:ind w:firstLine="640"/>
        <w:jc w:val="both"/>
        <w:outlineLvl w:val="2"/>
      </w:pPr>
      <w:r>
        <w:rPr>
          <w:rFonts w:ascii="黑体" w:hAnsi="黑体" w:eastAsia="黑体"/>
          <w:sz w:val="32"/>
        </w:rPr>
        <w:t>十二、其他需说明的事项</w:t>
      </w:r>
    </w:p>
    <w:p w14:paraId="256DAF8A">
      <w:pPr>
        <w:spacing w:line="580" w:lineRule="exact"/>
        <w:ind w:firstLine="640"/>
        <w:jc w:val="both"/>
      </w:pPr>
      <w:r>
        <w:rPr>
          <w:rFonts w:ascii="仿宋_GB2312" w:hAnsi="仿宋_GB2312" w:eastAsia="仿宋_GB2312"/>
          <w:b w:val="0"/>
          <w:sz w:val="32"/>
        </w:rPr>
        <w:t>本年本部门SM项目2个，全年预算数131.00万元，全年执行数131.00万元。</w:t>
      </w:r>
    </w:p>
    <w:p w14:paraId="2D3CCA53">
      <w:r>
        <w:br w:type="page"/>
      </w:r>
    </w:p>
    <w:p w14:paraId="5DEB6307">
      <w:pPr>
        <w:spacing w:line="240" w:lineRule="auto"/>
        <w:jc w:val="center"/>
        <w:outlineLvl w:val="1"/>
      </w:pPr>
      <w:r>
        <w:rPr>
          <w:rFonts w:ascii="黑体" w:hAnsi="黑体" w:eastAsia="黑体"/>
          <w:sz w:val="32"/>
        </w:rPr>
        <w:t>第三部分 专业名词解释</w:t>
      </w:r>
    </w:p>
    <w:p w14:paraId="592CF8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3E64FD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9CA7C7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8256F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FA95C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DD36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0932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A9F82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389B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4544A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178A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2AB2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78ECC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5B54E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FF868A">
      <w:r>
        <w:br w:type="page"/>
      </w:r>
    </w:p>
    <w:p w14:paraId="6517DF00">
      <w:pPr>
        <w:spacing w:line="240" w:lineRule="auto"/>
        <w:jc w:val="center"/>
        <w:outlineLvl w:val="1"/>
      </w:pPr>
      <w:r>
        <w:rPr>
          <w:rFonts w:ascii="黑体" w:hAnsi="黑体" w:eastAsia="黑体"/>
          <w:sz w:val="32"/>
        </w:rPr>
        <w:t>第四部分 部门决算报表（见附表）</w:t>
      </w:r>
    </w:p>
    <w:p w14:paraId="2E828B32">
      <w:pPr>
        <w:spacing w:line="240" w:lineRule="auto"/>
        <w:ind w:firstLine="640"/>
        <w:jc w:val="both"/>
      </w:pPr>
      <w:r>
        <w:rPr>
          <w:rFonts w:ascii="仿宋_GB2312" w:hAnsi="仿宋_GB2312" w:eastAsia="仿宋_GB2312"/>
          <w:b w:val="0"/>
          <w:sz w:val="32"/>
        </w:rPr>
        <w:t>一、《收入支出决算总表》</w:t>
      </w:r>
    </w:p>
    <w:p w14:paraId="3B843B88">
      <w:pPr>
        <w:spacing w:line="240" w:lineRule="auto"/>
        <w:ind w:firstLine="640"/>
        <w:jc w:val="both"/>
      </w:pPr>
      <w:r>
        <w:rPr>
          <w:rFonts w:ascii="仿宋_GB2312" w:hAnsi="仿宋_GB2312" w:eastAsia="仿宋_GB2312"/>
          <w:b w:val="0"/>
          <w:sz w:val="32"/>
        </w:rPr>
        <w:t>二、《收入决算表》</w:t>
      </w:r>
    </w:p>
    <w:p w14:paraId="688E67EA">
      <w:pPr>
        <w:spacing w:line="240" w:lineRule="auto"/>
        <w:ind w:firstLine="640"/>
        <w:jc w:val="both"/>
      </w:pPr>
      <w:r>
        <w:rPr>
          <w:rFonts w:ascii="仿宋_GB2312" w:hAnsi="仿宋_GB2312" w:eastAsia="仿宋_GB2312"/>
          <w:b w:val="0"/>
          <w:sz w:val="32"/>
        </w:rPr>
        <w:t>三、《支出决算表》</w:t>
      </w:r>
    </w:p>
    <w:p w14:paraId="3FB287BD">
      <w:pPr>
        <w:spacing w:line="240" w:lineRule="auto"/>
        <w:ind w:firstLine="640"/>
        <w:jc w:val="both"/>
      </w:pPr>
      <w:r>
        <w:rPr>
          <w:rFonts w:ascii="仿宋_GB2312" w:hAnsi="仿宋_GB2312" w:eastAsia="仿宋_GB2312"/>
          <w:b w:val="0"/>
          <w:sz w:val="32"/>
        </w:rPr>
        <w:t>四、《财政拨款收入支出决算总表》</w:t>
      </w:r>
    </w:p>
    <w:p w14:paraId="5EF6794C">
      <w:pPr>
        <w:spacing w:line="240" w:lineRule="auto"/>
        <w:ind w:firstLine="640"/>
        <w:jc w:val="both"/>
      </w:pPr>
      <w:r>
        <w:rPr>
          <w:rFonts w:ascii="仿宋_GB2312" w:hAnsi="仿宋_GB2312" w:eastAsia="仿宋_GB2312"/>
          <w:b w:val="0"/>
          <w:sz w:val="32"/>
        </w:rPr>
        <w:t>五、《一般公共预算财政拨款支出决算表》</w:t>
      </w:r>
    </w:p>
    <w:p w14:paraId="7ED0B26E">
      <w:pPr>
        <w:spacing w:line="240" w:lineRule="auto"/>
        <w:ind w:firstLine="640"/>
        <w:jc w:val="both"/>
      </w:pPr>
      <w:r>
        <w:rPr>
          <w:rFonts w:ascii="仿宋_GB2312" w:hAnsi="仿宋_GB2312" w:eastAsia="仿宋_GB2312"/>
          <w:b w:val="0"/>
          <w:sz w:val="32"/>
        </w:rPr>
        <w:t>六、《一般公共预算财政拨款基本支出决算表》</w:t>
      </w:r>
    </w:p>
    <w:p w14:paraId="68918C5F">
      <w:pPr>
        <w:spacing w:line="240" w:lineRule="auto"/>
        <w:ind w:firstLine="640"/>
        <w:jc w:val="both"/>
      </w:pPr>
      <w:r>
        <w:rPr>
          <w:rFonts w:ascii="仿宋_GB2312" w:hAnsi="仿宋_GB2312" w:eastAsia="仿宋_GB2312"/>
          <w:b w:val="0"/>
          <w:sz w:val="32"/>
        </w:rPr>
        <w:t>七、《政府性基金预算财政拨款收入支出决算表》</w:t>
      </w:r>
    </w:p>
    <w:p w14:paraId="64C4D841">
      <w:pPr>
        <w:spacing w:line="240" w:lineRule="auto"/>
        <w:ind w:firstLine="640"/>
        <w:jc w:val="both"/>
      </w:pPr>
      <w:r>
        <w:rPr>
          <w:rFonts w:ascii="仿宋_GB2312" w:hAnsi="仿宋_GB2312" w:eastAsia="仿宋_GB2312"/>
          <w:b w:val="0"/>
          <w:sz w:val="32"/>
        </w:rPr>
        <w:t>八、《国有资本经营预算财政拨款收入支出决算表》</w:t>
      </w:r>
    </w:p>
    <w:p w14:paraId="06F3171A">
      <w:pPr>
        <w:spacing w:line="240" w:lineRule="auto"/>
        <w:ind w:firstLine="640"/>
        <w:jc w:val="both"/>
      </w:pPr>
      <w:r>
        <w:rPr>
          <w:rFonts w:ascii="仿宋_GB2312" w:hAnsi="仿宋_GB2312" w:eastAsia="仿宋_GB2312"/>
          <w:b w:val="0"/>
          <w:sz w:val="32"/>
        </w:rPr>
        <w:t>九、《财政拨款“三公”经费支出决算表》</w:t>
      </w:r>
    </w:p>
    <w:p w14:paraId="512E3C37">
      <w:pPr>
        <w:spacing w:line="240" w:lineRule="auto"/>
        <w:ind w:firstLine="640"/>
        <w:jc w:val="both"/>
      </w:pPr>
    </w:p>
    <w:p w14:paraId="1332179B">
      <w:pPr>
        <w:spacing w:line="240" w:lineRule="auto"/>
        <w:ind w:firstLine="640"/>
        <w:jc w:val="both"/>
      </w:pPr>
    </w:p>
    <w:p w14:paraId="129265EC">
      <w:pPr>
        <w:spacing w:line="240" w:lineRule="auto"/>
        <w:ind w:firstLine="640"/>
        <w:jc w:val="both"/>
      </w:pPr>
    </w:p>
    <w:p w14:paraId="14110907">
      <w:pPr>
        <w:spacing w:line="240" w:lineRule="auto"/>
        <w:ind w:firstLine="640"/>
        <w:jc w:val="both"/>
      </w:pPr>
    </w:p>
    <w:p w14:paraId="4ED08B0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54BE50-6EB8-40D2-918C-A7F26935AA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208CA2E-235C-4482-A008-98FB5CFFECB7}"/>
  </w:font>
  <w:font w:name="仿宋_GB2312">
    <w:panose1 w:val="02010609030101010101"/>
    <w:charset w:val="86"/>
    <w:family w:val="modern"/>
    <w:pitch w:val="default"/>
    <w:sig w:usb0="00000001" w:usb1="080E0000" w:usb2="00000000" w:usb3="00000000" w:csb0="00040000" w:csb1="00000000"/>
    <w:embedRegular r:id="rId3" w:fontKey="{23496BC0-B5E1-4C0D-B0EE-0299B15BAB7B}"/>
  </w:font>
  <w:font w:name="楷体_GB2312">
    <w:panose1 w:val="02010609030101010101"/>
    <w:charset w:val="86"/>
    <w:family w:val="auto"/>
    <w:pitch w:val="default"/>
    <w:sig w:usb0="00000001" w:usb1="080E0000" w:usb2="00000000" w:usb3="00000000" w:csb0="00040000" w:csb1="00000000"/>
    <w:embedRegular r:id="rId4" w:fontKey="{65529199-2D11-4301-9359-7BAC10381C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D65FAA"/>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9E5F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5697</Words>
  <Characters>6541</Characters>
  <Lines>0</Lines>
  <Paragraphs>0</Paragraphs>
  <TotalTime>3</TotalTime>
  <ScaleCrop>false</ScaleCrop>
  <LinksUpToDate>false</LinksUpToDate>
  <CharactersWithSpaces>6549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2025-09-11T07:55:16Z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