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新疆巴州若羌县人民检察院2024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4C8FD23">
      <w:r>
        <w:br w:type="page"/>
      </w:r>
    </w:p>
    <w:p w14:paraId="76D5EB33">
      <w:pPr>
        <w:spacing w:line="640" w:lineRule="exact"/>
        <w:jc w:val="center"/>
        <w:outlineLvl w:val="1"/>
      </w:pPr>
      <w:r>
        <w:rPr>
          <w:rFonts w:ascii="黑体" w:hAnsi="黑体" w:eastAsia="黑体"/>
          <w:sz w:val="32"/>
        </w:rPr>
        <w:t>第一部分 部门概况</w:t>
      </w:r>
    </w:p>
    <w:p w14:paraId="3AD4B356">
      <w:pPr>
        <w:spacing w:line="640" w:lineRule="exact"/>
        <w:ind w:firstLine="640"/>
        <w:jc w:val="both"/>
        <w:outlineLvl w:val="2"/>
      </w:pPr>
      <w:r>
        <w:rPr>
          <w:rFonts w:ascii="黑体" w:hAnsi="黑体" w:eastAsia="黑体"/>
          <w:sz w:val="32"/>
        </w:rPr>
        <w:t>一、主要职能</w:t>
      </w:r>
    </w:p>
    <w:p w14:paraId="17CAFAAC">
      <w:pPr>
        <w:spacing w:line="580" w:lineRule="exact"/>
        <w:ind w:firstLine="640"/>
        <w:jc w:val="both"/>
      </w:pPr>
      <w:r>
        <w:rPr>
          <w:rFonts w:ascii="仿宋_GB2312" w:hAnsi="仿宋_GB2312" w:eastAsia="仿宋_GB2312"/>
          <w:sz w:val="32"/>
        </w:rPr>
        <w:t>人民检察院是国家的法律监督机关，主要任务是依法履行监督职能，保证国家法律的统一和正确实施。</w:t>
      </w:r>
    </w:p>
    <w:p w14:paraId="6EEB4362">
      <w:pPr>
        <w:spacing w:line="580" w:lineRule="exact"/>
        <w:ind w:firstLine="640"/>
        <w:jc w:val="both"/>
      </w:pPr>
      <w:r>
        <w:rPr>
          <w:rFonts w:ascii="仿宋_GB2312" w:hAnsi="仿宋_GB2312" w:eastAsia="仿宋_GB2312"/>
          <w:sz w:val="32"/>
        </w:rPr>
        <w:t>（一）依法向且末县人民代表大会及其常务委员会提出议案。</w:t>
      </w:r>
    </w:p>
    <w:p w14:paraId="1ED5BE29">
      <w:pPr>
        <w:spacing w:line="580" w:lineRule="exact"/>
        <w:ind w:firstLine="640"/>
        <w:jc w:val="both"/>
      </w:pPr>
      <w:r>
        <w:rPr>
          <w:rFonts w:ascii="仿宋_GB2312" w:hAnsi="仿宋_GB2312" w:eastAsia="仿宋_GB2312"/>
          <w:sz w:val="32"/>
        </w:rPr>
        <w:t>（二）贯彻落实检察工作方针、总体规划，完成检察工作任务。</w:t>
      </w:r>
    </w:p>
    <w:p w14:paraId="2D7452E0">
      <w:pPr>
        <w:spacing w:line="580" w:lineRule="exact"/>
        <w:ind w:firstLine="640"/>
        <w:jc w:val="both"/>
      </w:pPr>
      <w:r>
        <w:rPr>
          <w:rFonts w:ascii="仿宋_GB2312" w:hAnsi="仿宋_GB2312" w:eastAsia="仿宋_GB2312"/>
          <w:sz w:val="32"/>
        </w:rPr>
        <w:t>（三）依法开展对刑事犯罪案件的审查批准逮捕、决定逮捕、审查起诉工作。</w:t>
      </w:r>
    </w:p>
    <w:p w14:paraId="7F204D44">
      <w:pPr>
        <w:spacing w:line="580" w:lineRule="exact"/>
        <w:ind w:firstLine="640"/>
        <w:jc w:val="both"/>
      </w:pPr>
      <w:r>
        <w:rPr>
          <w:rFonts w:ascii="仿宋_GB2312" w:hAnsi="仿宋_GB2312" w:eastAsia="仿宋_GB2312"/>
          <w:sz w:val="32"/>
        </w:rPr>
        <w:t>（四）负责应由且末县人民检察院承办的刑事、民事、行政诉讼活动及刑事、民事、行政判决和裁定等生效法律文书执行的法律监督工作。</w:t>
      </w:r>
    </w:p>
    <w:p w14:paraId="25DC9BD4">
      <w:pPr>
        <w:spacing w:line="580" w:lineRule="exact"/>
        <w:ind w:firstLine="640"/>
        <w:jc w:val="both"/>
      </w:pPr>
      <w:r>
        <w:rPr>
          <w:rFonts w:ascii="仿宋_GB2312" w:hAnsi="仿宋_GB2312" w:eastAsia="仿宋_GB2312"/>
          <w:sz w:val="32"/>
        </w:rPr>
        <w:t>（五）负责对且末县人民法院已发生法律效力、确有错误的判决和裁定，依法提请巴州人民检察院向巴州中级人民法院提出抗诉。</w:t>
      </w:r>
    </w:p>
    <w:p w14:paraId="4C0828DA">
      <w:pPr>
        <w:spacing w:line="580" w:lineRule="exact"/>
        <w:ind w:firstLine="640"/>
        <w:jc w:val="both"/>
      </w:pPr>
      <w:r>
        <w:rPr>
          <w:rFonts w:ascii="仿宋_GB2312" w:hAnsi="仿宋_GB2312" w:eastAsia="仿宋_GB2312"/>
          <w:sz w:val="32"/>
        </w:rPr>
        <w:t>（六）负责应由且末县人民检察院承办的提起公益诉讼工作。</w:t>
      </w:r>
    </w:p>
    <w:p w14:paraId="31CECBD5">
      <w:pPr>
        <w:spacing w:line="580" w:lineRule="exact"/>
        <w:ind w:firstLine="640"/>
        <w:jc w:val="both"/>
      </w:pPr>
      <w:r>
        <w:rPr>
          <w:rFonts w:ascii="仿宋_GB2312" w:hAnsi="仿宋_GB2312" w:eastAsia="仿宋_GB2312"/>
          <w:sz w:val="32"/>
        </w:rPr>
        <w:t>（七）</w:t>
      </w:r>
      <w:r>
        <w:rPr>
          <w:rFonts w:hint="eastAsia" w:ascii="仿宋_GB2312" w:hAnsi="仿宋_GB2312" w:eastAsia="仿宋_GB2312"/>
          <w:sz w:val="32"/>
          <w:lang w:eastAsia="zh-CN"/>
        </w:rPr>
        <w:t>负责</w:t>
      </w:r>
      <w:r>
        <w:rPr>
          <w:rFonts w:ascii="仿宋_GB2312" w:hAnsi="仿宋_GB2312" w:eastAsia="仿宋_GB2312"/>
          <w:sz w:val="32"/>
        </w:rPr>
        <w:t>由且末县人民检察院承办的对安置教育机构、看守所、社区矫正机构等执法活动的法律监督工作。</w:t>
      </w:r>
    </w:p>
    <w:p w14:paraId="01DF9A75">
      <w:pPr>
        <w:spacing w:line="580" w:lineRule="exact"/>
        <w:ind w:firstLine="640"/>
        <w:jc w:val="both"/>
      </w:pPr>
      <w:r>
        <w:rPr>
          <w:rFonts w:ascii="仿宋_GB2312" w:hAnsi="仿宋_GB2312" w:eastAsia="仿宋_GB2312"/>
          <w:sz w:val="32"/>
        </w:rPr>
        <w:t>（八）受理向且末县人民检察院的控告申诉，开展控告申诉检察工作。</w:t>
      </w:r>
    </w:p>
    <w:p w14:paraId="30F722A3">
      <w:pPr>
        <w:spacing w:line="580" w:lineRule="exact"/>
        <w:ind w:firstLine="640"/>
        <w:jc w:val="both"/>
      </w:pPr>
      <w:r>
        <w:rPr>
          <w:rFonts w:ascii="仿宋_GB2312" w:hAnsi="仿宋_GB2312" w:eastAsia="仿宋_GB2312"/>
          <w:sz w:val="32"/>
        </w:rPr>
        <w:t>（九）开展检察应用和理论研究工作。</w:t>
      </w:r>
    </w:p>
    <w:p w14:paraId="3291AE3B">
      <w:pPr>
        <w:spacing w:line="580" w:lineRule="exact"/>
        <w:ind w:firstLine="640"/>
        <w:jc w:val="both"/>
      </w:pPr>
      <w:r>
        <w:rPr>
          <w:rFonts w:ascii="仿宋_GB2312" w:hAnsi="仿宋_GB2312" w:eastAsia="仿宋_GB2312"/>
          <w:sz w:val="32"/>
        </w:rPr>
        <w:t>（十）负责本院队伍建设和思想政治工作。依法管理检察官及其他检察人员的工作，开展检察机关教育培训工作。</w:t>
      </w:r>
    </w:p>
    <w:p w14:paraId="20A805F3">
      <w:pPr>
        <w:spacing w:line="580" w:lineRule="exact"/>
        <w:ind w:firstLine="640"/>
        <w:jc w:val="both"/>
      </w:pPr>
      <w:r>
        <w:rPr>
          <w:rFonts w:ascii="仿宋_GB2312" w:hAnsi="仿宋_GB2312" w:eastAsia="仿宋_GB2312"/>
          <w:sz w:val="32"/>
        </w:rPr>
        <w:t>（十一）开展本院检务督察工作。</w:t>
      </w:r>
    </w:p>
    <w:p w14:paraId="36EC2399">
      <w:pPr>
        <w:spacing w:line="580" w:lineRule="exact"/>
        <w:ind w:firstLine="640"/>
        <w:jc w:val="both"/>
      </w:pPr>
      <w:r>
        <w:rPr>
          <w:rFonts w:ascii="仿宋_GB2312" w:hAnsi="仿宋_GB2312" w:eastAsia="仿宋_GB2312"/>
          <w:sz w:val="32"/>
        </w:rPr>
        <w:t>（十二）开展检察机关的财务装备工作，检察技术信息工作。</w:t>
      </w:r>
    </w:p>
    <w:p w14:paraId="32B1864F">
      <w:pPr>
        <w:spacing w:line="580" w:lineRule="exact"/>
        <w:ind w:firstLine="640"/>
        <w:jc w:val="both"/>
      </w:pPr>
      <w:r>
        <w:rPr>
          <w:rFonts w:ascii="仿宋_GB2312" w:hAnsi="仿宋_GB2312" w:eastAsia="仿宋_GB2312"/>
          <w:sz w:val="32"/>
        </w:rPr>
        <w:t>（十三）负责其他应当由若羌县人民检察院承办的事项。</w:t>
      </w:r>
    </w:p>
    <w:p w14:paraId="002DEB5D">
      <w:pPr>
        <w:spacing w:line="640" w:lineRule="exact"/>
        <w:ind w:firstLine="640"/>
        <w:jc w:val="both"/>
        <w:outlineLvl w:val="2"/>
      </w:pPr>
      <w:r>
        <w:rPr>
          <w:rFonts w:ascii="黑体" w:hAnsi="黑体" w:eastAsia="黑体"/>
          <w:sz w:val="32"/>
        </w:rPr>
        <w:t>二、机构设置及人员情况</w:t>
      </w:r>
    </w:p>
    <w:p w14:paraId="6BA2B027">
      <w:pPr>
        <w:spacing w:line="580" w:lineRule="exact"/>
        <w:ind w:firstLine="640"/>
        <w:jc w:val="both"/>
      </w:pPr>
      <w:r>
        <w:rPr>
          <w:rFonts w:ascii="仿宋_GB2312" w:hAnsi="仿宋_GB2312" w:eastAsia="仿宋_GB2312"/>
          <w:sz w:val="32"/>
        </w:rPr>
        <w:t>新疆巴州若羌县人民检察院2024年度，实有人数23人，其中：在职人员15人，减少2人；离休人员0人，增加0人；退休人员8人,增加3人。</w:t>
      </w:r>
    </w:p>
    <w:p w14:paraId="0394B4B9">
      <w:pPr>
        <w:spacing w:line="580" w:lineRule="exact"/>
        <w:ind w:firstLine="640"/>
        <w:jc w:val="both"/>
      </w:pPr>
      <w:r>
        <w:rPr>
          <w:rFonts w:ascii="仿宋_GB2312" w:hAnsi="仿宋_GB2312" w:eastAsia="仿宋_GB2312"/>
          <w:sz w:val="32"/>
        </w:rPr>
        <w:t>新疆巴州若羌县人民检察院无下属预算单位，下设3个科室，分别是：综合行政部、第一检察部、第二检察部。</w:t>
      </w:r>
    </w:p>
    <w:p w14:paraId="07F452E0">
      <w:r>
        <w:br w:type="page"/>
      </w:r>
    </w:p>
    <w:p w14:paraId="6E0FE555">
      <w:pPr>
        <w:spacing w:line="240" w:lineRule="auto"/>
        <w:jc w:val="center"/>
        <w:outlineLvl w:val="1"/>
      </w:pPr>
      <w:r>
        <w:rPr>
          <w:rFonts w:ascii="黑体" w:hAnsi="黑体" w:eastAsia="黑体"/>
          <w:sz w:val="32"/>
        </w:rPr>
        <w:t>第二部分 部门决算情况说明</w:t>
      </w:r>
    </w:p>
    <w:p w14:paraId="56EB5AB2">
      <w:pPr>
        <w:spacing w:line="640" w:lineRule="exact"/>
        <w:ind w:firstLine="640"/>
        <w:jc w:val="both"/>
        <w:outlineLvl w:val="2"/>
      </w:pPr>
      <w:r>
        <w:rPr>
          <w:rFonts w:ascii="黑体" w:hAnsi="黑体" w:eastAsia="黑体"/>
          <w:sz w:val="32"/>
        </w:rPr>
        <w:t>一、收入支出决算总体情况说明</w:t>
      </w:r>
    </w:p>
    <w:p w14:paraId="22F3D7AE">
      <w:pPr>
        <w:spacing w:line="580" w:lineRule="exact"/>
        <w:ind w:firstLine="640"/>
        <w:jc w:val="both"/>
      </w:pPr>
      <w:r>
        <w:rPr>
          <w:rFonts w:ascii="仿宋_GB2312" w:hAnsi="仿宋_GB2312" w:eastAsia="仿宋_GB2312"/>
          <w:b/>
          <w:sz w:val="32"/>
        </w:rPr>
        <w:t>2024年度收入总计659.18万元，</w:t>
      </w:r>
      <w:r>
        <w:rPr>
          <w:rFonts w:ascii="仿宋_GB2312" w:hAnsi="仿宋_GB2312" w:eastAsia="仿宋_GB2312"/>
          <w:b w:val="0"/>
          <w:sz w:val="32"/>
        </w:rPr>
        <w:t>其中：本年收入合计647.20万元，使用非财政拨款结余（含专用结余）0.00万元，年初结转和结余11.99万元。</w:t>
      </w:r>
    </w:p>
    <w:p w14:paraId="4383CAE6">
      <w:pPr>
        <w:spacing w:line="580" w:lineRule="exact"/>
        <w:ind w:firstLine="640"/>
        <w:jc w:val="both"/>
      </w:pPr>
      <w:r>
        <w:rPr>
          <w:rFonts w:ascii="仿宋_GB2312" w:hAnsi="仿宋_GB2312" w:eastAsia="仿宋_GB2312"/>
          <w:b/>
          <w:sz w:val="32"/>
        </w:rPr>
        <w:t>2024年度支出总计659.18万元，</w:t>
      </w:r>
      <w:r>
        <w:rPr>
          <w:rFonts w:ascii="仿宋_GB2312" w:hAnsi="仿宋_GB2312" w:eastAsia="仿宋_GB2312"/>
          <w:b w:val="0"/>
          <w:sz w:val="32"/>
        </w:rPr>
        <w:t>其中：本年支出合计659.18万元，结余分配0.00万元，年末结转和结余0.00万元。</w:t>
      </w:r>
    </w:p>
    <w:p w14:paraId="40C5C81E">
      <w:pPr>
        <w:spacing w:line="580" w:lineRule="exact"/>
        <w:ind w:firstLine="640"/>
        <w:jc w:val="both"/>
      </w:pPr>
      <w:r>
        <w:rPr>
          <w:rFonts w:ascii="仿宋_GB2312" w:hAnsi="仿宋_GB2312" w:eastAsia="仿宋_GB2312"/>
          <w:b w:val="0"/>
          <w:sz w:val="32"/>
        </w:rPr>
        <w:t>收入支出总体与上年相比，增加15.51万元，增长2.41%，主要原因是：本年增加援疆专项业务资金、司法救助金项目，导致经费较上年增加。</w:t>
      </w:r>
    </w:p>
    <w:p w14:paraId="07607E7F">
      <w:pPr>
        <w:spacing w:line="640" w:lineRule="exact"/>
        <w:ind w:firstLine="640"/>
        <w:jc w:val="both"/>
        <w:outlineLvl w:val="2"/>
      </w:pPr>
      <w:r>
        <w:rPr>
          <w:rFonts w:ascii="黑体" w:hAnsi="黑体" w:eastAsia="黑体"/>
          <w:sz w:val="32"/>
        </w:rPr>
        <w:t>二、收入决算情况说明</w:t>
      </w:r>
    </w:p>
    <w:p w14:paraId="1D798865">
      <w:pPr>
        <w:spacing w:line="580" w:lineRule="exact"/>
        <w:ind w:firstLine="640"/>
        <w:jc w:val="both"/>
      </w:pPr>
      <w:r>
        <w:rPr>
          <w:rFonts w:ascii="仿宋_GB2312" w:hAnsi="仿宋_GB2312" w:eastAsia="仿宋_GB2312"/>
          <w:b/>
          <w:sz w:val="32"/>
        </w:rPr>
        <w:t>本年收入647.20万元，</w:t>
      </w:r>
      <w:r>
        <w:rPr>
          <w:rFonts w:ascii="仿宋_GB2312" w:hAnsi="仿宋_GB2312" w:eastAsia="仿宋_GB2312"/>
          <w:b w:val="0"/>
          <w:sz w:val="32"/>
        </w:rPr>
        <w:t>其中：财政拨款收入613.79万元，占94.84%；上级补助收入0.00万元，占0.00%；事业收入0.00万元，占0.00%；经营收入0.00万元，占0.00%；附属单位上缴收入0.00万元，占0.00%；其他收入33.41万元，占5.16%。</w:t>
      </w:r>
    </w:p>
    <w:p w14:paraId="010D4E4E">
      <w:pPr>
        <w:spacing w:line="640" w:lineRule="exact"/>
        <w:ind w:firstLine="640"/>
        <w:jc w:val="both"/>
        <w:outlineLvl w:val="2"/>
      </w:pPr>
      <w:r>
        <w:rPr>
          <w:rFonts w:ascii="黑体" w:hAnsi="黑体" w:eastAsia="黑体"/>
          <w:sz w:val="32"/>
        </w:rPr>
        <w:t>三、支出决算情况说明</w:t>
      </w:r>
    </w:p>
    <w:p w14:paraId="17F09863">
      <w:pPr>
        <w:spacing w:line="580" w:lineRule="exact"/>
        <w:ind w:firstLine="640"/>
        <w:jc w:val="both"/>
      </w:pPr>
      <w:r>
        <w:rPr>
          <w:rFonts w:ascii="仿宋_GB2312" w:hAnsi="仿宋_GB2312" w:eastAsia="仿宋_GB2312"/>
          <w:b/>
          <w:sz w:val="32"/>
        </w:rPr>
        <w:t>本年支出659.18万元，</w:t>
      </w:r>
      <w:r>
        <w:rPr>
          <w:rFonts w:ascii="仿宋_GB2312" w:hAnsi="仿宋_GB2312" w:eastAsia="仿宋_GB2312"/>
          <w:b w:val="0"/>
          <w:sz w:val="32"/>
        </w:rPr>
        <w:t>其中：基本支出565.18万元，占85.74%；项目支出94.00万元，占14.26%；上缴上级支出0.00万元，占0.00%；经营支出0.00万元，占0.00%；对附属单位补助支出0.00万元，占0.00%。</w:t>
      </w:r>
    </w:p>
    <w:p w14:paraId="19F499B0">
      <w:pPr>
        <w:spacing w:line="640" w:lineRule="exact"/>
        <w:ind w:firstLine="640"/>
        <w:jc w:val="both"/>
        <w:outlineLvl w:val="2"/>
      </w:pPr>
      <w:r>
        <w:rPr>
          <w:rFonts w:ascii="黑体" w:hAnsi="黑体" w:eastAsia="黑体"/>
          <w:sz w:val="32"/>
        </w:rPr>
        <w:t>四、财政拨款收入支出决算总体情况说明</w:t>
      </w:r>
    </w:p>
    <w:p w14:paraId="3E34217E">
      <w:pPr>
        <w:spacing w:line="580" w:lineRule="exact"/>
        <w:ind w:firstLine="640"/>
        <w:jc w:val="both"/>
      </w:pPr>
      <w:r>
        <w:rPr>
          <w:rFonts w:ascii="仿宋_GB2312" w:hAnsi="仿宋_GB2312" w:eastAsia="仿宋_GB2312"/>
          <w:b/>
          <w:sz w:val="32"/>
        </w:rPr>
        <w:t>2024年度财政拨款收入总计613.79万元，</w:t>
      </w:r>
      <w:r>
        <w:rPr>
          <w:rFonts w:ascii="仿宋_GB2312" w:hAnsi="仿宋_GB2312" w:eastAsia="仿宋_GB2312"/>
          <w:b w:val="0"/>
          <w:sz w:val="32"/>
        </w:rPr>
        <w:t>其中：年初财政拨款结转和结余0.00万元，本年财政拨款收入613.79万元。</w:t>
      </w:r>
      <w:r>
        <w:rPr>
          <w:rFonts w:ascii="仿宋_GB2312" w:hAnsi="仿宋_GB2312" w:eastAsia="仿宋_GB2312"/>
          <w:b/>
          <w:sz w:val="32"/>
        </w:rPr>
        <w:t>财政拨款支出总计613.79万元，</w:t>
      </w:r>
      <w:r>
        <w:rPr>
          <w:rFonts w:ascii="仿宋_GB2312" w:hAnsi="仿宋_GB2312" w:eastAsia="仿宋_GB2312"/>
          <w:b w:val="0"/>
          <w:sz w:val="32"/>
        </w:rPr>
        <w:t>其中：年末财政拨款结转和结余0.00万元，本年财政拨款支出613.79万元。</w:t>
      </w:r>
    </w:p>
    <w:p w14:paraId="481DF568">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减少23.91万元，下降3.75%，主要原因是：本年在职人员减少，相关人员经费减少；减少中央政法纪检监察转移支付资金、为民办实事工作队经费项目资金，导致经费较上年减少。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年初预算数633.72万元，决算数613.79万元，预决算差异率-3.14%，主要原因是：本年在职人员减少，年中调减人员经费，导致预决算存在差异。</w:t>
      </w:r>
    </w:p>
    <w:p w14:paraId="43632583">
      <w:pPr>
        <w:spacing w:line="640" w:lineRule="exact"/>
        <w:ind w:firstLine="640"/>
        <w:jc w:val="both"/>
        <w:outlineLvl w:val="2"/>
      </w:pPr>
      <w:r>
        <w:rPr>
          <w:rFonts w:ascii="黑体" w:hAnsi="黑体" w:eastAsia="黑体"/>
          <w:sz w:val="32"/>
        </w:rPr>
        <w:t>五、一般公共预算财政拨款支出决算情况说明</w:t>
      </w:r>
    </w:p>
    <w:p w14:paraId="6A1C9BAE">
      <w:pPr>
        <w:spacing w:line="640" w:lineRule="exact"/>
        <w:ind w:firstLine="640"/>
        <w:jc w:val="both"/>
        <w:outlineLvl w:val="3"/>
      </w:pPr>
      <w:r>
        <w:rPr>
          <w:rFonts w:ascii="楷体_GB2312" w:hAnsi="楷体_GB2312" w:eastAsia="楷体_GB2312"/>
          <w:b/>
          <w:sz w:val="32"/>
        </w:rPr>
        <w:t>（一）一般公共预算财政拨款支出决算总体情况</w:t>
      </w:r>
    </w:p>
    <w:p w14:paraId="74862E94">
      <w:pPr>
        <w:spacing w:line="580" w:lineRule="exact"/>
        <w:ind w:firstLine="640"/>
        <w:jc w:val="both"/>
      </w:pPr>
      <w:r>
        <w:rPr>
          <w:rFonts w:ascii="仿宋_GB2312" w:hAnsi="仿宋_GB2312" w:eastAsia="仿宋_GB2312"/>
          <w:b/>
          <w:sz w:val="32"/>
        </w:rPr>
        <w:t>2024年度一般公共预算财政拨款支出613.79万元，</w:t>
      </w:r>
      <w:r>
        <w:rPr>
          <w:rFonts w:ascii="仿宋_GB2312" w:hAnsi="仿宋_GB2312" w:eastAsia="仿宋_GB2312"/>
          <w:b w:val="0"/>
          <w:sz w:val="32"/>
        </w:rPr>
        <w:t>占本年支出合计的93.11%。</w:t>
      </w:r>
      <w:r>
        <w:rPr>
          <w:rFonts w:ascii="仿宋_GB2312" w:hAnsi="仿宋_GB2312" w:eastAsia="仿宋_GB2312"/>
          <w:b/>
          <w:sz w:val="32"/>
        </w:rPr>
        <w:t>与上年相比，</w:t>
      </w:r>
      <w:r>
        <w:rPr>
          <w:rFonts w:ascii="仿宋_GB2312" w:hAnsi="仿宋_GB2312" w:eastAsia="仿宋_GB2312"/>
          <w:b w:val="0"/>
          <w:sz w:val="32"/>
        </w:rPr>
        <w:t>减少23.91万元，下降3.75%，主要原因是：本年在职人员减少，相关人员经费减少；减少中央政法纪检监察转移支付资金、为民办实事工作队经费项目资金，导致经费较上年减少。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年初预算数633.72万元，决算数613.79万元，预决算差异率-3.14%，主要原因是：本年在职人员减少，年中调减人员经费，导致预决算存在差异。</w:t>
      </w:r>
    </w:p>
    <w:p w14:paraId="1CB5FFEC">
      <w:pPr>
        <w:spacing w:line="640" w:lineRule="exact"/>
        <w:ind w:firstLine="640"/>
        <w:jc w:val="both"/>
        <w:outlineLvl w:val="3"/>
      </w:pPr>
      <w:r>
        <w:rPr>
          <w:rFonts w:ascii="楷体_GB2312" w:hAnsi="楷体_GB2312" w:eastAsia="楷体_GB2312"/>
          <w:b/>
          <w:sz w:val="32"/>
        </w:rPr>
        <w:t>（二）一般公共预算财政拨款支出决算结构情况</w:t>
      </w:r>
    </w:p>
    <w:p w14:paraId="137D443A">
      <w:pPr>
        <w:spacing w:line="580" w:lineRule="exact"/>
        <w:ind w:firstLine="640"/>
        <w:jc w:val="both"/>
      </w:pPr>
      <w:r>
        <w:rPr>
          <w:rFonts w:ascii="仿宋_GB2312" w:hAnsi="仿宋_GB2312" w:eastAsia="仿宋_GB2312"/>
          <w:b w:val="0"/>
          <w:sz w:val="32"/>
        </w:rPr>
        <w:t>1.公共安全支出(类)504万元,占82.11%。</w:t>
      </w:r>
    </w:p>
    <w:p w14:paraId="0D575A0E">
      <w:pPr>
        <w:spacing w:line="580" w:lineRule="exact"/>
        <w:ind w:firstLine="640"/>
        <w:jc w:val="both"/>
      </w:pPr>
      <w:r>
        <w:rPr>
          <w:rFonts w:ascii="仿宋_GB2312" w:hAnsi="仿宋_GB2312" w:eastAsia="仿宋_GB2312"/>
          <w:b w:val="0"/>
          <w:sz w:val="32"/>
        </w:rPr>
        <w:t>2.教育支出(类)1.23万元,占0.20%。</w:t>
      </w:r>
    </w:p>
    <w:p w14:paraId="080346FF">
      <w:pPr>
        <w:spacing w:line="580" w:lineRule="exact"/>
        <w:ind w:firstLine="640"/>
        <w:jc w:val="both"/>
      </w:pPr>
      <w:r>
        <w:rPr>
          <w:rFonts w:ascii="仿宋_GB2312" w:hAnsi="仿宋_GB2312" w:eastAsia="仿宋_GB2312"/>
          <w:b w:val="0"/>
          <w:sz w:val="32"/>
        </w:rPr>
        <w:t>3.社会保障和就业支出(类)53.22万元,占8.67%。</w:t>
      </w:r>
    </w:p>
    <w:p w14:paraId="59EB7172">
      <w:pPr>
        <w:spacing w:line="580" w:lineRule="exact"/>
        <w:ind w:firstLine="640"/>
        <w:jc w:val="both"/>
      </w:pPr>
      <w:r>
        <w:rPr>
          <w:rFonts w:ascii="仿宋_GB2312" w:hAnsi="仿宋_GB2312" w:eastAsia="仿宋_GB2312"/>
          <w:b w:val="0"/>
          <w:sz w:val="32"/>
        </w:rPr>
        <w:t>4.卫生健康支出(类)21.57万元,占3.51%。</w:t>
      </w:r>
    </w:p>
    <w:p w14:paraId="4F2DFD02">
      <w:pPr>
        <w:spacing w:line="580" w:lineRule="exact"/>
        <w:ind w:firstLine="640"/>
        <w:jc w:val="both"/>
      </w:pPr>
      <w:r>
        <w:rPr>
          <w:rFonts w:ascii="仿宋_GB2312" w:hAnsi="仿宋_GB2312" w:eastAsia="仿宋_GB2312"/>
          <w:b w:val="0"/>
          <w:sz w:val="32"/>
        </w:rPr>
        <w:t>5.住房保障支出(类)33.77万元,占5.50%。</w:t>
      </w:r>
    </w:p>
    <w:p w14:paraId="452F79FE">
      <w:pPr>
        <w:spacing w:line="640" w:lineRule="exact"/>
        <w:ind w:firstLine="640"/>
        <w:jc w:val="both"/>
        <w:outlineLvl w:val="3"/>
      </w:pPr>
      <w:r>
        <w:rPr>
          <w:rFonts w:ascii="楷体_GB2312" w:hAnsi="楷体_GB2312" w:eastAsia="楷体_GB2312"/>
          <w:b/>
          <w:sz w:val="32"/>
        </w:rPr>
        <w:t>（三）一般公共预算财政拨款支出决算具体情况</w:t>
      </w:r>
    </w:p>
    <w:p w14:paraId="7222342B">
      <w:pPr>
        <w:spacing w:line="580" w:lineRule="exact"/>
        <w:ind w:firstLine="640"/>
        <w:jc w:val="both"/>
      </w:pPr>
      <w:r>
        <w:rPr>
          <w:rFonts w:ascii="仿宋_GB2312" w:hAnsi="仿宋_GB2312" w:eastAsia="仿宋_GB2312"/>
          <w:b w:val="0"/>
          <w:sz w:val="32"/>
        </w:rPr>
        <w:t>1.公共安全支出(类)检察(款)行政运行(项):支出决算数为397.15万元，比上年决算减少50.07万元，下降11.20%,主要原因是：本年在职人员减少，聘用人员减少，相应人员经费较上年减少。</w:t>
      </w:r>
    </w:p>
    <w:p w14:paraId="7327E16F">
      <w:pPr>
        <w:spacing w:line="580" w:lineRule="exact"/>
        <w:ind w:firstLine="640"/>
        <w:jc w:val="both"/>
      </w:pPr>
      <w:r>
        <w:rPr>
          <w:rFonts w:ascii="仿宋_GB2312" w:hAnsi="仿宋_GB2312" w:eastAsia="仿宋_GB2312"/>
          <w:b w:val="0"/>
          <w:sz w:val="32"/>
        </w:rPr>
        <w:t>2.公共安全支出(类)检察(款)一般行政管理事务(项):支出决算数为5万元，比上年决算减少2.00万元，下降28.57%,主要原因是：为民办实事工作队经费项目资金较上年减少。</w:t>
      </w:r>
    </w:p>
    <w:p w14:paraId="023709F8">
      <w:pPr>
        <w:spacing w:line="580" w:lineRule="exact"/>
        <w:ind w:firstLine="640"/>
        <w:jc w:val="both"/>
      </w:pPr>
      <w:r>
        <w:rPr>
          <w:rFonts w:ascii="仿宋_GB2312" w:hAnsi="仿宋_GB2312" w:eastAsia="仿宋_GB2312"/>
          <w:b w:val="0"/>
          <w:sz w:val="32"/>
        </w:rPr>
        <w:t>3.公共安全支出(类)检察(款)事业运行(项):支出决算数为12.85万元，比上年决算增加1.02万元，增长8.62%,主要原因是：本年</w:t>
      </w:r>
      <w:r>
        <w:rPr>
          <w:rFonts w:hint="eastAsia" w:ascii="仿宋_GB2312" w:hAnsi="仿宋_GB2312" w:eastAsia="仿宋_GB2312"/>
          <w:b w:val="0"/>
          <w:sz w:val="32"/>
          <w:lang w:eastAsia="zh-CN"/>
        </w:rPr>
        <w:t>事业</w:t>
      </w:r>
      <w:r>
        <w:rPr>
          <w:rFonts w:ascii="仿宋_GB2312" w:hAnsi="仿宋_GB2312" w:eastAsia="仿宋_GB2312"/>
          <w:b w:val="0"/>
          <w:sz w:val="32"/>
        </w:rPr>
        <w:t>在职人员工资调增，导致相关人员经费较上年有所增加。</w:t>
      </w:r>
    </w:p>
    <w:p w14:paraId="3000EA25">
      <w:pPr>
        <w:spacing w:line="580" w:lineRule="exact"/>
        <w:ind w:firstLine="640"/>
        <w:jc w:val="both"/>
      </w:pPr>
      <w:r>
        <w:rPr>
          <w:rFonts w:ascii="仿宋_GB2312" w:hAnsi="仿宋_GB2312" w:eastAsia="仿宋_GB2312"/>
          <w:b w:val="0"/>
          <w:sz w:val="32"/>
        </w:rPr>
        <w:t>4.公共安全支出(类)检察(款)其他检察支出(项):支出决算数为89万元，比上年决算增加0.75万元，增长0.85%,主要原因是：本年司法救助金项目较上年增加。</w:t>
      </w:r>
    </w:p>
    <w:p w14:paraId="1C08BBD7">
      <w:pPr>
        <w:spacing w:line="580" w:lineRule="exact"/>
        <w:ind w:firstLine="640"/>
        <w:jc w:val="both"/>
      </w:pPr>
      <w:r>
        <w:rPr>
          <w:rFonts w:ascii="仿宋_GB2312" w:hAnsi="仿宋_GB2312" w:eastAsia="仿宋_GB2312"/>
          <w:b w:val="0"/>
          <w:sz w:val="32"/>
        </w:rPr>
        <w:t>5.教育支出(类)进修及培训(款)培训支出(项):支出决算数为1.23万元，比上年决算增加1.23万元，增长100.00%,主要原因是：本年新增业务培训，导致培训经费增加。</w:t>
      </w:r>
    </w:p>
    <w:p w14:paraId="1AC053DC">
      <w:pPr>
        <w:spacing w:line="580" w:lineRule="exact"/>
        <w:ind w:firstLine="640"/>
        <w:jc w:val="both"/>
      </w:pPr>
      <w:r>
        <w:rPr>
          <w:rFonts w:ascii="仿宋_GB2312" w:hAnsi="仿宋_GB2312" w:eastAsia="仿宋_GB2312"/>
          <w:b w:val="0"/>
          <w:sz w:val="32"/>
        </w:rPr>
        <w:t>6.社会保障和就业支出(类)行政事业单位养老支出(款)行政单位离退休(项):支出决算数为8万元，比上年决算增加1.90万元，增长31.15%,主要原因是：本年退休人员增加，退休费支出增加。</w:t>
      </w:r>
    </w:p>
    <w:p w14:paraId="43AB48BC">
      <w:pPr>
        <w:spacing w:line="580" w:lineRule="exact"/>
        <w:ind w:firstLine="640"/>
        <w:jc w:val="both"/>
      </w:pPr>
      <w:r>
        <w:rPr>
          <w:rFonts w:ascii="仿宋_GB2312" w:hAnsi="仿宋_GB2312" w:eastAsia="仿宋_GB2312"/>
          <w:b w:val="0"/>
          <w:sz w:val="32"/>
        </w:rPr>
        <w:t>7.社会保障和就业支出(类)行政事业单位养老支出(款)机关事业单位基本养老保险缴费支出(项):支出决算数为34.3万元，比上年决算增加2.35万元，增长7.36%,主要原因是：本年在职人员工资基数调增，养老缴费基数上涨，相应支出增加。</w:t>
      </w:r>
    </w:p>
    <w:p w14:paraId="79CBF5F5">
      <w:pPr>
        <w:spacing w:line="580" w:lineRule="exact"/>
        <w:ind w:firstLine="640"/>
        <w:jc w:val="both"/>
      </w:pPr>
      <w:r>
        <w:rPr>
          <w:rFonts w:ascii="仿宋_GB2312" w:hAnsi="仿宋_GB2312" w:eastAsia="仿宋_GB2312"/>
          <w:b w:val="0"/>
          <w:sz w:val="32"/>
        </w:rPr>
        <w:t>8.社会保障和就业支出(类)行政事业单位养老支出(款)机关事业单位职业年金缴费支出(项):支出决算数为10.92万元，比上年决算增加10.92万元，增长100.00%,主要原因是：本年新增退休人员，职业年金缴费支出增加。</w:t>
      </w:r>
    </w:p>
    <w:p w14:paraId="1EF2646B">
      <w:pPr>
        <w:spacing w:line="580" w:lineRule="exact"/>
        <w:ind w:firstLine="640"/>
        <w:jc w:val="both"/>
      </w:pPr>
      <w:r>
        <w:rPr>
          <w:rFonts w:ascii="仿宋_GB2312" w:hAnsi="仿宋_GB2312" w:eastAsia="仿宋_GB2312"/>
          <w:b w:val="0"/>
          <w:sz w:val="32"/>
        </w:rPr>
        <w:t>9.卫生健康支出(类)行政事业单位医疗(款)行政单位医疗(项):支出决算数为14.26万元，比上年决算增加0.62万元，增长4.55%,主要原因是：本年在职人员工资基数调增，医疗缴费基数上涨，相应支出增加。</w:t>
      </w:r>
    </w:p>
    <w:p w14:paraId="0C816543">
      <w:pPr>
        <w:spacing w:line="580" w:lineRule="exact"/>
        <w:ind w:firstLine="640"/>
        <w:jc w:val="both"/>
      </w:pPr>
      <w:r>
        <w:rPr>
          <w:rFonts w:ascii="仿宋_GB2312" w:hAnsi="仿宋_GB2312" w:eastAsia="仿宋_GB2312"/>
          <w:b w:val="0"/>
          <w:sz w:val="32"/>
        </w:rPr>
        <w:t>10.卫生健康支出(类)行政事业单位医疗(款)事业单位医疗(项):支出决算数为0.74万元，比上年决算增加0.08万元，增长12.12%,主要原因是：本年在职人员工资基数调增，医疗缴费基数上涨，相应支出增加。</w:t>
      </w:r>
    </w:p>
    <w:p w14:paraId="4AB4DFA8">
      <w:pPr>
        <w:spacing w:line="580" w:lineRule="exact"/>
        <w:ind w:firstLine="640"/>
        <w:jc w:val="both"/>
      </w:pPr>
      <w:r>
        <w:rPr>
          <w:rFonts w:ascii="仿宋_GB2312" w:hAnsi="仿宋_GB2312" w:eastAsia="仿宋_GB2312"/>
          <w:b w:val="0"/>
          <w:sz w:val="32"/>
        </w:rPr>
        <w:t>11.卫生健康支出(类)行政事业单位医疗(款)公务员医疗补助(项):支出决算数为6.11万元，比上年决算增加0.24万元，增长4.09%,主要原因是：本年在职人员工资基数调增，医疗缴费基数上涨，相应支出增加。</w:t>
      </w:r>
    </w:p>
    <w:p w14:paraId="62904BE9">
      <w:pPr>
        <w:spacing w:line="580" w:lineRule="exact"/>
        <w:ind w:firstLine="640"/>
        <w:jc w:val="both"/>
      </w:pPr>
      <w:r>
        <w:rPr>
          <w:rFonts w:ascii="仿宋_GB2312" w:hAnsi="仿宋_GB2312" w:eastAsia="仿宋_GB2312"/>
          <w:b w:val="0"/>
          <w:sz w:val="32"/>
        </w:rPr>
        <w:t>12.卫生健康支出(类)行政事业单位医疗(款)其他行政事业单位医疗支出(项):支出决算数为0.45万元，比上年决算减少0.15万元，下降25.00%,主要原因是：本年在职人员减少，其他行政事业单位医疗支出较上年减少。</w:t>
      </w:r>
    </w:p>
    <w:p w14:paraId="5E7D95E4">
      <w:pPr>
        <w:spacing w:line="580" w:lineRule="exact"/>
        <w:ind w:firstLine="640"/>
        <w:jc w:val="both"/>
      </w:pPr>
      <w:r>
        <w:rPr>
          <w:rFonts w:ascii="仿宋_GB2312" w:hAnsi="仿宋_GB2312" w:eastAsia="仿宋_GB2312"/>
          <w:b w:val="0"/>
          <w:sz w:val="32"/>
        </w:rPr>
        <w:t>13.住房保障支出(类)住房改革支出(款)住房公积金(项):支出决算数为33.77万元，比上年决算增加9.18万元，增长37.33%,主要原因是：本年在职人员工资基数调增，公积金缴费基数上涨，相应支出增加。</w:t>
      </w:r>
    </w:p>
    <w:p w14:paraId="675BEFA1">
      <w:pPr>
        <w:spacing w:line="640" w:lineRule="exact"/>
        <w:ind w:firstLine="640"/>
        <w:jc w:val="both"/>
        <w:outlineLvl w:val="2"/>
      </w:pPr>
      <w:r>
        <w:rPr>
          <w:rFonts w:ascii="黑体" w:hAnsi="黑体" w:eastAsia="黑体"/>
          <w:sz w:val="32"/>
        </w:rPr>
        <w:t>六、一般公共预算财政拨款基本支出决算情况说明</w:t>
      </w:r>
    </w:p>
    <w:p w14:paraId="3423205A">
      <w:pPr>
        <w:spacing w:line="580" w:lineRule="exact"/>
        <w:ind w:firstLine="640"/>
        <w:jc w:val="both"/>
      </w:pPr>
      <w:r>
        <w:rPr>
          <w:rFonts w:ascii="仿宋_GB2312" w:hAnsi="仿宋_GB2312" w:eastAsia="仿宋_GB2312"/>
          <w:b w:val="0"/>
          <w:sz w:val="32"/>
        </w:rPr>
        <w:t>2024年度一般公共预算财政拨款基本支出519.79万元，其中：</w:t>
      </w:r>
      <w:r>
        <w:rPr>
          <w:rFonts w:ascii="仿宋_GB2312" w:hAnsi="仿宋_GB2312" w:eastAsia="仿宋_GB2312"/>
          <w:b/>
          <w:sz w:val="32"/>
        </w:rPr>
        <w:t>人员经费487.66万元，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其他工资福利支出、退休费、生活补助、奖励金。</w:t>
      </w:r>
    </w:p>
    <w:p w14:paraId="2C04E3F7">
      <w:pPr>
        <w:spacing w:line="580" w:lineRule="exact"/>
        <w:ind w:firstLine="640"/>
        <w:jc w:val="both"/>
      </w:pPr>
      <w:r>
        <w:rPr>
          <w:rFonts w:ascii="仿宋_GB2312" w:hAnsi="仿宋_GB2312" w:eastAsia="仿宋_GB2312"/>
          <w:b/>
          <w:sz w:val="32"/>
        </w:rPr>
        <w:t>公用经费32.13万元，</w:t>
      </w:r>
      <w:r>
        <w:rPr>
          <w:rFonts w:ascii="仿宋_GB2312" w:hAnsi="仿宋_GB2312" w:eastAsia="仿宋_GB2312"/>
          <w:b w:val="0"/>
          <w:sz w:val="32"/>
        </w:rPr>
        <w:t>包括：办公费、水费、电费、取暖费、物业管理费、差旅费、培训费、劳务费、工会经费、福利费、公务用车运行维护费、其他商品和服务支出。</w:t>
      </w:r>
    </w:p>
    <w:p w14:paraId="5B84FD6F">
      <w:pPr>
        <w:spacing w:line="640" w:lineRule="exact"/>
        <w:ind w:firstLine="640"/>
        <w:jc w:val="both"/>
        <w:outlineLvl w:val="2"/>
      </w:pPr>
      <w:r>
        <w:rPr>
          <w:rFonts w:ascii="黑体" w:hAnsi="黑体" w:eastAsia="黑体"/>
          <w:sz w:val="32"/>
        </w:rPr>
        <w:t>七、政府性基金预算财政拨款收入支出决算情况说明</w:t>
      </w:r>
    </w:p>
    <w:p w14:paraId="788942AE">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682FCF68">
      <w:pPr>
        <w:spacing w:line="640" w:lineRule="exact"/>
        <w:ind w:firstLine="640"/>
        <w:jc w:val="both"/>
        <w:outlineLvl w:val="2"/>
      </w:pPr>
      <w:r>
        <w:rPr>
          <w:rFonts w:ascii="黑体" w:hAnsi="黑体" w:eastAsia="黑体"/>
          <w:sz w:val="32"/>
        </w:rPr>
        <w:t>八、国有资本经营预算财政拨款收入支出决算情况说明</w:t>
      </w:r>
    </w:p>
    <w:p w14:paraId="7F168021">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6CF2E827">
      <w:pPr>
        <w:spacing w:line="640" w:lineRule="exact"/>
        <w:ind w:firstLine="640"/>
        <w:jc w:val="both"/>
        <w:outlineLvl w:val="2"/>
      </w:pPr>
      <w:r>
        <w:rPr>
          <w:rFonts w:ascii="黑体" w:hAnsi="黑体" w:eastAsia="黑体"/>
          <w:sz w:val="32"/>
        </w:rPr>
        <w:t>九、财政拨款“三公”经费支出决算情况说明</w:t>
      </w:r>
    </w:p>
    <w:p w14:paraId="16B21DFF">
      <w:pPr>
        <w:spacing w:line="580" w:lineRule="exact"/>
        <w:ind w:firstLine="640"/>
        <w:jc w:val="both"/>
      </w:pPr>
      <w:r>
        <w:rPr>
          <w:rFonts w:ascii="仿宋_GB2312" w:hAnsi="仿宋_GB2312" w:eastAsia="仿宋_GB2312"/>
          <w:b/>
          <w:sz w:val="32"/>
        </w:rPr>
        <w:t>2024年度财政拨款“三公”经费支出15.48万元，</w:t>
      </w:r>
      <w:r>
        <w:rPr>
          <w:rFonts w:ascii="仿宋_GB2312" w:hAnsi="仿宋_GB2312" w:eastAsia="仿宋_GB2312"/>
          <w:b w:val="0"/>
          <w:sz w:val="32"/>
        </w:rPr>
        <w:t>比上年增加6.99万元，增长82.33%，主要原因是：本部门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15.48万元，占100.00%，比上年增加6.99万元，增长82.33%，主要原因是：本部门公务用车日渐老化，维修维护成本增加，导致公务用车运行维护费较上年增加。公务接待费支出0.00万元，占0.00%，比上年增加0.00万元，增长0.00%，主要原因是：2023年与2024年均未安排公务接待费支出。</w:t>
      </w:r>
    </w:p>
    <w:p w14:paraId="0540EEC2">
      <w:pPr>
        <w:spacing w:line="580" w:lineRule="exact"/>
        <w:ind w:firstLine="640"/>
        <w:jc w:val="both"/>
      </w:pPr>
      <w:r>
        <w:rPr>
          <w:rFonts w:ascii="仿宋_GB2312" w:hAnsi="仿宋_GB2312" w:eastAsia="仿宋_GB2312"/>
          <w:b/>
          <w:sz w:val="32"/>
        </w:rPr>
        <w:t>具体情况如下：</w:t>
      </w:r>
    </w:p>
    <w:p w14:paraId="680C8A74">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23956E11">
      <w:pPr>
        <w:spacing w:line="580" w:lineRule="exact"/>
        <w:ind w:firstLine="640"/>
        <w:jc w:val="both"/>
      </w:pPr>
      <w:r>
        <w:rPr>
          <w:rFonts w:ascii="仿宋_GB2312" w:hAnsi="仿宋_GB2312" w:eastAsia="仿宋_GB2312"/>
          <w:b w:val="0"/>
          <w:sz w:val="32"/>
        </w:rPr>
        <w:t>公务用车购置及运行维护费15.48万元，其中：公务用车购置费0.00万元，公务用车运行维护费15.48万元。公务用车运行维护费开支内容包括车辆加油费、维修费、保险费、审车费、过路费。公务用车购置数0辆，公务用车保有量5辆。国有资产占用情况中固定资产车辆5辆，与公务用车保有量差异原因是：本部门固定资产车辆与公务用车保有量一致无差异。</w:t>
      </w:r>
    </w:p>
    <w:p w14:paraId="5BA43157">
      <w:pPr>
        <w:spacing w:line="580" w:lineRule="exact"/>
        <w:ind w:firstLine="640"/>
        <w:jc w:val="both"/>
      </w:pPr>
      <w:r>
        <w:rPr>
          <w:rFonts w:ascii="仿宋_GB2312" w:hAnsi="仿宋_GB2312" w:eastAsia="仿宋_GB2312"/>
          <w:b w:val="0"/>
          <w:sz w:val="32"/>
        </w:rPr>
        <w:t>公务接待费0.00万元，开支内容包括本部门无公务接待费。部门全年安排的国内公务接待0批次，0人次。</w:t>
      </w:r>
    </w:p>
    <w:p w14:paraId="063E199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15.48万元，决算数15.48万元，预决算差异率0.00%，主要原因是：严格按照预算执行，预决算无差异。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15.48万元，决算数15.48万元，预决算差异率0.00%，主要原因是：严格按照预算执行，预决算无差异。公务接待费全年预算数0.00万元，决算数0.00万元，预决算差异率0.00%，主要原因是：本部门无公务接待费。</w:t>
      </w:r>
    </w:p>
    <w:p w14:paraId="4C933709">
      <w:pPr>
        <w:spacing w:line="640" w:lineRule="exact"/>
        <w:ind w:firstLine="640"/>
        <w:jc w:val="both"/>
        <w:outlineLvl w:val="2"/>
      </w:pPr>
      <w:r>
        <w:rPr>
          <w:rFonts w:ascii="黑体" w:hAnsi="黑体" w:eastAsia="黑体"/>
          <w:sz w:val="32"/>
        </w:rPr>
        <w:t>十、其他重要事项的情况说明</w:t>
      </w:r>
    </w:p>
    <w:p w14:paraId="7481B0BB">
      <w:pPr>
        <w:spacing w:line="640" w:lineRule="exact"/>
        <w:ind w:firstLine="640"/>
        <w:jc w:val="both"/>
        <w:outlineLvl w:val="3"/>
      </w:pPr>
      <w:r>
        <w:rPr>
          <w:rFonts w:ascii="楷体_GB2312" w:hAnsi="楷体_GB2312" w:eastAsia="楷体_GB2312"/>
          <w:b/>
          <w:sz w:val="32"/>
        </w:rPr>
        <w:t>（一）机关运行经费及公用经费支出情况</w:t>
      </w:r>
    </w:p>
    <w:p w14:paraId="367E341D">
      <w:pPr>
        <w:spacing w:line="580" w:lineRule="exact"/>
        <w:ind w:firstLine="640"/>
        <w:jc w:val="both"/>
      </w:pPr>
      <w:r>
        <w:rPr>
          <w:rFonts w:ascii="仿宋_GB2312" w:hAnsi="仿宋_GB2312" w:eastAsia="仿宋_GB2312"/>
          <w:b w:val="0"/>
          <w:sz w:val="32"/>
        </w:rPr>
        <w:t>2024年度新疆巴州若羌县人民检察院（行政单位和参照公务员法管理事业单位）机关运行经费支出32.13万元，比上年增加0.17万元，增长0.53%，主要原因是：本年培训费增加，导致机关运行经费支出增加。</w:t>
      </w:r>
    </w:p>
    <w:p w14:paraId="2852C7D1">
      <w:pPr>
        <w:spacing w:line="640" w:lineRule="exact"/>
        <w:ind w:firstLine="640"/>
        <w:jc w:val="both"/>
        <w:outlineLvl w:val="3"/>
      </w:pPr>
      <w:r>
        <w:rPr>
          <w:rFonts w:ascii="楷体_GB2312" w:hAnsi="楷体_GB2312" w:eastAsia="楷体_GB2312"/>
          <w:b/>
          <w:sz w:val="32"/>
        </w:rPr>
        <w:t>（二）政府采购情况</w:t>
      </w:r>
    </w:p>
    <w:p w14:paraId="5DE8F54B">
      <w:pPr>
        <w:spacing w:line="580" w:lineRule="exact"/>
        <w:ind w:firstLine="640"/>
        <w:jc w:val="both"/>
      </w:pPr>
      <w:r>
        <w:rPr>
          <w:rFonts w:ascii="仿宋_GB2312" w:hAnsi="仿宋_GB2312" w:eastAsia="仿宋_GB2312"/>
          <w:b w:val="0"/>
          <w:sz w:val="32"/>
        </w:rPr>
        <w:t>2024年度政府采购支出总额11.92万元，其中：政府采购货物支出0.56万元、政府采购工程支出0.00万元、政府采购服务支出11.36万元。</w:t>
      </w:r>
    </w:p>
    <w:p w14:paraId="74F8C576">
      <w:pPr>
        <w:spacing w:line="580" w:lineRule="exact"/>
        <w:ind w:firstLine="640"/>
        <w:jc w:val="both"/>
      </w:pPr>
      <w:r>
        <w:rPr>
          <w:rFonts w:ascii="仿宋_GB2312" w:hAnsi="仿宋_GB2312" w:eastAsia="仿宋_GB2312"/>
          <w:b w:val="0"/>
          <w:sz w:val="32"/>
        </w:rPr>
        <w:t>授予中小企业合同金额11.92万元，占政府采购支出总额的100.00%，其中：授予小微企业合同金额11.12万元，占政府采购支出总额的93.29%。</w:t>
      </w:r>
    </w:p>
    <w:p w14:paraId="505F8AF1">
      <w:pPr>
        <w:spacing w:line="640" w:lineRule="exact"/>
        <w:ind w:firstLine="640"/>
        <w:jc w:val="both"/>
        <w:outlineLvl w:val="3"/>
      </w:pPr>
      <w:r>
        <w:rPr>
          <w:rFonts w:ascii="楷体_GB2312" w:hAnsi="楷体_GB2312" w:eastAsia="楷体_GB2312"/>
          <w:b/>
          <w:sz w:val="32"/>
        </w:rPr>
        <w:t>（三）国有资产占用情况说明</w:t>
      </w:r>
    </w:p>
    <w:p w14:paraId="1A9E5050">
      <w:pPr>
        <w:spacing w:line="580" w:lineRule="exact"/>
        <w:ind w:firstLine="640"/>
        <w:jc w:val="both"/>
      </w:pPr>
      <w:r>
        <w:rPr>
          <w:rFonts w:ascii="仿宋_GB2312" w:hAnsi="仿宋_GB2312" w:eastAsia="仿宋_GB2312"/>
          <w:b w:val="0"/>
          <w:sz w:val="32"/>
        </w:rPr>
        <w:t>截至2024年12月31日，房屋4,270.56平方米，价值799.10万元。车辆5辆，价值99.13万元，其中：副部（省）级及以上领导用车0辆、主要负责人用车0辆、机要通信用车0辆、应急保障用车0辆、执法执勤用车5辆、特种专业技术用车0辆、离退休干部服务用车0辆、其他用车0辆，其他用车主要是：本部门无其他用车。单价100万元（含）以上设备（不含车辆）0台（套）。</w:t>
      </w:r>
    </w:p>
    <w:p w14:paraId="43057EA1">
      <w:pPr>
        <w:spacing w:line="640" w:lineRule="exact"/>
        <w:ind w:firstLine="640"/>
        <w:jc w:val="both"/>
        <w:outlineLvl w:val="2"/>
      </w:pPr>
      <w:r>
        <w:rPr>
          <w:rFonts w:ascii="黑体" w:hAnsi="黑体" w:eastAsia="黑体"/>
          <w:sz w:val="32"/>
        </w:rPr>
        <w:t>十一、预算绩效的情况说明</w:t>
      </w:r>
    </w:p>
    <w:p w14:paraId="6D29A93A">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根据预算绩效管理要求，本部门2024年度预算绩效管理形成整体支出绩效自评表1个，全年预算总额659.18万元，实际执行总额659.18万元；预算绩效评价项目</w:t>
      </w:r>
      <w:r>
        <w:rPr>
          <w:rFonts w:hint="eastAsia" w:ascii="仿宋_GB2312" w:hAnsi="仿宋_GB2312" w:eastAsia="仿宋_GB2312"/>
          <w:b w:val="0"/>
          <w:sz w:val="32"/>
          <w:lang w:val="en-US" w:eastAsia="zh-CN"/>
        </w:rPr>
        <w:t>3</w:t>
      </w:r>
      <w:r>
        <w:rPr>
          <w:rFonts w:ascii="仿宋_GB2312" w:hAnsi="仿宋_GB2312" w:eastAsia="仿宋_GB2312"/>
          <w:b w:val="0"/>
          <w:sz w:val="32"/>
        </w:rPr>
        <w:t>个，全年预算数</w:t>
      </w:r>
      <w:r>
        <w:rPr>
          <w:rFonts w:hint="eastAsia" w:ascii="仿宋_GB2312" w:hAnsi="仿宋_GB2312" w:eastAsia="仿宋_GB2312"/>
          <w:b w:val="0"/>
          <w:sz w:val="32"/>
          <w:lang w:val="en-US" w:eastAsia="zh-CN"/>
        </w:rPr>
        <w:t>94</w:t>
      </w:r>
      <w:r>
        <w:rPr>
          <w:rFonts w:ascii="仿宋_GB2312" w:hAnsi="仿宋_GB2312" w:eastAsia="仿宋_GB2312"/>
          <w:b w:val="0"/>
          <w:sz w:val="32"/>
        </w:rPr>
        <w:t>.00万元，全年执行数</w:t>
      </w:r>
      <w:r>
        <w:rPr>
          <w:rFonts w:hint="eastAsia" w:ascii="仿宋_GB2312" w:hAnsi="仿宋_GB2312" w:eastAsia="仿宋_GB2312"/>
          <w:b w:val="0"/>
          <w:sz w:val="32"/>
          <w:lang w:val="en-US" w:eastAsia="zh-CN"/>
        </w:rPr>
        <w:t>94</w:t>
      </w:r>
      <w:r>
        <w:rPr>
          <w:rFonts w:ascii="仿宋_GB2312" w:hAnsi="仿宋_GB2312" w:eastAsia="仿宋_GB2312"/>
          <w:b w:val="0"/>
          <w:sz w:val="32"/>
        </w:rPr>
        <w:t>.00万元。预算绩效管理取得的成效：一是围绕核心职能科学设定绩效指标，年度绩效目标完成率显著提高，重点工作任务按计划推进，公共服务质量持续优化；二是建立动态绩效监控机制，及时调整执行偏差，资金使用更加精准高效，低效无效支出有效减少；三是业务流程持续优化，服务响应速度加快，群众办事便利度明显改善；四是严格落实“过紧日子”要求，严控一般性支出，行政运行成本有效降低。发现的问题及原因：部分绩效指标设置存在不够精准，指标设置的科学性、合理性有待进一步提高。原因是绩效管理专业培训覆盖不足，业务人员对绩效工作掌握运用不够熟练。下一步改进措施：一是合理设置年度任务，提高各科室对部门中长期规划的重视程度，增强相关规划的落地性、导向性；二是探索符合部门工作特点的评价指标体系，在设定绩效目标时选取相关性强的量化指标，并注重选取符合实际工作情况的指标值。具体附部门整体支出绩效自评表，项目支出绩效自评表。</w:t>
      </w:r>
    </w:p>
    <w:p w14:paraId="148D2C8B">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27793D44">
        <w:tblPrEx>
          <w:tblCellMar>
            <w:top w:w="0" w:type="dxa"/>
            <w:left w:w="108" w:type="dxa"/>
            <w:bottom w:w="0" w:type="dxa"/>
            <w:right w:w="108" w:type="dxa"/>
          </w:tblCellMar>
        </w:tblPrEx>
        <w:tc>
          <w:tcPr>
            <w:tcW w:w="8840" w:type="dxa"/>
            <w:gridSpan w:val="8"/>
            <w:vAlign w:val="center"/>
          </w:tcPr>
          <w:p w14:paraId="5FAB769A">
            <w:pPr>
              <w:jc w:val="center"/>
            </w:pPr>
            <w:r>
              <w:rPr>
                <w:rFonts w:ascii="宋体" w:hAnsi="宋体" w:eastAsia="宋体"/>
                <w:sz w:val="24"/>
              </w:rPr>
              <w:t>部门整体支出绩效自评表</w:t>
            </w:r>
          </w:p>
        </w:tc>
      </w:tr>
      <w:tr w14:paraId="02AAFDC6">
        <w:tblPrEx>
          <w:tblCellMar>
            <w:top w:w="0" w:type="dxa"/>
            <w:left w:w="108" w:type="dxa"/>
            <w:bottom w:w="0" w:type="dxa"/>
            <w:right w:w="108" w:type="dxa"/>
          </w:tblCellMar>
        </w:tblPrEx>
        <w:tc>
          <w:tcPr>
            <w:tcW w:w="8840" w:type="dxa"/>
            <w:gridSpan w:val="8"/>
            <w:vAlign w:val="center"/>
          </w:tcPr>
          <w:p w14:paraId="2A710468">
            <w:pPr>
              <w:jc w:val="center"/>
            </w:pPr>
            <w:r>
              <w:rPr>
                <w:rFonts w:ascii="宋体" w:hAnsi="宋体" w:eastAsia="宋体"/>
                <w:sz w:val="24"/>
              </w:rPr>
              <w:t>（2024年度）</w:t>
            </w:r>
          </w:p>
        </w:tc>
      </w:tr>
      <w:tr w14:paraId="053814F9">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1E8686">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124235">
            <w:pPr>
              <w:jc w:val="center"/>
            </w:pPr>
            <w:r>
              <w:rPr>
                <w:rFonts w:ascii="宋体" w:hAnsi="宋体" w:eastAsia="宋体"/>
                <w:sz w:val="16"/>
              </w:rPr>
              <w:t>新疆巴州若羌县人民检察院</w:t>
            </w:r>
          </w:p>
        </w:tc>
      </w:tr>
      <w:tr w14:paraId="1FC01EE0">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5ADF3D">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D2C1D3">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AB871A">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5EC1C3">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2F7A1D">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3660EE">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B24F33">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1371C0">
            <w:pPr>
              <w:jc w:val="center"/>
            </w:pPr>
            <w:r>
              <w:rPr>
                <w:rFonts w:ascii="宋体" w:hAnsi="宋体" w:eastAsia="宋体"/>
                <w:sz w:val="16"/>
              </w:rPr>
              <w:t>得分</w:t>
            </w:r>
          </w:p>
        </w:tc>
      </w:tr>
      <w:tr w14:paraId="35108F6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8EB737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9F14B7">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2A8548">
            <w:pPr>
              <w:jc w:val="center"/>
            </w:pPr>
            <w:r>
              <w:rPr>
                <w:rFonts w:ascii="宋体" w:hAnsi="宋体" w:eastAsia="宋体"/>
                <w:sz w:val="16"/>
              </w:rPr>
              <w:t>633.72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C7CD3D">
            <w:pPr>
              <w:jc w:val="center"/>
            </w:pPr>
            <w:r>
              <w:rPr>
                <w:rFonts w:ascii="宋体" w:hAnsi="宋体" w:eastAsia="宋体"/>
                <w:sz w:val="16"/>
              </w:rPr>
              <w:t>659.18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3A73E4">
            <w:pPr>
              <w:jc w:val="center"/>
            </w:pPr>
            <w:r>
              <w:rPr>
                <w:rFonts w:ascii="宋体" w:hAnsi="宋体" w:eastAsia="宋体"/>
                <w:sz w:val="16"/>
              </w:rPr>
              <w:t>659.18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7059F9">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442BC5">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09F21F">
            <w:pPr>
              <w:jc w:val="center"/>
            </w:pPr>
            <w:r>
              <w:rPr>
                <w:rFonts w:ascii="宋体" w:hAnsi="宋体" w:eastAsia="宋体"/>
                <w:sz w:val="16"/>
              </w:rPr>
              <w:t>10</w:t>
            </w:r>
          </w:p>
        </w:tc>
      </w:tr>
      <w:tr w14:paraId="3530FA7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47299F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B88E03">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8CC8E1">
            <w:pPr>
              <w:jc w:val="center"/>
            </w:pPr>
            <w:r>
              <w:rPr>
                <w:rFonts w:ascii="宋体" w:hAnsi="宋体" w:eastAsia="宋体"/>
                <w:sz w:val="16"/>
              </w:rPr>
              <w:t>71.00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3ED4ED">
            <w:pPr>
              <w:jc w:val="center"/>
            </w:pPr>
            <w:r>
              <w:rPr>
                <w:rFonts w:ascii="宋体" w:hAnsi="宋体" w:eastAsia="宋体"/>
                <w:sz w:val="16"/>
              </w:rPr>
              <w:t>89.00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9F0305">
            <w:pPr>
              <w:jc w:val="center"/>
            </w:pPr>
            <w:r>
              <w:rPr>
                <w:rFonts w:ascii="宋体" w:hAnsi="宋体" w:eastAsia="宋体"/>
                <w:sz w:val="16"/>
              </w:rPr>
              <w:t>89.00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D4039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323B1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C03425">
            <w:pPr>
              <w:jc w:val="center"/>
            </w:pPr>
            <w:r>
              <w:rPr>
                <w:rFonts w:ascii="宋体" w:hAnsi="宋体" w:eastAsia="宋体"/>
                <w:sz w:val="16"/>
              </w:rPr>
              <w:t>-</w:t>
            </w:r>
          </w:p>
        </w:tc>
      </w:tr>
      <w:tr w14:paraId="7F7A0A4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2C6B24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EECE1C">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7DFE14">
            <w:pPr>
              <w:jc w:val="center"/>
            </w:pPr>
            <w:r>
              <w:rPr>
                <w:rFonts w:ascii="宋体" w:hAnsi="宋体" w:eastAsia="宋体"/>
                <w:sz w:val="16"/>
              </w:rPr>
              <w:t>562.72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D5C4DD">
            <w:pPr>
              <w:jc w:val="center"/>
            </w:pPr>
            <w:r>
              <w:rPr>
                <w:rFonts w:ascii="宋体" w:hAnsi="宋体" w:eastAsia="宋体"/>
                <w:sz w:val="16"/>
              </w:rPr>
              <w:t>570.18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1503D0">
            <w:pPr>
              <w:jc w:val="center"/>
            </w:pPr>
            <w:r>
              <w:rPr>
                <w:rFonts w:ascii="宋体" w:hAnsi="宋体" w:eastAsia="宋体"/>
                <w:sz w:val="16"/>
              </w:rPr>
              <w:t>570.18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BE356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9EE39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B63891">
            <w:pPr>
              <w:jc w:val="center"/>
            </w:pPr>
            <w:r>
              <w:rPr>
                <w:rFonts w:ascii="宋体" w:hAnsi="宋体" w:eastAsia="宋体"/>
                <w:sz w:val="16"/>
              </w:rPr>
              <w:t>-</w:t>
            </w:r>
          </w:p>
        </w:tc>
      </w:tr>
      <w:tr w14:paraId="5B70369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601A98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0E1FF5">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0EDFE7">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280A9C">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09019D">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0CD67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B5DBC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51E50E">
            <w:pPr>
              <w:jc w:val="center"/>
            </w:pPr>
            <w:r>
              <w:rPr>
                <w:rFonts w:ascii="宋体" w:hAnsi="宋体" w:eastAsia="宋体"/>
                <w:sz w:val="16"/>
              </w:rPr>
              <w:t>-</w:t>
            </w:r>
          </w:p>
        </w:tc>
      </w:tr>
      <w:tr w14:paraId="7BFF5742">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27BD38">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DE6DBBA">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496AB3D">
            <w:pPr>
              <w:jc w:val="center"/>
            </w:pPr>
            <w:r>
              <w:rPr>
                <w:rFonts w:ascii="宋体" w:hAnsi="宋体" w:eastAsia="宋体"/>
                <w:sz w:val="16"/>
              </w:rPr>
              <w:t>实际完成情况</w:t>
            </w:r>
          </w:p>
        </w:tc>
      </w:tr>
      <w:tr w14:paraId="6B4A7EA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B19716A"/>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134A87C">
            <w:pPr>
              <w:jc w:val="both"/>
            </w:pPr>
            <w:r>
              <w:rPr>
                <w:rFonts w:ascii="宋体" w:hAnsi="宋体" w:eastAsia="宋体"/>
                <w:sz w:val="16"/>
              </w:rPr>
              <w:t>深化法律监督意识，落实相关监督机制，推动刑事、民事、行政和公益诉讼四大检察融合发展、一体履职，把法律监督贯穿</w:t>
            </w:r>
            <w:r>
              <w:rPr>
                <w:rFonts w:hint="eastAsia" w:ascii="宋体" w:hAnsi="宋体"/>
                <w:sz w:val="16"/>
                <w:lang w:eastAsia="zh-CN"/>
              </w:rPr>
              <w:t>法治国家、法治政府、法治社会一体建设</w:t>
            </w:r>
            <w:r>
              <w:rPr>
                <w:rFonts w:ascii="宋体" w:hAnsi="宋体" w:eastAsia="宋体"/>
                <w:sz w:val="16"/>
              </w:rPr>
              <w:t>。全面优化刑事检察监督,保障被监管人的合法权益；持续加强民行行政检察监督；大力推进公益诉讼检察 ；不断深化信访工作，加大司法救助资金的投入力度。打造忠诚干净担当的过硬检察队伍，保障检察业务工作正常运行，保障检察人员专项福利。</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F8F5070">
            <w:pPr>
              <w:jc w:val="both"/>
            </w:pPr>
            <w:r>
              <w:rPr>
                <w:rFonts w:ascii="宋体" w:hAnsi="宋体" w:eastAsia="宋体"/>
                <w:sz w:val="16"/>
              </w:rPr>
              <w:t>深化法律监督意识，落实相关监督机制，推动刑事、民事、行政和公益诉讼四大检查融合发展、一体履职，把法律监督贯穿融入</w:t>
            </w:r>
            <w:r>
              <w:rPr>
                <w:rFonts w:hint="eastAsia" w:ascii="宋体" w:hAnsi="宋体"/>
                <w:sz w:val="16"/>
                <w:lang w:eastAsia="zh-CN"/>
              </w:rPr>
              <w:t>法治国家、法治政府、法治社会一体建设</w:t>
            </w:r>
            <w:r>
              <w:rPr>
                <w:rFonts w:ascii="宋体" w:hAnsi="宋体" w:eastAsia="宋体"/>
                <w:sz w:val="16"/>
              </w:rPr>
              <w:t>，全年法律监督办案数196件，全年办理案件的结案率达到98.3%，检察建议采纳率达到98.15%。全面优化刑事检察监督，保障被监管人的合法权益；持续加强民行行政检察监督；大力推进公益诉讼检察；不断深化信访工作，加大对法律援助经费和司法救助资金的投入力度，群众信访案件满意度达到100%。打造忠诚干净担当的过硬检察队伍，保障检察业务工作正常运行。</w:t>
            </w:r>
          </w:p>
        </w:tc>
      </w:tr>
      <w:tr w14:paraId="00032579">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707D52">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15279D">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66EA74">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0B5012">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6EA71E">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16433B">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3C2C0C">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50F4AE">
            <w:pPr>
              <w:jc w:val="center"/>
            </w:pPr>
            <w:r>
              <w:rPr>
                <w:rFonts w:ascii="宋体" w:hAnsi="宋体" w:eastAsia="宋体"/>
                <w:sz w:val="16"/>
              </w:rPr>
              <w:t>得分</w:t>
            </w:r>
          </w:p>
        </w:tc>
      </w:tr>
      <w:tr w14:paraId="5F04A52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E9A9C4">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9CAA69">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C5BE2F">
            <w:pPr>
              <w:jc w:val="center"/>
            </w:pPr>
            <w:r>
              <w:rPr>
                <w:rFonts w:ascii="宋体" w:hAnsi="宋体" w:eastAsia="宋体"/>
                <w:sz w:val="16"/>
              </w:rPr>
              <w:t>检察建议采纳率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4531DD">
            <w:pPr>
              <w:jc w:val="center"/>
            </w:pPr>
            <w:r>
              <w:rPr>
                <w:rFonts w:ascii="宋体" w:hAnsi="宋体" w:eastAsia="宋体"/>
                <w:sz w:val="16"/>
              </w:rPr>
              <w:t>&gt;=90%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9DF47D">
            <w:pPr>
              <w:jc w:val="center"/>
            </w:pPr>
            <w:r>
              <w:rPr>
                <w:rFonts w:ascii="宋体" w:hAnsi="宋体" w:eastAsia="宋体"/>
                <w:sz w:val="16"/>
              </w:rPr>
              <w:t>若羌县人民检察院工作报告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D6FD89">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C5847E">
            <w:pPr>
              <w:jc w:val="center"/>
            </w:pPr>
            <w:r>
              <w:rPr>
                <w:rFonts w:ascii="宋体" w:hAnsi="宋体" w:eastAsia="宋体"/>
                <w:sz w:val="16"/>
              </w:rPr>
              <w:t>98.15%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FCEBEB">
            <w:pPr>
              <w:jc w:val="center"/>
            </w:pPr>
            <w:r>
              <w:rPr>
                <w:rFonts w:ascii="宋体" w:hAnsi="宋体" w:eastAsia="宋体"/>
                <w:sz w:val="16"/>
              </w:rPr>
              <w:t>30</w:t>
            </w:r>
          </w:p>
        </w:tc>
      </w:tr>
      <w:tr w14:paraId="3890544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9DE56D5"/>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3426CC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DFABD1">
            <w:pPr>
              <w:jc w:val="center"/>
            </w:pPr>
            <w:r>
              <w:rPr>
                <w:rFonts w:ascii="宋体" w:hAnsi="宋体" w:eastAsia="宋体"/>
                <w:sz w:val="16"/>
              </w:rPr>
              <w:t>全年办理案件的结案率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B48F95">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835940">
            <w:pPr>
              <w:jc w:val="center"/>
            </w:pPr>
            <w:r>
              <w:rPr>
                <w:rFonts w:ascii="宋体" w:hAnsi="宋体" w:eastAsia="宋体"/>
                <w:sz w:val="16"/>
              </w:rPr>
              <w:t>若羌县人民检察院工作报告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0891DD">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8DD7B0">
            <w:pPr>
              <w:jc w:val="center"/>
            </w:pPr>
            <w:r>
              <w:rPr>
                <w:rFonts w:ascii="宋体" w:hAnsi="宋体" w:eastAsia="宋体"/>
                <w:sz w:val="16"/>
              </w:rPr>
              <w:t>98.3%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D0C7CF">
            <w:pPr>
              <w:jc w:val="center"/>
            </w:pPr>
            <w:r>
              <w:rPr>
                <w:rFonts w:ascii="宋体" w:hAnsi="宋体" w:eastAsia="宋体"/>
                <w:sz w:val="16"/>
              </w:rPr>
              <w:t>20</w:t>
            </w:r>
          </w:p>
        </w:tc>
      </w:tr>
      <w:tr w14:paraId="71F30F1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822F66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15F4E9">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C35687">
            <w:pPr>
              <w:jc w:val="center"/>
            </w:pPr>
            <w:r>
              <w:rPr>
                <w:rFonts w:ascii="宋体" w:hAnsi="宋体" w:eastAsia="宋体"/>
                <w:sz w:val="16"/>
              </w:rPr>
              <w:t>全年法律监督办案数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3E6A8F">
            <w:pPr>
              <w:jc w:val="center"/>
            </w:pPr>
            <w:r>
              <w:rPr>
                <w:rFonts w:ascii="宋体" w:hAnsi="宋体" w:eastAsia="宋体"/>
                <w:sz w:val="16"/>
              </w:rPr>
              <w:t>&gt;=320件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B48C5F">
            <w:pPr>
              <w:jc w:val="center"/>
            </w:pPr>
            <w:r>
              <w:rPr>
                <w:rFonts w:ascii="宋体" w:hAnsi="宋体" w:eastAsia="宋体"/>
                <w:sz w:val="16"/>
              </w:rPr>
              <w:t>若羌县人民检察院工作报告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4BE828">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A72CF3">
            <w:pPr>
              <w:jc w:val="center"/>
            </w:pPr>
            <w:r>
              <w:rPr>
                <w:rFonts w:ascii="宋体" w:hAnsi="宋体" w:eastAsia="宋体"/>
                <w:sz w:val="16"/>
              </w:rPr>
              <w:t>196件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F9A1E9">
            <w:pPr>
              <w:jc w:val="center"/>
            </w:pPr>
            <w:r>
              <w:rPr>
                <w:rFonts w:ascii="宋体" w:hAnsi="宋体" w:eastAsia="宋体"/>
                <w:sz w:val="16"/>
              </w:rPr>
              <w:t>18.38</w:t>
            </w:r>
          </w:p>
        </w:tc>
      </w:tr>
      <w:tr w14:paraId="1E004802">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B40343">
            <w:pPr>
              <w:jc w:val="center"/>
            </w:pPr>
            <w:r>
              <w:rPr>
                <w:rFonts w:ascii="宋体" w:hAnsi="宋体" w:eastAsia="宋体"/>
                <w:sz w:val="16"/>
              </w:rPr>
              <w:t>服务对象满意度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2FACD1">
            <w:pPr>
              <w:jc w:val="center"/>
            </w:pPr>
            <w:r>
              <w:rPr>
                <w:rFonts w:ascii="宋体" w:hAnsi="宋体" w:eastAsia="宋体"/>
                <w:sz w:val="16"/>
              </w:rPr>
              <w:t>满意度指标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19CCEB">
            <w:pPr>
              <w:jc w:val="center"/>
            </w:pPr>
            <w:r>
              <w:rPr>
                <w:rFonts w:ascii="宋体" w:hAnsi="宋体" w:eastAsia="宋体"/>
                <w:sz w:val="16"/>
              </w:rPr>
              <w:t>群众信访案件满意度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5BC95C">
            <w:pPr>
              <w:jc w:val="center"/>
            </w:pPr>
            <w:r>
              <w:rPr>
                <w:rFonts w:ascii="宋体" w:hAnsi="宋体" w:eastAsia="宋体"/>
                <w:sz w:val="16"/>
              </w:rPr>
              <w:t>&gt;=90%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4A1088">
            <w:pPr>
              <w:jc w:val="center"/>
            </w:pPr>
            <w:r>
              <w:rPr>
                <w:rFonts w:ascii="宋体" w:hAnsi="宋体" w:eastAsia="宋体"/>
                <w:sz w:val="16"/>
              </w:rPr>
              <w:t>若羌县人民检察院工作报告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6576CB">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7BC9AF">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74A712">
            <w:pPr>
              <w:jc w:val="center"/>
            </w:pPr>
            <w:r>
              <w:rPr>
                <w:rFonts w:ascii="宋体" w:hAnsi="宋体" w:eastAsia="宋体"/>
                <w:sz w:val="16"/>
              </w:rPr>
              <w:t>10</w:t>
            </w:r>
          </w:p>
        </w:tc>
      </w:tr>
    </w:tbl>
    <w:p w14:paraId="55AF656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7E8F0038">
        <w:tblPrEx>
          <w:tblCellMar>
            <w:top w:w="0" w:type="dxa"/>
            <w:left w:w="108" w:type="dxa"/>
            <w:bottom w:w="0" w:type="dxa"/>
            <w:right w:w="108" w:type="dxa"/>
          </w:tblCellMar>
        </w:tblPrEx>
        <w:tc>
          <w:tcPr>
            <w:tcW w:w="8848" w:type="dxa"/>
            <w:gridSpan w:val="14"/>
            <w:vAlign w:val="center"/>
          </w:tcPr>
          <w:p w14:paraId="16E99FA2">
            <w:pPr>
              <w:jc w:val="center"/>
            </w:pPr>
            <w:r>
              <w:rPr>
                <w:rFonts w:ascii="宋体" w:hAnsi="宋体" w:eastAsia="宋体"/>
                <w:sz w:val="24"/>
              </w:rPr>
              <w:t>项目支出绩效自评表</w:t>
            </w:r>
          </w:p>
        </w:tc>
      </w:tr>
      <w:tr w14:paraId="7B5D8E20">
        <w:tblPrEx>
          <w:tblCellMar>
            <w:top w:w="0" w:type="dxa"/>
            <w:left w:w="108" w:type="dxa"/>
            <w:bottom w:w="0" w:type="dxa"/>
            <w:right w:w="108" w:type="dxa"/>
          </w:tblCellMar>
        </w:tblPrEx>
        <w:tc>
          <w:tcPr>
            <w:tcW w:w="8848" w:type="dxa"/>
            <w:gridSpan w:val="14"/>
            <w:vAlign w:val="center"/>
          </w:tcPr>
          <w:p w14:paraId="4D89AE45">
            <w:pPr>
              <w:jc w:val="center"/>
            </w:pPr>
            <w:r>
              <w:rPr>
                <w:rFonts w:ascii="宋体" w:hAnsi="宋体" w:eastAsia="宋体"/>
                <w:sz w:val="24"/>
              </w:rPr>
              <w:t>(2024年度)</w:t>
            </w:r>
          </w:p>
        </w:tc>
      </w:tr>
      <w:tr w14:paraId="57189C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4E18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E1B25FA">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工作队经费</w:t>
            </w:r>
          </w:p>
        </w:tc>
      </w:tr>
      <w:tr w14:paraId="519715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B1F3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60D32A">
            <w:pPr>
              <w:jc w:val="center"/>
            </w:pPr>
            <w:r>
              <w:rPr>
                <w:rFonts w:ascii="宋体" w:hAnsi="宋体" w:eastAsia="宋体"/>
                <w:sz w:val="16"/>
              </w:rPr>
              <w:t>新疆巴州若羌县人民检察院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2ECC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3BDBBB">
            <w:pPr>
              <w:jc w:val="center"/>
            </w:pPr>
            <w:r>
              <w:rPr>
                <w:rFonts w:ascii="宋体" w:hAnsi="宋体" w:eastAsia="宋体"/>
                <w:sz w:val="16"/>
              </w:rPr>
              <w:t>新疆巴州若羌县人民检察院</w:t>
            </w:r>
          </w:p>
        </w:tc>
      </w:tr>
      <w:tr w14:paraId="4A48F5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E4EB7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B72D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1004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13B4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CCF0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1706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425B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5D4A8">
            <w:pPr>
              <w:jc w:val="center"/>
            </w:pPr>
            <w:r>
              <w:rPr>
                <w:rFonts w:ascii="宋体" w:hAnsi="宋体" w:eastAsia="宋体"/>
                <w:sz w:val="16"/>
              </w:rPr>
              <w:t>得分</w:t>
            </w:r>
          </w:p>
        </w:tc>
      </w:tr>
      <w:tr w14:paraId="292B0A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FD839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F44E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38A38">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5AB53">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424ED">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AA3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A122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DADEB">
            <w:pPr>
              <w:jc w:val="center"/>
            </w:pPr>
            <w:r>
              <w:rPr>
                <w:rFonts w:ascii="宋体" w:hAnsi="宋体" w:eastAsia="宋体"/>
                <w:sz w:val="16"/>
              </w:rPr>
              <w:t>10.00</w:t>
            </w:r>
          </w:p>
        </w:tc>
      </w:tr>
      <w:tr w14:paraId="77275C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9E26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16F3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9678A">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F4731">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847DD">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DEB9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DDB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7BF01">
            <w:pPr>
              <w:jc w:val="center"/>
            </w:pPr>
            <w:r>
              <w:rPr>
                <w:rFonts w:ascii="宋体" w:hAnsi="宋体" w:eastAsia="宋体"/>
                <w:sz w:val="16"/>
              </w:rPr>
              <w:t>-</w:t>
            </w:r>
          </w:p>
        </w:tc>
      </w:tr>
      <w:tr w14:paraId="3AED33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4875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260E6">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867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7A2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820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6E31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03D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76BC0">
            <w:pPr>
              <w:jc w:val="center"/>
            </w:pPr>
            <w:r>
              <w:rPr>
                <w:rFonts w:ascii="宋体" w:hAnsi="宋体" w:eastAsia="宋体"/>
                <w:sz w:val="16"/>
              </w:rPr>
              <w:t>-</w:t>
            </w:r>
          </w:p>
        </w:tc>
      </w:tr>
      <w:tr w14:paraId="3F0DCD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2BCA2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A007C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658867">
            <w:pPr>
              <w:jc w:val="center"/>
            </w:pPr>
            <w:r>
              <w:rPr>
                <w:rFonts w:ascii="宋体" w:hAnsi="宋体" w:eastAsia="宋体"/>
                <w:sz w:val="16"/>
              </w:rPr>
              <w:t>总体目标完成情况</w:t>
            </w:r>
          </w:p>
        </w:tc>
      </w:tr>
      <w:tr w14:paraId="3AE5F6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D119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5A52A9">
            <w:pPr>
              <w:jc w:val="both"/>
            </w:pPr>
            <w:r>
              <w:rPr>
                <w:rFonts w:ascii="宋体" w:hAnsi="宋体" w:eastAsia="宋体"/>
                <w:sz w:val="16"/>
              </w:rPr>
              <w:t>合理合规使用为民办实事经费，确保为民办实事经费使用的安全性、规范性和实效性。确保若羌县吾塔木乡昆其村工作队共4名工作人员，工作经费落实到实处。组织各项慰问和文体活动，提高居民文化生活水平。开展“民族团结一家亲”，团结关爱户、独居老人、社区干部联谊活动，加快资金支付进度，保障项目按期完成，提高为民办实事力度，提升群众获得感，切实做到为村民办实事、解民忧，着力解决村民</w:t>
            </w:r>
            <w:r>
              <w:rPr>
                <w:rFonts w:hint="eastAsia" w:ascii="宋体" w:hAnsi="宋体"/>
                <w:sz w:val="16"/>
                <w:lang w:eastAsia="zh-CN"/>
              </w:rPr>
              <w:t>急难愁盼问题</w:t>
            </w:r>
            <w:r>
              <w:rPr>
                <w:rFonts w:ascii="宋体" w:hAnsi="宋体" w:eastAsia="宋体"/>
                <w:sz w:val="16"/>
              </w:rPr>
              <w:t>，把惠民生、暖民心、顺民意的工作做到群众心坎上。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1221DB">
            <w:pPr>
              <w:jc w:val="both"/>
            </w:pPr>
            <w:r>
              <w:rPr>
                <w:rFonts w:ascii="宋体" w:hAnsi="宋体" w:eastAsia="宋体"/>
                <w:sz w:val="16"/>
              </w:rPr>
              <w:t>为全面贯彻新时代党的治疆方略，努力做好群众工作，落实惠民政策，我院开展</w:t>
            </w:r>
            <w:r>
              <w:rPr>
                <w:rFonts w:hint="eastAsia" w:ascii="宋体" w:hAnsi="宋体"/>
                <w:sz w:val="16"/>
                <w:lang w:eastAsia="zh-CN"/>
              </w:rPr>
              <w:t>为民办实事</w:t>
            </w:r>
            <w:r>
              <w:rPr>
                <w:rFonts w:ascii="宋体" w:hAnsi="宋体" w:eastAsia="宋体"/>
                <w:sz w:val="16"/>
              </w:rPr>
              <w:t>工作队经费项目，确保若羌县吾塔木乡昆其村工作队共4名工作人员，充分发挥村（社区）党组织第一书记统筹基层各方力量服务总目标，落实维护社会稳定，建强基层组织、做好群众工作、落实惠民政策、办好事实事，增强工作队在居民群众中的组织吸引力和凝聚力。我院组织各项慰问和文体活动，开展“民族团结一家亲”，团结关爱户、独居老人、社区干部联谊活动，有效提升村民文化生活水平，切实做到为村民办实事、解民忧，着力解决村民</w:t>
            </w:r>
            <w:r>
              <w:rPr>
                <w:rFonts w:hint="eastAsia" w:ascii="宋体" w:hAnsi="宋体"/>
                <w:sz w:val="16"/>
                <w:lang w:eastAsia="zh-CN"/>
              </w:rPr>
              <w:t>急难愁盼问题</w:t>
            </w:r>
            <w:r>
              <w:rPr>
                <w:rFonts w:ascii="宋体" w:hAnsi="宋体" w:eastAsia="宋体"/>
                <w:sz w:val="16"/>
              </w:rPr>
              <w:t>，把惠民生、暖民心、顺民意的工作做到群众心坎上。我院合理合规使用</w:t>
            </w:r>
            <w:r>
              <w:rPr>
                <w:rFonts w:hint="eastAsia" w:ascii="宋体" w:hAnsi="宋体"/>
                <w:sz w:val="16"/>
                <w:lang w:eastAsia="zh-CN"/>
              </w:rPr>
              <w:t>为民办实事</w:t>
            </w:r>
            <w:r>
              <w:rPr>
                <w:rFonts w:ascii="宋体" w:hAnsi="宋体" w:eastAsia="宋体"/>
                <w:sz w:val="16"/>
              </w:rPr>
              <w:t>工作队经费，确保</w:t>
            </w:r>
            <w:r>
              <w:rPr>
                <w:rFonts w:hint="eastAsia" w:ascii="宋体" w:hAnsi="宋体"/>
                <w:sz w:val="16"/>
                <w:lang w:eastAsia="zh-CN"/>
              </w:rPr>
              <w:t>为民办实事</w:t>
            </w:r>
            <w:r>
              <w:rPr>
                <w:rFonts w:ascii="宋体" w:hAnsi="宋体" w:eastAsia="宋体"/>
                <w:sz w:val="16"/>
              </w:rPr>
              <w:t>工作队经费使用的安全性、规范性和实效性，保障工作经费落实到实处。</w:t>
            </w:r>
          </w:p>
        </w:tc>
      </w:tr>
      <w:tr w14:paraId="098877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0E2A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B62D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C885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515E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743A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6715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15F7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B23A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2A63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4B7A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428A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FDDE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467E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049EF">
            <w:pPr>
              <w:jc w:val="center"/>
            </w:pPr>
            <w:r>
              <w:rPr>
                <w:rFonts w:ascii="宋体" w:hAnsi="宋体" w:eastAsia="宋体"/>
                <w:sz w:val="16"/>
              </w:rPr>
              <w:t>偏差原因分析及改进措施</w:t>
            </w:r>
          </w:p>
        </w:tc>
      </w:tr>
      <w:tr w14:paraId="219ADF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04563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B168E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1B756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84383">
            <w:pPr>
              <w:jc w:val="center"/>
            </w:pPr>
            <w:r>
              <w:rPr>
                <w:rFonts w:ascii="宋体" w:hAnsi="宋体" w:eastAsia="宋体"/>
                <w:sz w:val="16"/>
              </w:rPr>
              <w:t>派驻工作队数量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136B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EB2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26F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439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EE1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A00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1B08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54F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499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CD490">
            <w:pPr>
              <w:jc w:val="center"/>
            </w:pPr>
          </w:p>
        </w:tc>
      </w:tr>
      <w:tr w14:paraId="7D7C10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A7F1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93A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679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8932E">
            <w:pPr>
              <w:jc w:val="center"/>
            </w:pPr>
            <w:r>
              <w:rPr>
                <w:rFonts w:ascii="宋体" w:hAnsi="宋体" w:eastAsia="宋体"/>
                <w:sz w:val="16"/>
              </w:rPr>
              <w:t>派驻工作队工作人员人数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6F2AF">
            <w:pPr>
              <w:jc w:val="center"/>
            </w:pPr>
            <w:r>
              <w:rPr>
                <w:rFonts w:ascii="宋体" w:hAnsi="宋体" w:eastAsia="宋体"/>
                <w:sz w:val="16"/>
              </w:rPr>
              <w:t>&gt;=4人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B9B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39E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5D3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635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2A9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F8A5B">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477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99D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7EB86">
            <w:pPr>
              <w:jc w:val="center"/>
            </w:pPr>
          </w:p>
        </w:tc>
      </w:tr>
      <w:tr w14:paraId="05AA03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953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9AEB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21DE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63524">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F63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15F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52D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99F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B62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F43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046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F24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C28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6A7B0">
            <w:pPr>
              <w:jc w:val="center"/>
            </w:pPr>
          </w:p>
        </w:tc>
      </w:tr>
      <w:tr w14:paraId="7F45E2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A82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F7C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4F8E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994C6">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F9F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806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C35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C75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93C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B0E5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9FD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58E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8CE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8F20E">
            <w:pPr>
              <w:jc w:val="center"/>
            </w:pPr>
          </w:p>
        </w:tc>
      </w:tr>
      <w:tr w14:paraId="4AA89C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D20F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7614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B3C7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738D4">
            <w:pPr>
              <w:jc w:val="center"/>
            </w:pPr>
            <w:r>
              <w:rPr>
                <w:rFonts w:ascii="宋体" w:hAnsi="宋体" w:eastAsia="宋体"/>
                <w:sz w:val="16"/>
              </w:rPr>
              <w:t>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58BF5">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E03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A5A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74BD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516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322C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306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C2A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8297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48EEC">
            <w:pPr>
              <w:jc w:val="center"/>
            </w:pPr>
          </w:p>
        </w:tc>
      </w:tr>
      <w:tr w14:paraId="28543B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FB34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5DDF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6EF1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A0D56">
            <w:pPr>
              <w:jc w:val="center"/>
            </w:pPr>
            <w:r>
              <w:rPr>
                <w:rFonts w:ascii="宋体" w:hAnsi="宋体" w:eastAsia="宋体"/>
                <w:sz w:val="16"/>
              </w:rPr>
              <w:t>村民文化生活水平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1A4C6">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CDD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6D7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C0B7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00E5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014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78862">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E9A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0288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4BDEE">
            <w:pPr>
              <w:jc w:val="center"/>
            </w:pPr>
          </w:p>
        </w:tc>
      </w:tr>
      <w:tr w14:paraId="731F92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A5C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7640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A963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A99B7">
            <w:pPr>
              <w:jc w:val="center"/>
            </w:pPr>
            <w:r>
              <w:rPr>
                <w:rFonts w:ascii="宋体" w:hAnsi="宋体" w:eastAsia="宋体"/>
                <w:sz w:val="16"/>
              </w:rPr>
              <w:t>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A57E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B4A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C99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4E9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A59E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5B0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0FD3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61F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862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EACF6">
            <w:pPr>
              <w:jc w:val="center"/>
            </w:pPr>
          </w:p>
        </w:tc>
      </w:tr>
      <w:tr w14:paraId="5E664ED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F26A0D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C8E08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A6CBA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9E95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9F6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B8C38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960BE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90A61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A8BD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556C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4C7CE0"/>
        </w:tc>
      </w:tr>
    </w:tbl>
    <w:p w14:paraId="6298F7B3">
      <w:r>
        <w:br w:type="page"/>
      </w:r>
    </w:p>
    <w:p w14:paraId="138289BD">
      <w:pPr>
        <w:spacing w:line="640" w:lineRule="exact"/>
        <w:ind w:firstLine="640"/>
        <w:jc w:val="both"/>
        <w:outlineLvl w:val="2"/>
      </w:pPr>
      <w:r>
        <w:rPr>
          <w:rFonts w:ascii="黑体" w:hAnsi="黑体" w:eastAsia="黑体"/>
          <w:sz w:val="32"/>
        </w:rPr>
        <w:t>十二、其他需说明的事项</w:t>
      </w:r>
    </w:p>
    <w:p w14:paraId="0C23EDC7">
      <w:pPr>
        <w:spacing w:line="580" w:lineRule="exact"/>
        <w:ind w:firstLine="640"/>
        <w:jc w:val="both"/>
      </w:pPr>
      <w:r>
        <w:rPr>
          <w:rFonts w:ascii="仿宋_GB2312" w:hAnsi="仿宋_GB2312" w:eastAsia="仿宋_GB2312"/>
          <w:b w:val="0"/>
          <w:sz w:val="32"/>
        </w:rPr>
        <w:t>本年本部门SM项目2个，全年预算数89.00万元，全年执行数89.00万元。</w:t>
      </w:r>
      <w:bookmarkStart w:id="0" w:name="_GoBack"/>
      <w:bookmarkEnd w:id="0"/>
    </w:p>
    <w:p w14:paraId="5C08FDC7">
      <w:r>
        <w:br w:type="page"/>
      </w:r>
    </w:p>
    <w:p w14:paraId="32A621C3">
      <w:pPr>
        <w:spacing w:line="240" w:lineRule="auto"/>
        <w:jc w:val="center"/>
        <w:outlineLvl w:val="1"/>
      </w:pPr>
      <w:r>
        <w:rPr>
          <w:rFonts w:ascii="黑体" w:hAnsi="黑体" w:eastAsia="黑体"/>
          <w:sz w:val="32"/>
        </w:rPr>
        <w:t>第三部分 专业名词解释</w:t>
      </w:r>
    </w:p>
    <w:p w14:paraId="746B9B4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BAFA96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4602C3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B17FD7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50BF4A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459D18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D0D043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851FEA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5314C77">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C2A81F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D758E9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014186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ED4B55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08E6D5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2C3599F">
      <w:r>
        <w:br w:type="page"/>
      </w:r>
    </w:p>
    <w:p w14:paraId="5DEE4536">
      <w:pPr>
        <w:spacing w:line="240" w:lineRule="auto"/>
        <w:jc w:val="center"/>
        <w:outlineLvl w:val="1"/>
      </w:pPr>
      <w:r>
        <w:rPr>
          <w:rFonts w:ascii="黑体" w:hAnsi="黑体" w:eastAsia="黑体"/>
          <w:sz w:val="32"/>
        </w:rPr>
        <w:t>第四部分 部门决算报表（见附表）</w:t>
      </w:r>
    </w:p>
    <w:p w14:paraId="5F730464">
      <w:pPr>
        <w:spacing w:line="240" w:lineRule="auto"/>
        <w:ind w:firstLine="640"/>
        <w:jc w:val="both"/>
      </w:pPr>
      <w:r>
        <w:rPr>
          <w:rFonts w:ascii="仿宋_GB2312" w:hAnsi="仿宋_GB2312" w:eastAsia="仿宋_GB2312"/>
          <w:b w:val="0"/>
          <w:sz w:val="32"/>
        </w:rPr>
        <w:t>一、《收入支出决算总表》</w:t>
      </w:r>
    </w:p>
    <w:p w14:paraId="48746E9C">
      <w:pPr>
        <w:spacing w:line="240" w:lineRule="auto"/>
        <w:ind w:firstLine="640"/>
        <w:jc w:val="both"/>
      </w:pPr>
      <w:r>
        <w:rPr>
          <w:rFonts w:ascii="仿宋_GB2312" w:hAnsi="仿宋_GB2312" w:eastAsia="仿宋_GB2312"/>
          <w:b w:val="0"/>
          <w:sz w:val="32"/>
        </w:rPr>
        <w:t>二、《收入决算表》</w:t>
      </w:r>
    </w:p>
    <w:p w14:paraId="4026F8B1">
      <w:pPr>
        <w:spacing w:line="240" w:lineRule="auto"/>
        <w:ind w:firstLine="640"/>
        <w:jc w:val="both"/>
      </w:pPr>
      <w:r>
        <w:rPr>
          <w:rFonts w:ascii="仿宋_GB2312" w:hAnsi="仿宋_GB2312" w:eastAsia="仿宋_GB2312"/>
          <w:b w:val="0"/>
          <w:sz w:val="32"/>
        </w:rPr>
        <w:t>三、《支出决算表》</w:t>
      </w:r>
    </w:p>
    <w:p w14:paraId="11BB09BB">
      <w:pPr>
        <w:spacing w:line="240" w:lineRule="auto"/>
        <w:ind w:firstLine="640"/>
        <w:jc w:val="both"/>
      </w:pPr>
      <w:r>
        <w:rPr>
          <w:rFonts w:ascii="仿宋_GB2312" w:hAnsi="仿宋_GB2312" w:eastAsia="仿宋_GB2312"/>
          <w:b w:val="0"/>
          <w:sz w:val="32"/>
        </w:rPr>
        <w:t>四、《财政拨款收入支出决算总表》</w:t>
      </w:r>
    </w:p>
    <w:p w14:paraId="6D2251E5">
      <w:pPr>
        <w:spacing w:line="240" w:lineRule="auto"/>
        <w:ind w:firstLine="640"/>
        <w:jc w:val="both"/>
      </w:pPr>
      <w:r>
        <w:rPr>
          <w:rFonts w:ascii="仿宋_GB2312" w:hAnsi="仿宋_GB2312" w:eastAsia="仿宋_GB2312"/>
          <w:b w:val="0"/>
          <w:sz w:val="32"/>
        </w:rPr>
        <w:t>五、《一般公共预算财政拨款支出决算表》</w:t>
      </w:r>
    </w:p>
    <w:p w14:paraId="4D01C32A">
      <w:pPr>
        <w:spacing w:line="240" w:lineRule="auto"/>
        <w:ind w:firstLine="640"/>
        <w:jc w:val="both"/>
      </w:pPr>
      <w:r>
        <w:rPr>
          <w:rFonts w:ascii="仿宋_GB2312" w:hAnsi="仿宋_GB2312" w:eastAsia="仿宋_GB2312"/>
          <w:b w:val="0"/>
          <w:sz w:val="32"/>
        </w:rPr>
        <w:t>六、《一般公共预算财政拨款基本支出决算表》</w:t>
      </w:r>
    </w:p>
    <w:p w14:paraId="4D75700D">
      <w:pPr>
        <w:spacing w:line="240" w:lineRule="auto"/>
        <w:ind w:firstLine="640"/>
        <w:jc w:val="both"/>
      </w:pPr>
      <w:r>
        <w:rPr>
          <w:rFonts w:ascii="仿宋_GB2312" w:hAnsi="仿宋_GB2312" w:eastAsia="仿宋_GB2312"/>
          <w:b w:val="0"/>
          <w:sz w:val="32"/>
        </w:rPr>
        <w:t>七、《政府性基金预算财政拨款收入支出决算表》</w:t>
      </w:r>
    </w:p>
    <w:p w14:paraId="13777CFA">
      <w:pPr>
        <w:spacing w:line="240" w:lineRule="auto"/>
        <w:ind w:firstLine="640"/>
        <w:jc w:val="both"/>
      </w:pPr>
      <w:r>
        <w:rPr>
          <w:rFonts w:ascii="仿宋_GB2312" w:hAnsi="仿宋_GB2312" w:eastAsia="仿宋_GB2312"/>
          <w:b w:val="0"/>
          <w:sz w:val="32"/>
        </w:rPr>
        <w:t>八、《国有资本经营预算财政拨款收入支出决算表》</w:t>
      </w:r>
    </w:p>
    <w:p w14:paraId="7A268F58">
      <w:pPr>
        <w:spacing w:line="240" w:lineRule="auto"/>
        <w:ind w:firstLine="640"/>
        <w:jc w:val="both"/>
      </w:pPr>
      <w:r>
        <w:rPr>
          <w:rFonts w:ascii="仿宋_GB2312" w:hAnsi="仿宋_GB2312" w:eastAsia="仿宋_GB2312"/>
          <w:b w:val="0"/>
          <w:sz w:val="32"/>
        </w:rPr>
        <w:t>九、《财政拨款“三公”经费支出决算表》</w:t>
      </w:r>
    </w:p>
    <w:p w14:paraId="7997A5C1">
      <w:pPr>
        <w:spacing w:line="240" w:lineRule="auto"/>
        <w:ind w:firstLine="640"/>
        <w:jc w:val="both"/>
      </w:pPr>
    </w:p>
    <w:p w14:paraId="36DE2159">
      <w:pPr>
        <w:spacing w:line="240" w:lineRule="auto"/>
        <w:ind w:firstLine="640"/>
        <w:jc w:val="both"/>
      </w:pPr>
    </w:p>
    <w:p w14:paraId="41524F4A">
      <w:pPr>
        <w:spacing w:line="240" w:lineRule="auto"/>
        <w:ind w:firstLine="640"/>
        <w:jc w:val="both"/>
      </w:pPr>
    </w:p>
    <w:p w14:paraId="11860C7F">
      <w:pPr>
        <w:spacing w:line="240" w:lineRule="auto"/>
        <w:ind w:firstLine="640"/>
        <w:jc w:val="both"/>
      </w:pPr>
    </w:p>
    <w:p w14:paraId="1EDE177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2F43283"/>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0616F0"/>
    <w:rsid w:val="76660D7C"/>
    <w:rsid w:val="77ED6F44"/>
    <w:rsid w:val="795A0A34"/>
    <w:rsid w:val="7A0D3BC7"/>
    <w:rsid w:val="7A3A3CDB"/>
    <w:rsid w:val="7EF14DD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5344</Words>
  <Characters>6072</Characters>
  <Lines>0</Lines>
  <Paragraphs>0</Paragraphs>
  <TotalTime>5</TotalTime>
  <ScaleCrop>false</ScaleCrop>
  <LinksUpToDate>false</LinksUpToDate>
  <CharactersWithSpaces>6080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2025-09-11T08:03:11Z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eyJoZGlkIjoiZjE5ZjY4MTZmMjdlZTdiNDk2YjE2YjM5MDdjZDkwNjQiLCJ1c2VySWQiOiI0OTMxMTE3MjUifQ==</vt:lpwstr>
  </property>
</Properties>
</file>