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新疆巴州且末县人民检察院2024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D760639">
      <w:r>
        <w:br w:type="page"/>
      </w:r>
    </w:p>
    <w:p w14:paraId="226BEF2D">
      <w:pPr>
        <w:spacing w:line="640" w:lineRule="exact"/>
        <w:jc w:val="center"/>
        <w:outlineLvl w:val="1"/>
      </w:pPr>
      <w:r>
        <w:rPr>
          <w:rFonts w:ascii="黑体" w:hAnsi="黑体" w:eastAsia="黑体"/>
          <w:sz w:val="32"/>
        </w:rPr>
        <w:t>第一部分 部门概况</w:t>
      </w:r>
    </w:p>
    <w:p w14:paraId="681528CE">
      <w:pPr>
        <w:spacing w:line="640" w:lineRule="exact"/>
        <w:ind w:firstLine="640"/>
        <w:jc w:val="both"/>
        <w:outlineLvl w:val="2"/>
      </w:pPr>
      <w:r>
        <w:rPr>
          <w:rFonts w:ascii="黑体" w:hAnsi="黑体" w:eastAsia="黑体"/>
          <w:sz w:val="32"/>
        </w:rPr>
        <w:t>一、主要职能</w:t>
      </w:r>
    </w:p>
    <w:p w14:paraId="7D47D4EE">
      <w:pPr>
        <w:spacing w:line="580" w:lineRule="exact"/>
        <w:ind w:firstLine="640"/>
        <w:jc w:val="both"/>
      </w:pPr>
      <w:r>
        <w:rPr>
          <w:rFonts w:ascii="仿宋_GB2312" w:hAnsi="仿宋_GB2312" w:eastAsia="仿宋_GB2312"/>
          <w:sz w:val="32"/>
        </w:rPr>
        <w:t>（一）依法向且末县人民代表大会及其常务委员会提出议案。</w:t>
      </w:r>
    </w:p>
    <w:p w14:paraId="492BDCB9">
      <w:pPr>
        <w:spacing w:line="580" w:lineRule="exact"/>
        <w:ind w:firstLine="640"/>
        <w:jc w:val="both"/>
      </w:pPr>
      <w:r>
        <w:rPr>
          <w:rFonts w:ascii="仿宋_GB2312" w:hAnsi="仿宋_GB2312" w:eastAsia="仿宋_GB2312"/>
          <w:sz w:val="32"/>
        </w:rPr>
        <w:t>（二）贯彻落实检察工作方针、总体规划，完成检察工作任务。</w:t>
      </w:r>
    </w:p>
    <w:p w14:paraId="37D00D63">
      <w:pPr>
        <w:spacing w:line="580" w:lineRule="exact"/>
        <w:ind w:firstLine="640"/>
        <w:jc w:val="both"/>
      </w:pPr>
      <w:r>
        <w:rPr>
          <w:rFonts w:ascii="仿宋_GB2312" w:hAnsi="仿宋_GB2312" w:eastAsia="仿宋_GB2312"/>
          <w:sz w:val="32"/>
        </w:rPr>
        <w:t>（三）依法开展对刑事犯罪案件的审查批准逮捕、决定逮捕、审查起诉工作。</w:t>
      </w:r>
    </w:p>
    <w:p w14:paraId="0CDF7064">
      <w:pPr>
        <w:spacing w:line="580" w:lineRule="exact"/>
        <w:ind w:firstLine="640"/>
        <w:jc w:val="both"/>
      </w:pPr>
      <w:r>
        <w:rPr>
          <w:rFonts w:ascii="仿宋_GB2312" w:hAnsi="仿宋_GB2312" w:eastAsia="仿宋_GB2312"/>
          <w:sz w:val="32"/>
        </w:rPr>
        <w:t>（四）负责应由且末县人民检察院承办的刑事、民事、行政诉讼活动及刑事、民事、行政判决和裁定等生效法律文书执行的法律监督工作。</w:t>
      </w:r>
    </w:p>
    <w:p w14:paraId="506449EE">
      <w:pPr>
        <w:spacing w:line="580" w:lineRule="exact"/>
        <w:ind w:firstLine="640"/>
        <w:jc w:val="both"/>
      </w:pPr>
      <w:r>
        <w:rPr>
          <w:rFonts w:ascii="仿宋_GB2312" w:hAnsi="仿宋_GB2312" w:eastAsia="仿宋_GB2312"/>
          <w:sz w:val="32"/>
        </w:rPr>
        <w:t>（五）负责对且末县人民法院已发生法律效力、确有错误的判决和裁定，依法提请巴州人民检察院向巴州中级人民法院提出抗诉。</w:t>
      </w:r>
    </w:p>
    <w:p w14:paraId="5548C6A1">
      <w:pPr>
        <w:spacing w:line="580" w:lineRule="exact"/>
        <w:ind w:firstLine="640"/>
        <w:jc w:val="both"/>
      </w:pPr>
      <w:r>
        <w:rPr>
          <w:rFonts w:ascii="仿宋_GB2312" w:hAnsi="仿宋_GB2312" w:eastAsia="仿宋_GB2312"/>
          <w:sz w:val="32"/>
        </w:rPr>
        <w:t>（六）负责应由且末县人民检察院承办的提起公益诉讼工作。</w:t>
      </w:r>
    </w:p>
    <w:p w14:paraId="5BC8D02B">
      <w:pPr>
        <w:spacing w:line="580" w:lineRule="exact"/>
        <w:ind w:firstLine="640"/>
        <w:jc w:val="both"/>
      </w:pPr>
      <w:r>
        <w:rPr>
          <w:rFonts w:ascii="仿宋_GB2312" w:hAnsi="仿宋_GB2312" w:eastAsia="仿宋_GB2312"/>
          <w:sz w:val="32"/>
        </w:rPr>
        <w:t>（七）</w:t>
      </w:r>
      <w:r>
        <w:rPr>
          <w:rFonts w:hint="eastAsia" w:ascii="仿宋_GB2312" w:hAnsi="仿宋_GB2312" w:eastAsia="仿宋_GB2312"/>
          <w:sz w:val="32"/>
          <w:lang w:eastAsia="zh-CN"/>
        </w:rPr>
        <w:t>负责</w:t>
      </w:r>
      <w:r>
        <w:rPr>
          <w:rFonts w:ascii="仿宋_GB2312" w:hAnsi="仿宋_GB2312" w:eastAsia="仿宋_GB2312"/>
          <w:sz w:val="32"/>
        </w:rPr>
        <w:t>由且末县人民检察院承办的对安置教育机构、看守所、社区矫正机构等执法活动的法律监督工作。</w:t>
      </w:r>
    </w:p>
    <w:p w14:paraId="74CD8960">
      <w:pPr>
        <w:spacing w:line="580" w:lineRule="exact"/>
        <w:ind w:firstLine="640"/>
        <w:jc w:val="both"/>
      </w:pPr>
      <w:r>
        <w:rPr>
          <w:rFonts w:ascii="仿宋_GB2312" w:hAnsi="仿宋_GB2312" w:eastAsia="仿宋_GB2312"/>
          <w:sz w:val="32"/>
        </w:rPr>
        <w:t>（八）受理向且末县人民检察院的控告申诉，开展控告申诉检察工作。</w:t>
      </w:r>
    </w:p>
    <w:p w14:paraId="57C96BBF">
      <w:pPr>
        <w:spacing w:line="580" w:lineRule="exact"/>
        <w:ind w:firstLine="640"/>
        <w:jc w:val="both"/>
      </w:pPr>
      <w:r>
        <w:rPr>
          <w:rFonts w:ascii="仿宋_GB2312" w:hAnsi="仿宋_GB2312" w:eastAsia="仿宋_GB2312"/>
          <w:sz w:val="32"/>
        </w:rPr>
        <w:t>（九）开展检察应用和理论研究工作。</w:t>
      </w:r>
    </w:p>
    <w:p w14:paraId="24EF0AAE">
      <w:pPr>
        <w:spacing w:line="580" w:lineRule="exact"/>
        <w:ind w:firstLine="640"/>
        <w:jc w:val="both"/>
      </w:pPr>
      <w:r>
        <w:rPr>
          <w:rFonts w:ascii="仿宋_GB2312" w:hAnsi="仿宋_GB2312" w:eastAsia="仿宋_GB2312"/>
          <w:sz w:val="32"/>
        </w:rPr>
        <w:t>（十）负责本院队伍建设和思想政治工作。依法管理检察官及其他检察人员的工作，开展检察机关教育培训工作。</w:t>
      </w:r>
    </w:p>
    <w:p w14:paraId="26E1B49D">
      <w:pPr>
        <w:spacing w:line="580" w:lineRule="exact"/>
        <w:ind w:firstLine="640"/>
        <w:jc w:val="both"/>
      </w:pPr>
      <w:r>
        <w:rPr>
          <w:rFonts w:ascii="仿宋_GB2312" w:hAnsi="仿宋_GB2312" w:eastAsia="仿宋_GB2312"/>
          <w:sz w:val="32"/>
        </w:rPr>
        <w:t>（十一）开展本院检务督察工作。</w:t>
      </w:r>
    </w:p>
    <w:p w14:paraId="77083F7D">
      <w:pPr>
        <w:spacing w:line="580" w:lineRule="exact"/>
        <w:ind w:firstLine="640"/>
        <w:jc w:val="both"/>
      </w:pPr>
      <w:r>
        <w:rPr>
          <w:rFonts w:ascii="仿宋_GB2312" w:hAnsi="仿宋_GB2312" w:eastAsia="仿宋_GB2312"/>
          <w:sz w:val="32"/>
        </w:rPr>
        <w:t>（十二）开展检察机关的财务装备工作，检察技术信息工作。</w:t>
      </w:r>
    </w:p>
    <w:p w14:paraId="3B57875B">
      <w:pPr>
        <w:spacing w:line="580" w:lineRule="exact"/>
        <w:ind w:firstLine="640"/>
        <w:jc w:val="both"/>
      </w:pPr>
      <w:r>
        <w:rPr>
          <w:rFonts w:ascii="仿宋_GB2312" w:hAnsi="仿宋_GB2312" w:eastAsia="仿宋_GB2312"/>
          <w:sz w:val="32"/>
        </w:rPr>
        <w:t>（十三）负责其他应当由且末县人民检察院承办的事项。</w:t>
      </w:r>
    </w:p>
    <w:p w14:paraId="4FDC7C9A">
      <w:pPr>
        <w:spacing w:line="640" w:lineRule="exact"/>
        <w:ind w:firstLine="640"/>
        <w:jc w:val="both"/>
        <w:outlineLvl w:val="2"/>
      </w:pPr>
      <w:r>
        <w:rPr>
          <w:rFonts w:ascii="黑体" w:hAnsi="黑体" w:eastAsia="黑体"/>
          <w:sz w:val="32"/>
        </w:rPr>
        <w:t>二、机构设置及人员情况</w:t>
      </w:r>
    </w:p>
    <w:p w14:paraId="5FC1CD21">
      <w:pPr>
        <w:spacing w:line="580" w:lineRule="exact"/>
        <w:ind w:firstLine="640"/>
        <w:jc w:val="both"/>
      </w:pPr>
      <w:r>
        <w:rPr>
          <w:rFonts w:ascii="仿宋_GB2312" w:hAnsi="仿宋_GB2312" w:eastAsia="仿宋_GB2312"/>
          <w:sz w:val="32"/>
        </w:rPr>
        <w:t>新疆巴州且末县人民检察院2024年度，实有人数31人，其中：在职人员16人，增加3人；离休人员0人，增加0人；退休人员15人,增加1人。</w:t>
      </w:r>
    </w:p>
    <w:p w14:paraId="1F44881C">
      <w:pPr>
        <w:spacing w:line="580" w:lineRule="exact"/>
        <w:ind w:firstLine="640"/>
        <w:jc w:val="both"/>
      </w:pPr>
      <w:r>
        <w:rPr>
          <w:rFonts w:ascii="仿宋_GB2312" w:hAnsi="仿宋_GB2312" w:eastAsia="仿宋_GB2312"/>
          <w:sz w:val="32"/>
        </w:rPr>
        <w:t>新疆巴州且末县人民检察院无下属预算单位，下设3个科室，分别是：综合行政部、第一检察部、第二检察部。</w:t>
      </w:r>
    </w:p>
    <w:p w14:paraId="7E665768">
      <w:r>
        <w:br w:type="page"/>
      </w:r>
    </w:p>
    <w:p w14:paraId="6149C565">
      <w:pPr>
        <w:spacing w:line="240" w:lineRule="auto"/>
        <w:jc w:val="center"/>
        <w:outlineLvl w:val="1"/>
      </w:pPr>
      <w:r>
        <w:rPr>
          <w:rFonts w:ascii="黑体" w:hAnsi="黑体" w:eastAsia="黑体"/>
          <w:sz w:val="32"/>
        </w:rPr>
        <w:t>第二部分 部门决算情况说明</w:t>
      </w:r>
    </w:p>
    <w:p w14:paraId="64171C46">
      <w:pPr>
        <w:spacing w:line="640" w:lineRule="exact"/>
        <w:ind w:firstLine="640"/>
        <w:jc w:val="both"/>
        <w:outlineLvl w:val="2"/>
      </w:pPr>
      <w:r>
        <w:rPr>
          <w:rFonts w:ascii="黑体" w:hAnsi="黑体" w:eastAsia="黑体"/>
          <w:sz w:val="32"/>
        </w:rPr>
        <w:t>一、收入支出决算总体情况说明</w:t>
      </w:r>
    </w:p>
    <w:p w14:paraId="017EB40A">
      <w:pPr>
        <w:spacing w:line="580" w:lineRule="exact"/>
        <w:ind w:firstLine="640"/>
        <w:jc w:val="both"/>
      </w:pPr>
      <w:r>
        <w:rPr>
          <w:rFonts w:ascii="仿宋_GB2312" w:hAnsi="仿宋_GB2312" w:eastAsia="仿宋_GB2312"/>
          <w:b/>
          <w:sz w:val="32"/>
        </w:rPr>
        <w:t>2024年度收入总计685.57万元，</w:t>
      </w:r>
      <w:r>
        <w:rPr>
          <w:rFonts w:ascii="仿宋_GB2312" w:hAnsi="仿宋_GB2312" w:eastAsia="仿宋_GB2312"/>
          <w:b w:val="0"/>
          <w:sz w:val="32"/>
        </w:rPr>
        <w:t>其中：本年收入合计685.57万元，使用非财政拨款结余（含专用结余）0.00万元，年初结转和结余0.00万元。</w:t>
      </w:r>
    </w:p>
    <w:p w14:paraId="23CF5065">
      <w:pPr>
        <w:spacing w:line="580" w:lineRule="exact"/>
        <w:ind w:firstLine="640"/>
        <w:jc w:val="both"/>
      </w:pPr>
      <w:r>
        <w:rPr>
          <w:rFonts w:ascii="仿宋_GB2312" w:hAnsi="仿宋_GB2312" w:eastAsia="仿宋_GB2312"/>
          <w:b/>
          <w:sz w:val="32"/>
        </w:rPr>
        <w:t>2024年度支出总计685.57万元，</w:t>
      </w:r>
      <w:r>
        <w:rPr>
          <w:rFonts w:ascii="仿宋_GB2312" w:hAnsi="仿宋_GB2312" w:eastAsia="仿宋_GB2312"/>
          <w:b w:val="0"/>
          <w:sz w:val="32"/>
        </w:rPr>
        <w:t>其中：本年支出合计685.57万元，结余分配0.00万元，年末结转和结余0.00万元。</w:t>
      </w:r>
    </w:p>
    <w:p w14:paraId="200F14E2">
      <w:pPr>
        <w:spacing w:line="580" w:lineRule="exact"/>
        <w:ind w:firstLine="640"/>
        <w:jc w:val="both"/>
      </w:pPr>
      <w:r>
        <w:rPr>
          <w:rFonts w:ascii="仿宋_GB2312" w:hAnsi="仿宋_GB2312" w:eastAsia="仿宋_GB2312"/>
          <w:b w:val="0"/>
          <w:sz w:val="32"/>
        </w:rPr>
        <w:t>收入支出总体与上年相比，增加96.67万元，增长16.42%，主要原因是：本年增加申请国家赔偿金项目及且末县人民检察院申请司法救助项目、中央转移支付资金项目经费，导致经费较上年增加。</w:t>
      </w:r>
    </w:p>
    <w:p w14:paraId="69BC80A0">
      <w:pPr>
        <w:spacing w:line="640" w:lineRule="exact"/>
        <w:ind w:firstLine="640"/>
        <w:jc w:val="both"/>
        <w:outlineLvl w:val="2"/>
      </w:pPr>
      <w:r>
        <w:rPr>
          <w:rFonts w:ascii="黑体" w:hAnsi="黑体" w:eastAsia="黑体"/>
          <w:sz w:val="32"/>
        </w:rPr>
        <w:t>二、收入决算情况说明</w:t>
      </w:r>
    </w:p>
    <w:p w14:paraId="225B3D28">
      <w:pPr>
        <w:spacing w:line="580" w:lineRule="exact"/>
        <w:ind w:firstLine="640"/>
        <w:jc w:val="both"/>
      </w:pPr>
      <w:r>
        <w:rPr>
          <w:rFonts w:ascii="仿宋_GB2312" w:hAnsi="仿宋_GB2312" w:eastAsia="仿宋_GB2312"/>
          <w:b/>
          <w:sz w:val="32"/>
        </w:rPr>
        <w:t>本年收入685.57万元，</w:t>
      </w:r>
      <w:r>
        <w:rPr>
          <w:rFonts w:ascii="仿宋_GB2312" w:hAnsi="仿宋_GB2312" w:eastAsia="仿宋_GB2312"/>
          <w:b w:val="0"/>
          <w:sz w:val="32"/>
        </w:rPr>
        <w:t>其中：财政拨款收入667.16万元，占97.31%；上级补助收入0.00万元，占0.00%；事业收入0.00万元，占0.00%；经营收入0.00万元，占0.00%；附属单位上缴收入0.00万元，占0.00%；其他收入18.41万元，占2.69%。</w:t>
      </w:r>
    </w:p>
    <w:p w14:paraId="07A40534">
      <w:pPr>
        <w:spacing w:line="640" w:lineRule="exact"/>
        <w:ind w:firstLine="640"/>
        <w:jc w:val="both"/>
        <w:outlineLvl w:val="2"/>
      </w:pPr>
      <w:r>
        <w:rPr>
          <w:rFonts w:ascii="黑体" w:hAnsi="黑体" w:eastAsia="黑体"/>
          <w:sz w:val="32"/>
        </w:rPr>
        <w:t>三、支出决算情况说明</w:t>
      </w:r>
    </w:p>
    <w:p w14:paraId="43EBAF68">
      <w:pPr>
        <w:spacing w:line="580" w:lineRule="exact"/>
        <w:ind w:firstLine="640"/>
        <w:jc w:val="both"/>
      </w:pPr>
      <w:r>
        <w:rPr>
          <w:rFonts w:ascii="仿宋_GB2312" w:hAnsi="仿宋_GB2312" w:eastAsia="仿宋_GB2312"/>
          <w:b/>
          <w:sz w:val="32"/>
        </w:rPr>
        <w:t>本年支出685.57万元，</w:t>
      </w:r>
      <w:r>
        <w:rPr>
          <w:rFonts w:ascii="仿宋_GB2312" w:hAnsi="仿宋_GB2312" w:eastAsia="仿宋_GB2312"/>
          <w:b w:val="0"/>
          <w:sz w:val="32"/>
        </w:rPr>
        <w:t>其中：基本支出482.39万元，占70.36%；项目支出203.17万元，占29.64%；上缴上级支出0.00万元，占0.00%；经营支出0.00万元，占0.00%；对附属单位补助支出0.00万元，占0.00%。</w:t>
      </w:r>
    </w:p>
    <w:p w14:paraId="7AC3EAB7">
      <w:pPr>
        <w:spacing w:line="640" w:lineRule="exact"/>
        <w:ind w:firstLine="640"/>
        <w:jc w:val="both"/>
        <w:outlineLvl w:val="2"/>
      </w:pPr>
      <w:r>
        <w:rPr>
          <w:rFonts w:ascii="黑体" w:hAnsi="黑体" w:eastAsia="黑体"/>
          <w:sz w:val="32"/>
        </w:rPr>
        <w:t>四、财政拨款收入支出决算总体情况说明</w:t>
      </w:r>
    </w:p>
    <w:p w14:paraId="7966169F">
      <w:pPr>
        <w:spacing w:line="580" w:lineRule="exact"/>
        <w:ind w:firstLine="640"/>
        <w:jc w:val="both"/>
      </w:pPr>
      <w:r>
        <w:rPr>
          <w:rFonts w:ascii="仿宋_GB2312" w:hAnsi="仿宋_GB2312" w:eastAsia="仿宋_GB2312"/>
          <w:b/>
          <w:sz w:val="32"/>
        </w:rPr>
        <w:t>2024年度财政拨款收入总计667.16万元，</w:t>
      </w:r>
      <w:r>
        <w:rPr>
          <w:rFonts w:ascii="仿宋_GB2312" w:hAnsi="仿宋_GB2312" w:eastAsia="仿宋_GB2312"/>
          <w:b w:val="0"/>
          <w:sz w:val="32"/>
        </w:rPr>
        <w:t>其中：年初财政拨款结转和结余0.00万元，本年财政拨款收入667.16万元。</w:t>
      </w:r>
      <w:r>
        <w:rPr>
          <w:rFonts w:ascii="仿宋_GB2312" w:hAnsi="仿宋_GB2312" w:eastAsia="仿宋_GB2312"/>
          <w:b/>
          <w:sz w:val="32"/>
        </w:rPr>
        <w:t>财政拨款支出总计667.16万元，</w:t>
      </w:r>
      <w:r>
        <w:rPr>
          <w:rFonts w:ascii="仿宋_GB2312" w:hAnsi="仿宋_GB2312" w:eastAsia="仿宋_GB2312"/>
          <w:b w:val="0"/>
          <w:sz w:val="32"/>
        </w:rPr>
        <w:t>其中：年末财政拨款结转和结余0.00万元，本年财政拨款支出667.16万元。</w:t>
      </w:r>
    </w:p>
    <w:p w14:paraId="08FF483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增加123.48万元，增长22.71%，主要原因是：本年增加申请国家赔偿金项目及且末县人民检察院申请司法救助项目、中央转移支付资金项目经费，导致经费较上年增加。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年初预算数532.84万元，决算数667.16万元，预决算差异率25.21%，主要原因是：年中追加申请国家赔偿金项目及且末县人民检察院申请司法救助项目，导致预决算存在差异。</w:t>
      </w:r>
    </w:p>
    <w:p w14:paraId="20ED65F2">
      <w:pPr>
        <w:spacing w:line="640" w:lineRule="exact"/>
        <w:ind w:firstLine="640"/>
        <w:jc w:val="both"/>
        <w:outlineLvl w:val="2"/>
      </w:pPr>
      <w:r>
        <w:rPr>
          <w:rFonts w:ascii="黑体" w:hAnsi="黑体" w:eastAsia="黑体"/>
          <w:sz w:val="32"/>
        </w:rPr>
        <w:t>五、一般公共预算财政拨款支出决算情况说明</w:t>
      </w:r>
    </w:p>
    <w:p w14:paraId="15B2B899">
      <w:pPr>
        <w:spacing w:line="640" w:lineRule="exact"/>
        <w:ind w:firstLine="640"/>
        <w:jc w:val="both"/>
        <w:outlineLvl w:val="3"/>
      </w:pPr>
      <w:r>
        <w:rPr>
          <w:rFonts w:ascii="楷体_GB2312" w:hAnsi="楷体_GB2312" w:eastAsia="楷体_GB2312"/>
          <w:b/>
          <w:sz w:val="32"/>
        </w:rPr>
        <w:t>（一）一般公共预算财政拨款支出决算总体情况</w:t>
      </w:r>
    </w:p>
    <w:p w14:paraId="24338172">
      <w:pPr>
        <w:spacing w:line="580" w:lineRule="exact"/>
        <w:ind w:firstLine="640"/>
        <w:jc w:val="both"/>
      </w:pPr>
      <w:r>
        <w:rPr>
          <w:rFonts w:ascii="仿宋_GB2312" w:hAnsi="仿宋_GB2312" w:eastAsia="仿宋_GB2312"/>
          <w:b/>
          <w:sz w:val="32"/>
        </w:rPr>
        <w:t>2024年度一般公共预算财政拨款支出667.16万元，</w:t>
      </w:r>
      <w:r>
        <w:rPr>
          <w:rFonts w:ascii="仿宋_GB2312" w:hAnsi="仿宋_GB2312" w:eastAsia="仿宋_GB2312"/>
          <w:b w:val="0"/>
          <w:sz w:val="32"/>
        </w:rPr>
        <w:t>占本年支出合计的97.31%。</w:t>
      </w:r>
      <w:r>
        <w:rPr>
          <w:rFonts w:ascii="仿宋_GB2312" w:hAnsi="仿宋_GB2312" w:eastAsia="仿宋_GB2312"/>
          <w:b/>
          <w:sz w:val="32"/>
        </w:rPr>
        <w:t>与上年相比，</w:t>
      </w:r>
      <w:r>
        <w:rPr>
          <w:rFonts w:ascii="仿宋_GB2312" w:hAnsi="仿宋_GB2312" w:eastAsia="仿宋_GB2312"/>
          <w:b w:val="0"/>
          <w:sz w:val="32"/>
        </w:rPr>
        <w:t>增加123.48万元，增长22.71%，主要原因是：本年增加申请国家赔偿金项目及且末县人民检察院申请司法救助项目、中央转移支付资金项目经费，导致经费较上年增加。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年初预算数532.84万元，决算数667.16万元，预决算差异率25.21%，主要原因是：年中追加申请国家赔偿金项目及且末县人民检察院申请司法救助项目，导致预决算存在差异。</w:t>
      </w:r>
    </w:p>
    <w:p w14:paraId="1981F863">
      <w:pPr>
        <w:spacing w:line="640" w:lineRule="exact"/>
        <w:ind w:firstLine="640"/>
        <w:jc w:val="both"/>
        <w:outlineLvl w:val="3"/>
      </w:pPr>
      <w:r>
        <w:rPr>
          <w:rFonts w:ascii="楷体_GB2312" w:hAnsi="楷体_GB2312" w:eastAsia="楷体_GB2312"/>
          <w:b/>
          <w:sz w:val="32"/>
        </w:rPr>
        <w:t>（二）一般公共预算财政拨款支出决算结构情况</w:t>
      </w:r>
    </w:p>
    <w:p w14:paraId="21BFE9DA">
      <w:pPr>
        <w:spacing w:line="580" w:lineRule="exact"/>
        <w:ind w:firstLine="640"/>
        <w:jc w:val="both"/>
      </w:pPr>
      <w:r>
        <w:rPr>
          <w:rFonts w:ascii="仿宋_GB2312" w:hAnsi="仿宋_GB2312" w:eastAsia="仿宋_GB2312"/>
          <w:b w:val="0"/>
          <w:sz w:val="32"/>
        </w:rPr>
        <w:t>1.公共安全支出(类)567.81万元,占85.11%。</w:t>
      </w:r>
    </w:p>
    <w:p w14:paraId="3BAB7E7F">
      <w:pPr>
        <w:spacing w:line="580" w:lineRule="exact"/>
        <w:ind w:firstLine="640"/>
        <w:jc w:val="both"/>
      </w:pPr>
      <w:r>
        <w:rPr>
          <w:rFonts w:ascii="仿宋_GB2312" w:hAnsi="仿宋_GB2312" w:eastAsia="仿宋_GB2312"/>
          <w:b w:val="0"/>
          <w:sz w:val="32"/>
        </w:rPr>
        <w:t>2.教育支出(类)0.92万元,占0.14%。</w:t>
      </w:r>
    </w:p>
    <w:p w14:paraId="6926DC26">
      <w:pPr>
        <w:spacing w:line="580" w:lineRule="exact"/>
        <w:ind w:firstLine="640"/>
        <w:jc w:val="both"/>
      </w:pPr>
      <w:r>
        <w:rPr>
          <w:rFonts w:ascii="仿宋_GB2312" w:hAnsi="仿宋_GB2312" w:eastAsia="仿宋_GB2312"/>
          <w:b w:val="0"/>
          <w:sz w:val="32"/>
        </w:rPr>
        <w:t>3.社会保障和就业支出(类)47.3万元,占7.09%。</w:t>
      </w:r>
    </w:p>
    <w:p w14:paraId="7EC75DF0">
      <w:pPr>
        <w:spacing w:line="580" w:lineRule="exact"/>
        <w:ind w:firstLine="640"/>
        <w:jc w:val="both"/>
      </w:pPr>
      <w:r>
        <w:rPr>
          <w:rFonts w:ascii="仿宋_GB2312" w:hAnsi="仿宋_GB2312" w:eastAsia="仿宋_GB2312"/>
          <w:b w:val="0"/>
          <w:sz w:val="32"/>
        </w:rPr>
        <w:t>4.卫生健康支出(类)18.94万元,占2.84%。</w:t>
      </w:r>
    </w:p>
    <w:p w14:paraId="03E1795F">
      <w:pPr>
        <w:spacing w:line="580" w:lineRule="exact"/>
        <w:ind w:firstLine="640"/>
        <w:jc w:val="both"/>
      </w:pPr>
      <w:r>
        <w:rPr>
          <w:rFonts w:ascii="仿宋_GB2312" w:hAnsi="仿宋_GB2312" w:eastAsia="仿宋_GB2312"/>
          <w:b w:val="0"/>
          <w:sz w:val="32"/>
        </w:rPr>
        <w:t>5.住房保障支出(类)32.19万元,占4.82%。</w:t>
      </w:r>
    </w:p>
    <w:p w14:paraId="1E5C0A8A">
      <w:pPr>
        <w:spacing w:line="640" w:lineRule="exact"/>
        <w:ind w:firstLine="640"/>
        <w:jc w:val="both"/>
        <w:outlineLvl w:val="3"/>
      </w:pPr>
      <w:r>
        <w:rPr>
          <w:rFonts w:ascii="楷体_GB2312" w:hAnsi="楷体_GB2312" w:eastAsia="楷体_GB2312"/>
          <w:b/>
          <w:sz w:val="32"/>
        </w:rPr>
        <w:t>（三）一般公共预算财政拨款支出决算具体情况</w:t>
      </w:r>
    </w:p>
    <w:p w14:paraId="10EE700D">
      <w:pPr>
        <w:spacing w:line="580" w:lineRule="exact"/>
        <w:ind w:firstLine="640"/>
        <w:jc w:val="both"/>
      </w:pPr>
      <w:r>
        <w:rPr>
          <w:rFonts w:ascii="仿宋_GB2312" w:hAnsi="仿宋_GB2312" w:eastAsia="仿宋_GB2312"/>
          <w:b w:val="0"/>
          <w:sz w:val="32"/>
        </w:rPr>
        <w:t>1.公共安全支出(类)检察(款)行政运行(项):支出决算数为364.64万元，比上年决算减少16.81万元，下降4.41%,主要原因是：本年减少聘用人员工资，导致经费较上年减少。</w:t>
      </w:r>
    </w:p>
    <w:p w14:paraId="588A4D3C">
      <w:pPr>
        <w:spacing w:line="580" w:lineRule="exact"/>
        <w:ind w:firstLine="640"/>
        <w:jc w:val="both"/>
      </w:pPr>
      <w:r>
        <w:rPr>
          <w:rFonts w:ascii="仿宋_GB2312" w:hAnsi="仿宋_GB2312" w:eastAsia="仿宋_GB2312"/>
          <w:b w:val="0"/>
          <w:sz w:val="32"/>
        </w:rPr>
        <w:t>2.公共安全支出(类)检察(款)其他检察支出(项):支出决算数为203.17万元，比上年决算增加116.17万元，增长133.53%,主要原因是：本年增加申请国家赔偿金项目及且末县人民检察院申请司法救助项目</w:t>
      </w:r>
      <w:r>
        <w:rPr>
          <w:rFonts w:hint="eastAsia" w:ascii="仿宋_GB2312" w:hAnsi="仿宋_GB2312" w:eastAsia="仿宋_GB2312"/>
          <w:b w:val="0"/>
          <w:sz w:val="32"/>
          <w:lang w:eastAsia="zh-CN"/>
        </w:rPr>
        <w:t>、</w:t>
      </w:r>
      <w:r>
        <w:rPr>
          <w:rFonts w:ascii="仿宋_GB2312" w:hAnsi="仿宋_GB2312" w:eastAsia="仿宋_GB2312"/>
          <w:b w:val="0"/>
          <w:sz w:val="32"/>
        </w:rPr>
        <w:t>中央转移支付资金项目经费。</w:t>
      </w:r>
    </w:p>
    <w:p w14:paraId="6F6E7B6E">
      <w:pPr>
        <w:spacing w:line="580" w:lineRule="exact"/>
        <w:ind w:firstLine="640"/>
        <w:jc w:val="both"/>
      </w:pPr>
      <w:r>
        <w:rPr>
          <w:rFonts w:ascii="仿宋_GB2312" w:hAnsi="仿宋_GB2312" w:eastAsia="仿宋_GB2312"/>
          <w:b w:val="0"/>
          <w:sz w:val="32"/>
        </w:rPr>
        <w:t>3.教育支出(类)进修及培训(款)培训支出(项):支出决算数为0.92万元，比上年决算增加0.12万元，增长15.00%,主要原因是：为提升干部职工的职业技能、职业素养，提升工作效率，组织干部职工参加相关业务培训次数增加，相应的培训费增加。</w:t>
      </w:r>
    </w:p>
    <w:p w14:paraId="23FE2C2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4.社会保障和就业支出(类)行政事业单位养老支出(款)行政单位离退休(项):支出决算数为11.62万元，比上年决算增加3.39万元，增长41.19%,主要原因是：本年退休人员增加，退休费支出增加。</w:t>
      </w:r>
    </w:p>
    <w:p w14:paraId="252EA881">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29.21万元，比上年决算增加4.45万元，增长17.97%,主要原因是：本年在职人员增加，在职人员工资基数调增，养老缴费基数上涨，养老保险缴费较上年增加。</w:t>
      </w:r>
    </w:p>
    <w:p w14:paraId="4E8C3D27">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6.社会保障和就业支出(类)行政事业单位养老支出(款)机关事业单位职业年金缴费支出(项):支出决算数为6.46万元，比上年决算增加0.16万元，增长2.54%,主要原因是：本年新增退休人员</w:t>
      </w:r>
      <w:r>
        <w:rPr>
          <w:rFonts w:hint="eastAsia" w:ascii="仿宋_GB2312" w:hAnsi="仿宋_GB2312" w:eastAsia="仿宋_GB2312"/>
          <w:b w:val="0"/>
          <w:sz w:val="32"/>
          <w:lang w:eastAsia="zh-CN"/>
        </w:rPr>
        <w:t>职级较上年高</w:t>
      </w:r>
      <w:r>
        <w:rPr>
          <w:rFonts w:ascii="仿宋_GB2312" w:hAnsi="仿宋_GB2312" w:eastAsia="仿宋_GB2312"/>
          <w:b w:val="0"/>
          <w:sz w:val="32"/>
        </w:rPr>
        <w:t>，职业年金缴费支出增加。</w:t>
      </w:r>
    </w:p>
    <w:p w14:paraId="49ABC5D4">
      <w:pPr>
        <w:spacing w:line="580" w:lineRule="exact"/>
        <w:ind w:firstLine="640"/>
        <w:jc w:val="both"/>
      </w:pPr>
      <w:r>
        <w:rPr>
          <w:rFonts w:ascii="仿宋_GB2312" w:hAnsi="仿宋_GB2312" w:eastAsia="仿宋_GB2312"/>
          <w:b w:val="0"/>
          <w:sz w:val="32"/>
        </w:rPr>
        <w:t>7.卫生健康支出(类)行政事业单位医疗(款)行政单位医疗(项):支出决算数为12.96万元，比上年决算增加1.77万元，增长15.82%,主要原因是：本年在职人员增加，在职人员工资基数调增，医疗缴费基数上涨，行政单位医疗较上年增加。</w:t>
      </w:r>
    </w:p>
    <w:p w14:paraId="09D896A4">
      <w:pPr>
        <w:spacing w:line="580" w:lineRule="exact"/>
        <w:ind w:firstLine="640"/>
        <w:jc w:val="both"/>
      </w:pPr>
      <w:r>
        <w:rPr>
          <w:rFonts w:ascii="仿宋_GB2312" w:hAnsi="仿宋_GB2312" w:eastAsia="仿宋_GB2312"/>
          <w:b w:val="0"/>
          <w:sz w:val="32"/>
        </w:rPr>
        <w:t>8.卫生健康支出(类)行政事业单位医疗(款)公务员医疗补助(项):支出决算数为5.57万元，比上年决算增加0.75万元，增长15.56%,主要原因是：本年在职人员增加，在职人员工资基数调增，医疗缴费基数上涨，公务员医疗补助较上年增加。</w:t>
      </w:r>
    </w:p>
    <w:p w14:paraId="33409C87">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0.41万元，比上年决算减少0.24万元，下降36.92%,主要原因是：本年在职人员调入调出，人员职级不同，缴费基数不同，导致其他行政事业单位医疗较上年减少。</w:t>
      </w:r>
    </w:p>
    <w:p w14:paraId="0B5C9E94">
      <w:pPr>
        <w:spacing w:line="580" w:lineRule="exact"/>
        <w:ind w:firstLine="640"/>
        <w:jc w:val="both"/>
      </w:pPr>
      <w:r>
        <w:rPr>
          <w:rFonts w:ascii="仿宋_GB2312" w:hAnsi="仿宋_GB2312" w:eastAsia="仿宋_GB2312"/>
          <w:b w:val="0"/>
          <w:sz w:val="32"/>
        </w:rPr>
        <w:t>10.住房保障支出(类)住房改革支出(款)住房公积金(项):支出决算数为32.19万元，比上年决算增加13.71万元，增长74.19%,主要原因是：本年在职人员增加，住房公积金支出较上年增加。</w:t>
      </w:r>
    </w:p>
    <w:p w14:paraId="26233D59">
      <w:pPr>
        <w:spacing w:line="640" w:lineRule="exact"/>
        <w:ind w:firstLine="640"/>
        <w:jc w:val="both"/>
        <w:outlineLvl w:val="2"/>
      </w:pPr>
      <w:r>
        <w:rPr>
          <w:rFonts w:ascii="黑体" w:hAnsi="黑体" w:eastAsia="黑体"/>
          <w:sz w:val="32"/>
        </w:rPr>
        <w:t>六、一般公共预算财政拨款基本支出决算情况说明</w:t>
      </w:r>
    </w:p>
    <w:p w14:paraId="05CBF536">
      <w:pPr>
        <w:spacing w:line="580" w:lineRule="exact"/>
        <w:ind w:firstLine="640"/>
        <w:jc w:val="both"/>
      </w:pPr>
      <w:r>
        <w:rPr>
          <w:rFonts w:ascii="仿宋_GB2312" w:hAnsi="仿宋_GB2312" w:eastAsia="仿宋_GB2312"/>
          <w:b w:val="0"/>
          <w:sz w:val="32"/>
        </w:rPr>
        <w:t>2024年度一般公共预算财政拨款基本支出463.98万元，其中：</w:t>
      </w:r>
      <w:r>
        <w:rPr>
          <w:rFonts w:ascii="仿宋_GB2312" w:hAnsi="仿宋_GB2312" w:eastAsia="仿宋_GB2312"/>
          <w:b/>
          <w:sz w:val="32"/>
        </w:rPr>
        <w:t>人员经费438.87万元，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奖励金。</w:t>
      </w:r>
    </w:p>
    <w:p w14:paraId="498BF91A">
      <w:pPr>
        <w:spacing w:line="580" w:lineRule="exact"/>
        <w:ind w:firstLine="640"/>
        <w:jc w:val="both"/>
      </w:pPr>
      <w:r>
        <w:rPr>
          <w:rFonts w:ascii="仿宋_GB2312" w:hAnsi="仿宋_GB2312" w:eastAsia="仿宋_GB2312"/>
          <w:b/>
          <w:sz w:val="32"/>
        </w:rPr>
        <w:t>公用经费25.12万元，</w:t>
      </w:r>
      <w:r>
        <w:rPr>
          <w:rFonts w:ascii="仿宋_GB2312" w:hAnsi="仿宋_GB2312" w:eastAsia="仿宋_GB2312"/>
          <w:b w:val="0"/>
          <w:sz w:val="32"/>
        </w:rPr>
        <w:t>包括：办公费、手续费、水费、电费、物业管理费、差旅费、维修（护）费、培训费、劳务费、工会经费、福利费、公务用车运行维护费、其他商品和服务支出。</w:t>
      </w:r>
    </w:p>
    <w:p w14:paraId="08F54B83">
      <w:pPr>
        <w:spacing w:line="640" w:lineRule="exact"/>
        <w:ind w:firstLine="640"/>
        <w:jc w:val="both"/>
        <w:outlineLvl w:val="2"/>
      </w:pPr>
      <w:r>
        <w:rPr>
          <w:rFonts w:ascii="黑体" w:hAnsi="黑体" w:eastAsia="黑体"/>
          <w:sz w:val="32"/>
        </w:rPr>
        <w:t>七、政府性基金预算财政拨款收入支出决算情况说明</w:t>
      </w:r>
    </w:p>
    <w:p w14:paraId="5A07D436">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04238B55">
      <w:pPr>
        <w:spacing w:line="640" w:lineRule="exact"/>
        <w:ind w:firstLine="640"/>
        <w:jc w:val="both"/>
        <w:outlineLvl w:val="2"/>
      </w:pPr>
      <w:r>
        <w:rPr>
          <w:rFonts w:ascii="黑体" w:hAnsi="黑体" w:eastAsia="黑体"/>
          <w:sz w:val="32"/>
        </w:rPr>
        <w:t>八、国有资本经营预算财政拨款收入支出决算情况说明</w:t>
      </w:r>
    </w:p>
    <w:p w14:paraId="554E7BA7">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2517EDB">
      <w:pPr>
        <w:spacing w:line="640" w:lineRule="exact"/>
        <w:ind w:firstLine="640"/>
        <w:jc w:val="both"/>
        <w:outlineLvl w:val="2"/>
      </w:pPr>
      <w:r>
        <w:rPr>
          <w:rFonts w:ascii="黑体" w:hAnsi="黑体" w:eastAsia="黑体"/>
          <w:sz w:val="32"/>
        </w:rPr>
        <w:t>九、财政拨款“三公”经费支出决算情况说明</w:t>
      </w:r>
    </w:p>
    <w:p w14:paraId="0AE77B24">
      <w:pPr>
        <w:spacing w:line="580" w:lineRule="exact"/>
        <w:ind w:firstLine="640"/>
        <w:jc w:val="both"/>
      </w:pPr>
      <w:r>
        <w:rPr>
          <w:rFonts w:ascii="仿宋_GB2312" w:hAnsi="仿宋_GB2312" w:eastAsia="仿宋_GB2312"/>
          <w:b/>
          <w:sz w:val="32"/>
        </w:rPr>
        <w:t>2024年度财政拨款“三公”经费支出2.90万元，</w:t>
      </w:r>
      <w:r>
        <w:rPr>
          <w:rFonts w:ascii="仿宋_GB2312" w:hAnsi="仿宋_GB2312" w:eastAsia="仿宋_GB2312"/>
          <w:b w:val="0"/>
          <w:sz w:val="32"/>
        </w:rPr>
        <w:t>比上年减少12.10万元，下降80.67%，主要原因是：严格落实中央八项规定精神，厉行节约，使用公车次数减少，公务用车运行维护费减少。其中：因公出国（境）费支出0.00万元，占0.00%，比上年增加0.00万元，增长0.00%，主要原因是：2023年与2024年均未安排因公出国（境）费支出。公务用车购置及运行维护费支出2.90万元，占100.00%，比上年减少12.10万元，下降80.67%，主要原因是：严格落实中央八项规定精神，厉行节约，使用公车次数减少，公务用车运行维护费减少。公务接待费支出0.00万元，占0.00%，比上年增加0.00万元，增长0.00%，主要原因是：2023年与2024年均未安排公务接待费支出。</w:t>
      </w:r>
    </w:p>
    <w:p w14:paraId="4511DB9E">
      <w:pPr>
        <w:spacing w:line="580" w:lineRule="exact"/>
        <w:ind w:firstLine="640"/>
        <w:jc w:val="both"/>
      </w:pPr>
      <w:r>
        <w:rPr>
          <w:rFonts w:ascii="仿宋_GB2312" w:hAnsi="仿宋_GB2312" w:eastAsia="仿宋_GB2312"/>
          <w:b/>
          <w:sz w:val="32"/>
        </w:rPr>
        <w:t>具体情况如下：</w:t>
      </w:r>
    </w:p>
    <w:p w14:paraId="55C7C4FF">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62B9434F">
      <w:pPr>
        <w:spacing w:line="580" w:lineRule="exact"/>
        <w:ind w:firstLine="640"/>
        <w:jc w:val="both"/>
      </w:pPr>
      <w:r>
        <w:rPr>
          <w:rFonts w:ascii="仿宋_GB2312" w:hAnsi="仿宋_GB2312" w:eastAsia="仿宋_GB2312"/>
          <w:b w:val="0"/>
          <w:sz w:val="32"/>
        </w:rPr>
        <w:t>公务用车购置及运行维护费2.90万元，其中：公务用车购置费0.00万元，公务用车运行维护费2.90万元。公务用车运行维护费开支内容包括车辆加油费、维修费、保险费、审车费、过路费。公务用车购置数0辆，公务用车保有量5辆。国有资产占用情况中固定资产车辆5辆，与公务用车保有量差异原因是：本部门固定资产车辆与公务用车保有量一致无差异。</w:t>
      </w:r>
    </w:p>
    <w:p w14:paraId="1AB376C7">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0EC47D4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2.90万元，决算数2.90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2.90万元，决算数2.90万元，预决算差异率0.00%，主要原因是：严格按照预算执行，预决算无差异。公务接待费全年预算数0.00万元，决算数0.00万元，预决算差异率0.00%，主要原因是：本部门无公务接待费。</w:t>
      </w:r>
    </w:p>
    <w:p w14:paraId="7AF1E6D5">
      <w:pPr>
        <w:spacing w:line="640" w:lineRule="exact"/>
        <w:ind w:firstLine="640"/>
        <w:jc w:val="both"/>
        <w:outlineLvl w:val="2"/>
      </w:pPr>
      <w:r>
        <w:rPr>
          <w:rFonts w:ascii="黑体" w:hAnsi="黑体" w:eastAsia="黑体"/>
          <w:sz w:val="32"/>
        </w:rPr>
        <w:t>十、其他重要事项的情况说明</w:t>
      </w:r>
    </w:p>
    <w:p w14:paraId="706A2DE6">
      <w:pPr>
        <w:spacing w:line="640" w:lineRule="exact"/>
        <w:ind w:firstLine="640"/>
        <w:jc w:val="both"/>
        <w:outlineLvl w:val="3"/>
      </w:pPr>
      <w:r>
        <w:rPr>
          <w:rFonts w:ascii="楷体_GB2312" w:hAnsi="楷体_GB2312" w:eastAsia="楷体_GB2312"/>
          <w:b/>
          <w:sz w:val="32"/>
        </w:rPr>
        <w:t>（一）机关运行经费及公用经费支出情况</w:t>
      </w:r>
    </w:p>
    <w:p w14:paraId="300709C0">
      <w:pPr>
        <w:spacing w:line="580" w:lineRule="exact"/>
        <w:ind w:firstLine="640"/>
        <w:jc w:val="both"/>
      </w:pPr>
      <w:r>
        <w:rPr>
          <w:rFonts w:ascii="仿宋_GB2312" w:hAnsi="仿宋_GB2312" w:eastAsia="仿宋_GB2312"/>
          <w:b w:val="0"/>
          <w:sz w:val="32"/>
        </w:rPr>
        <w:t>2024年度新疆巴州且末县人民检察院（行政单位和参照公务员法管理事业单位）机关运行经费支出25.12万元，比上年减少1.84万元，下降6.82%，主要原因是：本年工会经费、物业管理费减少，机关运行经费支出减少。</w:t>
      </w:r>
    </w:p>
    <w:p w14:paraId="5CAC5373">
      <w:pPr>
        <w:spacing w:line="640" w:lineRule="exact"/>
        <w:ind w:firstLine="640"/>
        <w:jc w:val="both"/>
        <w:outlineLvl w:val="3"/>
      </w:pPr>
      <w:r>
        <w:rPr>
          <w:rFonts w:ascii="楷体_GB2312" w:hAnsi="楷体_GB2312" w:eastAsia="楷体_GB2312"/>
          <w:b/>
          <w:sz w:val="32"/>
        </w:rPr>
        <w:t>（二）政府采购情况</w:t>
      </w:r>
    </w:p>
    <w:p w14:paraId="56D155E0">
      <w:pPr>
        <w:spacing w:line="580" w:lineRule="exact"/>
        <w:ind w:firstLine="640"/>
        <w:jc w:val="both"/>
      </w:pPr>
      <w:r>
        <w:rPr>
          <w:rFonts w:ascii="仿宋_GB2312" w:hAnsi="仿宋_GB2312" w:eastAsia="仿宋_GB2312"/>
          <w:b w:val="0"/>
          <w:sz w:val="32"/>
        </w:rPr>
        <w:t>2024年度政府采购支出总额11.91万元，其中：政府采购货物支出3.99万元、政府采购工程支出0.00万元、政府采购服务支出7.92万元。</w:t>
      </w:r>
    </w:p>
    <w:p w14:paraId="1CFF752B">
      <w:pPr>
        <w:spacing w:line="580" w:lineRule="exact"/>
        <w:ind w:firstLine="640"/>
        <w:jc w:val="both"/>
      </w:pPr>
      <w:r>
        <w:rPr>
          <w:rFonts w:ascii="仿宋_GB2312" w:hAnsi="仿宋_GB2312" w:eastAsia="仿宋_GB2312"/>
          <w:b w:val="0"/>
          <w:sz w:val="32"/>
        </w:rPr>
        <w:t>授予中小企业合同金额3.99万元，占政府采购支出总额的33.50%，其中：授予小微企业合同金额3.99万元，占政府采购支出总额的33.50%。</w:t>
      </w:r>
    </w:p>
    <w:p w14:paraId="2546E3FD">
      <w:pPr>
        <w:spacing w:line="640" w:lineRule="exact"/>
        <w:ind w:firstLine="640"/>
        <w:jc w:val="both"/>
        <w:outlineLvl w:val="3"/>
      </w:pPr>
      <w:r>
        <w:rPr>
          <w:rFonts w:ascii="楷体_GB2312" w:hAnsi="楷体_GB2312" w:eastAsia="楷体_GB2312"/>
          <w:b/>
          <w:sz w:val="32"/>
        </w:rPr>
        <w:t>（三）国有资产占用情况说明</w:t>
      </w:r>
    </w:p>
    <w:p w14:paraId="428850B0">
      <w:pPr>
        <w:spacing w:line="580" w:lineRule="exact"/>
        <w:ind w:firstLine="640"/>
        <w:jc w:val="both"/>
      </w:pPr>
      <w:r>
        <w:rPr>
          <w:rFonts w:ascii="仿宋_GB2312" w:hAnsi="仿宋_GB2312" w:eastAsia="仿宋_GB2312"/>
          <w:b w:val="0"/>
          <w:sz w:val="32"/>
        </w:rPr>
        <w:t>截至2024年12月31日，房屋3,894.40平方米，价值1,165.31万元。车辆5辆，价值127.38万元，其中：副部（省）级及以上领导用车0辆、主要负责人用车0辆、机要通信用车0辆、应急保障用车0辆、执法执勤用车5辆、特种专业技术用车0辆、离退休干部服务用车0辆、其他用车0辆，其他用车主要是：本部门无其他用车。单价100万元（含）以上设备（不含车辆）0台（套）。</w:t>
      </w:r>
    </w:p>
    <w:p w14:paraId="347C0714">
      <w:pPr>
        <w:spacing w:line="640" w:lineRule="exact"/>
        <w:ind w:firstLine="640"/>
        <w:jc w:val="both"/>
        <w:outlineLvl w:val="2"/>
      </w:pPr>
      <w:r>
        <w:rPr>
          <w:rFonts w:ascii="黑体" w:hAnsi="黑体" w:eastAsia="黑体"/>
          <w:sz w:val="32"/>
        </w:rPr>
        <w:t>十一、预算绩效的情况说明</w:t>
      </w:r>
    </w:p>
    <w:p w14:paraId="2C78DCCA">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根据预算绩效管理要求，本部门2024年度预算绩效管理形成整体支出绩效自评表1个，全年预算总额685.57万元，实际执行总额685.57万元；预算绩效评价项目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218.17</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218.17</w:t>
      </w:r>
      <w:r>
        <w:rPr>
          <w:rFonts w:ascii="仿宋_GB2312" w:hAnsi="仿宋_GB2312" w:eastAsia="仿宋_GB2312"/>
          <w:b w:val="0"/>
          <w:sz w:val="32"/>
        </w:rPr>
        <w:t>万元。预算绩效管理取得的成效：一是围绕核心职能科学设定绩效指标，</w:t>
      </w:r>
      <w:bookmarkStart w:id="0" w:name="_GoBack"/>
      <w:bookmarkEnd w:id="0"/>
      <w:r>
        <w:rPr>
          <w:rFonts w:ascii="仿宋_GB2312" w:hAnsi="仿宋_GB2312" w:eastAsia="仿宋_GB2312"/>
          <w:b w:val="0"/>
          <w:sz w:val="32"/>
        </w:rPr>
        <w:t>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29C697C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D0B1753">
        <w:tblPrEx>
          <w:tblCellMar>
            <w:top w:w="0" w:type="dxa"/>
            <w:left w:w="108" w:type="dxa"/>
            <w:bottom w:w="0" w:type="dxa"/>
            <w:right w:w="108" w:type="dxa"/>
          </w:tblCellMar>
        </w:tblPrEx>
        <w:tc>
          <w:tcPr>
            <w:tcW w:w="8840" w:type="dxa"/>
            <w:gridSpan w:val="8"/>
            <w:vAlign w:val="center"/>
          </w:tcPr>
          <w:p w14:paraId="68D46467">
            <w:pPr>
              <w:jc w:val="center"/>
            </w:pPr>
            <w:r>
              <w:rPr>
                <w:rFonts w:ascii="宋体" w:hAnsi="宋体" w:eastAsia="宋体"/>
                <w:sz w:val="24"/>
              </w:rPr>
              <w:t>部门整体支出绩效自评表</w:t>
            </w:r>
          </w:p>
        </w:tc>
      </w:tr>
      <w:tr w14:paraId="290EA2E6">
        <w:tblPrEx>
          <w:tblCellMar>
            <w:top w:w="0" w:type="dxa"/>
            <w:left w:w="108" w:type="dxa"/>
            <w:bottom w:w="0" w:type="dxa"/>
            <w:right w:w="108" w:type="dxa"/>
          </w:tblCellMar>
        </w:tblPrEx>
        <w:tc>
          <w:tcPr>
            <w:tcW w:w="8840" w:type="dxa"/>
            <w:gridSpan w:val="8"/>
            <w:vAlign w:val="center"/>
          </w:tcPr>
          <w:p w14:paraId="2F5EB21D">
            <w:pPr>
              <w:jc w:val="center"/>
            </w:pPr>
            <w:r>
              <w:rPr>
                <w:rFonts w:ascii="宋体" w:hAnsi="宋体" w:eastAsia="宋体"/>
                <w:sz w:val="24"/>
              </w:rPr>
              <w:t>（2024年度）</w:t>
            </w:r>
          </w:p>
        </w:tc>
      </w:tr>
      <w:tr w14:paraId="7A103CD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1FF19">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A34B7">
            <w:pPr>
              <w:jc w:val="center"/>
            </w:pPr>
            <w:r>
              <w:rPr>
                <w:rFonts w:ascii="宋体" w:hAnsi="宋体" w:eastAsia="宋体"/>
                <w:sz w:val="16"/>
              </w:rPr>
              <w:t>新疆巴州且末县人民检察院</w:t>
            </w:r>
          </w:p>
        </w:tc>
      </w:tr>
      <w:tr w14:paraId="54A970E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F186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180D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54BB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9D68E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8B86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EBDF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AE8B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8D4CF">
            <w:pPr>
              <w:jc w:val="center"/>
            </w:pPr>
            <w:r>
              <w:rPr>
                <w:rFonts w:ascii="宋体" w:hAnsi="宋体" w:eastAsia="宋体"/>
                <w:sz w:val="16"/>
              </w:rPr>
              <w:t>得分</w:t>
            </w:r>
          </w:p>
        </w:tc>
      </w:tr>
      <w:tr w14:paraId="528C4FE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DE2B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5BDA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EAE9B">
            <w:pPr>
              <w:jc w:val="center"/>
            </w:pPr>
            <w:r>
              <w:rPr>
                <w:rFonts w:ascii="宋体" w:hAnsi="宋体" w:eastAsia="宋体"/>
                <w:sz w:val="16"/>
              </w:rPr>
              <w:t>532.84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C9A64">
            <w:pPr>
              <w:jc w:val="center"/>
            </w:pPr>
            <w:r>
              <w:rPr>
                <w:rFonts w:ascii="宋体" w:hAnsi="宋体" w:eastAsia="宋体"/>
                <w:sz w:val="16"/>
              </w:rPr>
              <w:t>685.57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89C17">
            <w:pPr>
              <w:jc w:val="center"/>
            </w:pPr>
            <w:r>
              <w:rPr>
                <w:rFonts w:ascii="宋体" w:hAnsi="宋体" w:eastAsia="宋体"/>
                <w:sz w:val="16"/>
              </w:rPr>
              <w:t>685.57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53A9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7776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A0755">
            <w:pPr>
              <w:jc w:val="center"/>
            </w:pPr>
            <w:r>
              <w:rPr>
                <w:rFonts w:ascii="宋体" w:hAnsi="宋体" w:eastAsia="宋体"/>
                <w:sz w:val="16"/>
              </w:rPr>
              <w:t>10</w:t>
            </w:r>
          </w:p>
        </w:tc>
      </w:tr>
      <w:tr w14:paraId="465C727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9CBC7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17885">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699E9">
            <w:pPr>
              <w:jc w:val="center"/>
            </w:pPr>
            <w:r>
              <w:rPr>
                <w:rFonts w:ascii="宋体" w:hAnsi="宋体" w:eastAsia="宋体"/>
                <w:sz w:val="16"/>
              </w:rPr>
              <w:t>67.00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002F7">
            <w:pPr>
              <w:jc w:val="center"/>
            </w:pPr>
            <w:r>
              <w:rPr>
                <w:rFonts w:ascii="宋体" w:hAnsi="宋体" w:eastAsia="宋体"/>
                <w:sz w:val="16"/>
              </w:rPr>
              <w:t>176.00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7372B">
            <w:pPr>
              <w:jc w:val="center"/>
            </w:pPr>
            <w:r>
              <w:rPr>
                <w:rFonts w:ascii="宋体" w:hAnsi="宋体" w:eastAsia="宋体"/>
                <w:sz w:val="16"/>
              </w:rPr>
              <w:t>176.00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AE5E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2E9D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65225">
            <w:pPr>
              <w:jc w:val="center"/>
            </w:pPr>
            <w:r>
              <w:rPr>
                <w:rFonts w:ascii="宋体" w:hAnsi="宋体" w:eastAsia="宋体"/>
                <w:sz w:val="16"/>
              </w:rPr>
              <w:t>-</w:t>
            </w:r>
          </w:p>
        </w:tc>
      </w:tr>
      <w:tr w14:paraId="4C7274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108D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73962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7FED9">
            <w:pPr>
              <w:jc w:val="center"/>
            </w:pPr>
            <w:r>
              <w:rPr>
                <w:rFonts w:ascii="宋体" w:hAnsi="宋体" w:eastAsia="宋体"/>
                <w:sz w:val="16"/>
              </w:rPr>
              <w:t>465.84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364CA">
            <w:pPr>
              <w:jc w:val="center"/>
            </w:pPr>
            <w:r>
              <w:rPr>
                <w:rFonts w:ascii="宋体" w:hAnsi="宋体" w:eastAsia="宋体"/>
                <w:sz w:val="16"/>
              </w:rPr>
              <w:t>509.57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0BD4E1">
            <w:pPr>
              <w:jc w:val="center"/>
            </w:pPr>
            <w:r>
              <w:rPr>
                <w:rFonts w:ascii="宋体" w:hAnsi="宋体" w:eastAsia="宋体"/>
                <w:sz w:val="16"/>
              </w:rPr>
              <w:t>509.57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C9B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6629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652B7">
            <w:pPr>
              <w:jc w:val="center"/>
            </w:pPr>
            <w:r>
              <w:rPr>
                <w:rFonts w:ascii="宋体" w:hAnsi="宋体" w:eastAsia="宋体"/>
                <w:sz w:val="16"/>
              </w:rPr>
              <w:t>-</w:t>
            </w:r>
          </w:p>
        </w:tc>
      </w:tr>
      <w:tr w14:paraId="246D2F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76B8A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41CA24">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A1FB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D68E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1011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DBC4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2F7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63291D">
            <w:pPr>
              <w:jc w:val="center"/>
            </w:pPr>
            <w:r>
              <w:rPr>
                <w:rFonts w:ascii="宋体" w:hAnsi="宋体" w:eastAsia="宋体"/>
                <w:sz w:val="16"/>
              </w:rPr>
              <w:t>-</w:t>
            </w:r>
          </w:p>
        </w:tc>
      </w:tr>
      <w:tr w14:paraId="4303ACB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3CB1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FECF8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285A8C">
            <w:pPr>
              <w:jc w:val="center"/>
            </w:pPr>
            <w:r>
              <w:rPr>
                <w:rFonts w:ascii="宋体" w:hAnsi="宋体" w:eastAsia="宋体"/>
                <w:sz w:val="16"/>
              </w:rPr>
              <w:t>实际完成情况</w:t>
            </w:r>
          </w:p>
        </w:tc>
      </w:tr>
      <w:tr w14:paraId="3333FA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3A2FA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2F72F7">
            <w:pPr>
              <w:jc w:val="both"/>
            </w:pPr>
            <w:r>
              <w:rPr>
                <w:rFonts w:ascii="宋体" w:hAnsi="宋体" w:eastAsia="宋体"/>
                <w:sz w:val="16"/>
              </w:rPr>
              <w:t>深化法律监督意识，落实相关监督机制，推动刑事、民事、行政和公益诉讼四大检察融合发展、一体履职，把法律监督贯穿融入</w:t>
            </w:r>
            <w:r>
              <w:rPr>
                <w:rFonts w:hint="eastAsia" w:ascii="宋体" w:hAnsi="宋体"/>
                <w:sz w:val="16"/>
                <w:lang w:eastAsia="zh-CN"/>
              </w:rPr>
              <w:t>法治国家、法治政府、法治社会一体建设</w:t>
            </w:r>
            <w:r>
              <w:rPr>
                <w:rFonts w:ascii="宋体" w:hAnsi="宋体" w:eastAsia="宋体"/>
                <w:sz w:val="16"/>
              </w:rPr>
              <w:t>。全面优化刑事检察监督，保障被监管人的合法权益；持续加强民事行政检察监督；大力推进公益诉讼检察；不断深化信访工作，加大对法律援助经费和司法救助资金的投入力度。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988A04">
            <w:pPr>
              <w:jc w:val="both"/>
            </w:pPr>
            <w:r>
              <w:rPr>
                <w:rFonts w:ascii="宋体" w:hAnsi="宋体" w:eastAsia="宋体"/>
                <w:sz w:val="16"/>
              </w:rPr>
              <w:t>深化法律监督意识，落实相关监督机制，推动刑事、民事、行政和公益诉讼四大检查融合发展、一体履职，把法律监督贯穿融入法治新疆、法治政府、法治社会一体建设，全年办理案件数602件，全年办理案件的结案率达到99%，检察建议采纳率达到100%。全面优化刑事检察监督，保障被监管人的合法权益；持续加强民行行政检察监督；大力推进公益诉讼检察；不断深化信访工作，加大对法律援助经费和司法救助资金的投入力度，群众信访案件满意度达到98%。打造忠诚干净担当的过硬检察队伍，保障检察业务工作正常运行。</w:t>
            </w:r>
          </w:p>
        </w:tc>
      </w:tr>
      <w:tr w14:paraId="68DF48B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A709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0FA7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B817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7F81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1154D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B0B6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C0634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5E99AA">
            <w:pPr>
              <w:jc w:val="center"/>
            </w:pPr>
            <w:r>
              <w:rPr>
                <w:rFonts w:ascii="宋体" w:hAnsi="宋体" w:eastAsia="宋体"/>
                <w:sz w:val="16"/>
              </w:rPr>
              <w:t>得分</w:t>
            </w:r>
          </w:p>
        </w:tc>
      </w:tr>
      <w:tr w14:paraId="1E40FFA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3AD45">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5E92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6B352">
            <w:pPr>
              <w:jc w:val="center"/>
            </w:pPr>
            <w:r>
              <w:rPr>
                <w:rFonts w:ascii="宋体" w:hAnsi="宋体" w:eastAsia="宋体"/>
                <w:sz w:val="16"/>
              </w:rPr>
              <w:t>全年法律监督办案数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3DB8C">
            <w:pPr>
              <w:jc w:val="center"/>
            </w:pPr>
            <w:r>
              <w:rPr>
                <w:rFonts w:ascii="宋体" w:hAnsi="宋体" w:eastAsia="宋体"/>
                <w:sz w:val="16"/>
              </w:rPr>
              <w:t>&gt;=600件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11611">
            <w:pPr>
              <w:jc w:val="center"/>
            </w:pPr>
            <w:r>
              <w:rPr>
                <w:rFonts w:ascii="宋体" w:hAnsi="宋体" w:eastAsia="宋体"/>
                <w:sz w:val="16"/>
              </w:rPr>
              <w:t>且末县人民检察院工作报告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671D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58C8C">
            <w:pPr>
              <w:jc w:val="center"/>
            </w:pPr>
            <w:r>
              <w:rPr>
                <w:rFonts w:ascii="宋体" w:hAnsi="宋体" w:eastAsia="宋体"/>
                <w:sz w:val="16"/>
              </w:rPr>
              <w:t>602件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EADA0">
            <w:pPr>
              <w:jc w:val="center"/>
            </w:pPr>
            <w:r>
              <w:rPr>
                <w:rFonts w:ascii="宋体" w:hAnsi="宋体" w:eastAsia="宋体"/>
                <w:sz w:val="16"/>
              </w:rPr>
              <w:t>30</w:t>
            </w:r>
          </w:p>
        </w:tc>
      </w:tr>
      <w:tr w14:paraId="008F00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3C766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1B56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B38A39">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C90AB">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FED7D">
            <w:pPr>
              <w:jc w:val="center"/>
            </w:pPr>
            <w:r>
              <w:rPr>
                <w:rFonts w:ascii="宋体" w:hAnsi="宋体" w:eastAsia="宋体"/>
                <w:sz w:val="16"/>
              </w:rPr>
              <w:t>且末县人民检察院工作报告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04694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8BA0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A2DCF">
            <w:pPr>
              <w:jc w:val="center"/>
            </w:pPr>
            <w:r>
              <w:rPr>
                <w:rFonts w:ascii="宋体" w:hAnsi="宋体" w:eastAsia="宋体"/>
                <w:sz w:val="16"/>
              </w:rPr>
              <w:t>30</w:t>
            </w:r>
          </w:p>
        </w:tc>
      </w:tr>
      <w:tr w14:paraId="022B7B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CE53D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1BEA6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C92AC">
            <w:pPr>
              <w:jc w:val="center"/>
            </w:pPr>
            <w:r>
              <w:rPr>
                <w:rFonts w:ascii="宋体" w:hAnsi="宋体" w:eastAsia="宋体"/>
                <w:sz w:val="16"/>
              </w:rPr>
              <w:t>全年办理案件的结案率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2AD61">
            <w:pPr>
              <w:jc w:val="center"/>
            </w:pPr>
            <w:r>
              <w:rPr>
                <w:rFonts w:ascii="宋体" w:hAnsi="宋体" w:eastAsia="宋体"/>
                <w:sz w:val="16"/>
              </w:rPr>
              <w:t>&gt;=87%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5DD6E">
            <w:pPr>
              <w:jc w:val="center"/>
            </w:pPr>
            <w:r>
              <w:rPr>
                <w:rFonts w:ascii="宋体" w:hAnsi="宋体" w:eastAsia="宋体"/>
                <w:sz w:val="16"/>
              </w:rPr>
              <w:t>且末县人民检察院工作报告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37E9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53B025">
            <w:pPr>
              <w:jc w:val="center"/>
            </w:pPr>
            <w:r>
              <w:rPr>
                <w:rFonts w:ascii="宋体" w:hAnsi="宋体" w:eastAsia="宋体"/>
                <w:sz w:val="16"/>
              </w:rPr>
              <w: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FA737">
            <w:pPr>
              <w:jc w:val="center"/>
            </w:pPr>
            <w:r>
              <w:rPr>
                <w:rFonts w:ascii="宋体" w:hAnsi="宋体" w:eastAsia="宋体"/>
                <w:sz w:val="16"/>
              </w:rPr>
              <w:t>20</w:t>
            </w:r>
          </w:p>
        </w:tc>
      </w:tr>
      <w:tr w14:paraId="750CF70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5E305">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7463E">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FB9E6">
            <w:pPr>
              <w:jc w:val="center"/>
            </w:pPr>
            <w:r>
              <w:rPr>
                <w:rFonts w:ascii="宋体" w:hAnsi="宋体" w:eastAsia="宋体"/>
                <w:sz w:val="16"/>
              </w:rPr>
              <w:t>群众信访案件满意度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00F41">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B9316">
            <w:pPr>
              <w:jc w:val="center"/>
            </w:pPr>
            <w:r>
              <w:rPr>
                <w:rFonts w:ascii="宋体" w:hAnsi="宋体" w:eastAsia="宋体"/>
                <w:sz w:val="16"/>
              </w:rPr>
              <w:t>且末县人民检察院工作报告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EF5F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6FD10">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88DB2">
            <w:pPr>
              <w:jc w:val="center"/>
            </w:pPr>
            <w:r>
              <w:rPr>
                <w:rFonts w:ascii="宋体" w:hAnsi="宋体" w:eastAsia="宋体"/>
                <w:sz w:val="16"/>
              </w:rPr>
              <w:t>10</w:t>
            </w:r>
          </w:p>
        </w:tc>
      </w:tr>
    </w:tbl>
    <w:p w14:paraId="19B779FD">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26"/>
        <w:gridCol w:w="696"/>
        <w:gridCol w:w="631"/>
      </w:tblGrid>
      <w:tr w14:paraId="1B2009E0">
        <w:tblPrEx>
          <w:tblCellMar>
            <w:top w:w="0" w:type="dxa"/>
            <w:left w:w="108" w:type="dxa"/>
            <w:bottom w:w="0" w:type="dxa"/>
            <w:right w:w="108" w:type="dxa"/>
          </w:tblCellMar>
        </w:tblPrEx>
        <w:tc>
          <w:tcPr>
            <w:tcW w:w="8848" w:type="dxa"/>
            <w:gridSpan w:val="14"/>
            <w:vAlign w:val="center"/>
          </w:tcPr>
          <w:p w14:paraId="5CBD846D">
            <w:pPr>
              <w:jc w:val="center"/>
            </w:pPr>
            <w:r>
              <w:rPr>
                <w:rFonts w:ascii="宋体" w:hAnsi="宋体" w:eastAsia="宋体"/>
                <w:sz w:val="24"/>
              </w:rPr>
              <w:t>项目支出绩效自评表</w:t>
            </w:r>
          </w:p>
        </w:tc>
      </w:tr>
      <w:tr w14:paraId="074A46AA">
        <w:tblPrEx>
          <w:tblCellMar>
            <w:top w:w="0" w:type="dxa"/>
            <w:left w:w="108" w:type="dxa"/>
            <w:bottom w:w="0" w:type="dxa"/>
            <w:right w:w="108" w:type="dxa"/>
          </w:tblCellMar>
        </w:tblPrEx>
        <w:tc>
          <w:tcPr>
            <w:tcW w:w="8848" w:type="dxa"/>
            <w:gridSpan w:val="14"/>
            <w:vAlign w:val="center"/>
          </w:tcPr>
          <w:p w14:paraId="0E1137FD">
            <w:pPr>
              <w:jc w:val="center"/>
            </w:pPr>
            <w:r>
              <w:rPr>
                <w:rFonts w:ascii="宋体" w:hAnsi="宋体" w:eastAsia="宋体"/>
                <w:sz w:val="24"/>
              </w:rPr>
              <w:t>(2024年度)</w:t>
            </w:r>
          </w:p>
        </w:tc>
      </w:tr>
      <w:tr w14:paraId="38C13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CB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EF9674">
            <w:pPr>
              <w:jc w:val="center"/>
            </w:pPr>
            <w:r>
              <w:rPr>
                <w:rFonts w:ascii="宋体" w:hAnsi="宋体" w:eastAsia="宋体"/>
                <w:sz w:val="16"/>
              </w:rPr>
              <w:t>2024年河北援疆资金</w:t>
            </w:r>
          </w:p>
        </w:tc>
      </w:tr>
      <w:tr w14:paraId="369A03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EC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7C130F">
            <w:pPr>
              <w:jc w:val="center"/>
            </w:pPr>
            <w:r>
              <w:rPr>
                <w:rFonts w:ascii="宋体" w:hAnsi="宋体" w:eastAsia="宋体"/>
                <w:sz w:val="16"/>
              </w:rPr>
              <w:t>新疆巴州且末县人民检察院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0A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3D44A2">
            <w:pPr>
              <w:jc w:val="center"/>
            </w:pPr>
            <w:r>
              <w:rPr>
                <w:rFonts w:ascii="宋体" w:hAnsi="宋体" w:eastAsia="宋体"/>
                <w:sz w:val="16"/>
              </w:rPr>
              <w:t>新疆巴州且末县人民检察院</w:t>
            </w:r>
          </w:p>
        </w:tc>
      </w:tr>
      <w:tr w14:paraId="4EF383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D6E6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F18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DB3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56D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45A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F185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7D9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66DF">
            <w:pPr>
              <w:jc w:val="center"/>
            </w:pPr>
            <w:r>
              <w:rPr>
                <w:rFonts w:ascii="宋体" w:hAnsi="宋体" w:eastAsia="宋体"/>
                <w:sz w:val="16"/>
              </w:rPr>
              <w:t>得分</w:t>
            </w:r>
          </w:p>
        </w:tc>
      </w:tr>
      <w:tr w14:paraId="0CFEDB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C45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8F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8BAA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387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C9DB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DC9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3EE2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0DA0">
            <w:pPr>
              <w:jc w:val="center"/>
            </w:pPr>
            <w:r>
              <w:rPr>
                <w:rFonts w:ascii="宋体" w:hAnsi="宋体" w:eastAsia="宋体"/>
                <w:sz w:val="16"/>
              </w:rPr>
              <w:t>10.00</w:t>
            </w:r>
          </w:p>
        </w:tc>
      </w:tr>
      <w:tr w14:paraId="3BCC0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BD5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4B4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5D3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327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CBC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2F9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A3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F530">
            <w:pPr>
              <w:jc w:val="center"/>
            </w:pPr>
            <w:r>
              <w:rPr>
                <w:rFonts w:ascii="宋体" w:hAnsi="宋体" w:eastAsia="宋体"/>
                <w:sz w:val="16"/>
              </w:rPr>
              <w:t>-</w:t>
            </w:r>
          </w:p>
        </w:tc>
      </w:tr>
      <w:tr w14:paraId="7E58B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43D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4B05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4EDC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3A34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045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419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81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573D">
            <w:pPr>
              <w:jc w:val="center"/>
            </w:pPr>
            <w:r>
              <w:rPr>
                <w:rFonts w:ascii="宋体" w:hAnsi="宋体" w:eastAsia="宋体"/>
                <w:sz w:val="16"/>
              </w:rPr>
              <w:t>-</w:t>
            </w:r>
          </w:p>
        </w:tc>
      </w:tr>
      <w:tr w14:paraId="21E5D7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0B4B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CFA6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0BAE50">
            <w:pPr>
              <w:jc w:val="center"/>
            </w:pPr>
            <w:r>
              <w:rPr>
                <w:rFonts w:ascii="宋体" w:hAnsi="宋体" w:eastAsia="宋体"/>
                <w:sz w:val="16"/>
              </w:rPr>
              <w:t>总体目标完成情况</w:t>
            </w:r>
          </w:p>
        </w:tc>
      </w:tr>
      <w:tr w14:paraId="27EB2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F3F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20B3D">
            <w:pPr>
              <w:jc w:val="both"/>
            </w:pPr>
            <w:r>
              <w:rPr>
                <w:rFonts w:ascii="宋体" w:hAnsi="宋体" w:eastAsia="宋体"/>
                <w:sz w:val="16"/>
              </w:rPr>
              <w:t>加强检察文化交流学习力度，有效提升检察干警综合素质素养和专业办案能力，确保按政策保障2名援疆干部及16名办公人员工作经费</w:t>
            </w:r>
            <w:r>
              <w:rPr>
                <w:rFonts w:hint="eastAsia" w:ascii="宋体" w:hAnsi="宋体"/>
                <w:sz w:val="16"/>
                <w:lang w:eastAsia="zh-CN"/>
              </w:rPr>
              <w:t>，为</w:t>
            </w:r>
            <w:r>
              <w:rPr>
                <w:rFonts w:ascii="宋体" w:hAnsi="宋体" w:eastAsia="宋体"/>
                <w:sz w:val="16"/>
              </w:rPr>
              <w:t>推动巴州检察工作持续稳步发展</w:t>
            </w:r>
            <w:r>
              <w:rPr>
                <w:rFonts w:hint="eastAsia" w:ascii="宋体" w:hAnsi="宋体"/>
                <w:sz w:val="16"/>
                <w:lang w:eastAsia="zh-CN"/>
              </w:rPr>
              <w:t>，为</w:t>
            </w:r>
            <w:r>
              <w:rPr>
                <w:rFonts w:ascii="宋体" w:hAnsi="宋体" w:eastAsia="宋体"/>
                <w:sz w:val="16"/>
              </w:rPr>
              <w:t>努力实现新疆社会稳定和长治久安总目标提供智力支持和人才保障，做好援疆检察官津贴补贴发放工作等经费支出，确保资金及时支付。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B06AAC">
            <w:pPr>
              <w:jc w:val="both"/>
            </w:pPr>
            <w:r>
              <w:rPr>
                <w:rFonts w:ascii="宋体" w:hAnsi="宋体" w:eastAsia="宋体"/>
                <w:sz w:val="16"/>
              </w:rPr>
              <w:t>本年度保障办公人员数量16人，保障援疆干部人数2人，资金到位率以及资金支付及时率均达到100%，人均运转经费0.833万元，有效提升了检察干警综合素质和专业办案能力，检察干警满意度达到96.25%。</w:t>
            </w:r>
          </w:p>
        </w:tc>
      </w:tr>
      <w:tr w14:paraId="3A0CB2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8B4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66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3C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7D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D60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19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ACD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B7C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B9B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DE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F51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D68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2D2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8561">
            <w:pPr>
              <w:jc w:val="center"/>
            </w:pPr>
            <w:r>
              <w:rPr>
                <w:rFonts w:ascii="宋体" w:hAnsi="宋体" w:eastAsia="宋体"/>
                <w:sz w:val="16"/>
              </w:rPr>
              <w:t>偏差原因分析及改进措施</w:t>
            </w:r>
          </w:p>
        </w:tc>
      </w:tr>
      <w:tr w14:paraId="053F10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4BD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530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409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89A5">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E606">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C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09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1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7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F3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E3B6">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0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F2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20C0">
            <w:pPr>
              <w:jc w:val="center"/>
            </w:pPr>
          </w:p>
        </w:tc>
      </w:tr>
      <w:tr w14:paraId="350E5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04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4F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67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E5FB">
            <w:pPr>
              <w:jc w:val="center"/>
            </w:pPr>
            <w:r>
              <w:rPr>
                <w:rFonts w:ascii="宋体" w:hAnsi="宋体" w:eastAsia="宋体"/>
                <w:sz w:val="16"/>
              </w:rPr>
              <w:t>保障援疆干部人数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CB0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2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B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0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C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6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40E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1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76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75B4">
            <w:pPr>
              <w:jc w:val="center"/>
            </w:pPr>
          </w:p>
        </w:tc>
      </w:tr>
      <w:tr w14:paraId="60853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8B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D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4C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59A4">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F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0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54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8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3B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B9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5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D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9E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B14E">
            <w:pPr>
              <w:jc w:val="center"/>
            </w:pPr>
          </w:p>
        </w:tc>
      </w:tr>
      <w:tr w14:paraId="6C8B0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9A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1C7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59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34E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D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0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04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5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0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F8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8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3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E9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07D1">
            <w:pPr>
              <w:jc w:val="center"/>
            </w:pPr>
          </w:p>
        </w:tc>
      </w:tr>
      <w:tr w14:paraId="66AA0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E2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E5E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38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B8BA">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54E1">
            <w:pPr>
              <w:jc w:val="center"/>
            </w:pPr>
            <w:r>
              <w:rPr>
                <w:rFonts w:ascii="宋体" w:hAnsi="宋体" w:eastAsia="宋体"/>
                <w:sz w:val="16"/>
              </w:rPr>
              <w:t>&lt;=0.833万元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9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D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4B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01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4B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E72B">
            <w:pPr>
              <w:jc w:val="center"/>
            </w:pPr>
            <w:r>
              <w:rPr>
                <w:rFonts w:ascii="宋体" w:hAnsi="宋体" w:eastAsia="宋体"/>
                <w:sz w:val="16"/>
              </w:rPr>
              <w:t>=0.833万元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4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1E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60BD">
            <w:pPr>
              <w:jc w:val="center"/>
            </w:pPr>
          </w:p>
        </w:tc>
      </w:tr>
      <w:tr w14:paraId="621E3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EE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00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2B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C2D7">
            <w:pPr>
              <w:jc w:val="center"/>
            </w:pPr>
            <w:r>
              <w:rPr>
                <w:rFonts w:ascii="宋体" w:hAnsi="宋体" w:eastAsia="宋体"/>
                <w:sz w:val="16"/>
              </w:rPr>
              <w:t>提升检察干部综合素质素养和专业办案能力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3BE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0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0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7E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B4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F5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50B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9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6E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BAA0">
            <w:pPr>
              <w:jc w:val="center"/>
            </w:pPr>
          </w:p>
        </w:tc>
      </w:tr>
      <w:tr w14:paraId="67DC1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4D1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30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37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2764">
            <w:pPr>
              <w:jc w:val="center"/>
            </w:pPr>
            <w:r>
              <w:rPr>
                <w:rFonts w:ascii="宋体" w:hAnsi="宋体" w:eastAsia="宋体"/>
                <w:sz w:val="16"/>
              </w:rPr>
              <w:t>检察干警满意度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8F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C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A1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BB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08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3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51EE">
            <w:pPr>
              <w:jc w:val="center"/>
            </w:pPr>
            <w:r>
              <w:rPr>
                <w:rFonts w:ascii="宋体" w:hAnsi="宋体" w:eastAsia="宋体"/>
                <w:sz w:val="16"/>
              </w:rPr>
              <w:t>=96.25%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4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4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743A">
            <w:pPr>
              <w:jc w:val="center"/>
            </w:pPr>
          </w:p>
        </w:tc>
      </w:tr>
      <w:tr w14:paraId="61D2FF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C7FD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7E0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357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842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C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ECB7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16A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DAF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92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EBC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FE7EE"/>
        </w:tc>
      </w:tr>
    </w:tbl>
    <w:p w14:paraId="4CEE5408">
      <w:r>
        <w:br w:type="page"/>
      </w:r>
    </w:p>
    <w:p w14:paraId="7CA0A797">
      <w:pPr>
        <w:spacing w:line="640" w:lineRule="exact"/>
        <w:ind w:firstLine="640"/>
        <w:jc w:val="both"/>
        <w:outlineLvl w:val="2"/>
      </w:pPr>
      <w:r>
        <w:rPr>
          <w:rFonts w:ascii="黑体" w:hAnsi="黑体" w:eastAsia="黑体"/>
          <w:sz w:val="32"/>
        </w:rPr>
        <w:t>十二、其他需说明的事项</w:t>
      </w:r>
    </w:p>
    <w:p w14:paraId="4C402D4A">
      <w:pPr>
        <w:spacing w:line="580" w:lineRule="exact"/>
        <w:ind w:firstLine="640"/>
        <w:jc w:val="both"/>
      </w:pPr>
      <w:r>
        <w:rPr>
          <w:rFonts w:ascii="仿宋_GB2312" w:hAnsi="仿宋_GB2312" w:eastAsia="仿宋_GB2312"/>
          <w:b w:val="0"/>
          <w:sz w:val="32"/>
        </w:rPr>
        <w:t>本年本部门SM项目3个，全年预算数203.17万元，全年执行数203.17万元。</w:t>
      </w:r>
    </w:p>
    <w:p w14:paraId="5D249C10">
      <w:r>
        <w:br w:type="page"/>
      </w:r>
    </w:p>
    <w:p w14:paraId="4C3D3A84">
      <w:pPr>
        <w:spacing w:line="240" w:lineRule="auto"/>
        <w:jc w:val="center"/>
        <w:outlineLvl w:val="1"/>
      </w:pPr>
      <w:r>
        <w:rPr>
          <w:rFonts w:ascii="黑体" w:hAnsi="黑体" w:eastAsia="黑体"/>
          <w:sz w:val="32"/>
        </w:rPr>
        <w:t>第三部分 专业名词解释</w:t>
      </w:r>
    </w:p>
    <w:p w14:paraId="20EE3AE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1D4B1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2D378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66987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ED00C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D93A4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859C9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8E6C40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5E1BD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7A448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1D6380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AAD36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442EAE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0767D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31E7FD3">
      <w:r>
        <w:br w:type="page"/>
      </w:r>
    </w:p>
    <w:p w14:paraId="1DBD5D43">
      <w:pPr>
        <w:spacing w:line="240" w:lineRule="auto"/>
        <w:jc w:val="center"/>
        <w:outlineLvl w:val="1"/>
      </w:pPr>
      <w:r>
        <w:rPr>
          <w:rFonts w:ascii="黑体" w:hAnsi="黑体" w:eastAsia="黑体"/>
          <w:sz w:val="32"/>
        </w:rPr>
        <w:t>第四部分 部门决算报表（见附表）</w:t>
      </w:r>
    </w:p>
    <w:p w14:paraId="08DCE60D">
      <w:pPr>
        <w:spacing w:line="240" w:lineRule="auto"/>
        <w:ind w:firstLine="640"/>
        <w:jc w:val="both"/>
      </w:pPr>
      <w:r>
        <w:rPr>
          <w:rFonts w:ascii="仿宋_GB2312" w:hAnsi="仿宋_GB2312" w:eastAsia="仿宋_GB2312"/>
          <w:b w:val="0"/>
          <w:sz w:val="32"/>
        </w:rPr>
        <w:t>一、《收入支出决算总表》</w:t>
      </w:r>
    </w:p>
    <w:p w14:paraId="563AC58A">
      <w:pPr>
        <w:spacing w:line="240" w:lineRule="auto"/>
        <w:ind w:firstLine="640"/>
        <w:jc w:val="both"/>
      </w:pPr>
      <w:r>
        <w:rPr>
          <w:rFonts w:ascii="仿宋_GB2312" w:hAnsi="仿宋_GB2312" w:eastAsia="仿宋_GB2312"/>
          <w:b w:val="0"/>
          <w:sz w:val="32"/>
        </w:rPr>
        <w:t>二、《收入决算表》</w:t>
      </w:r>
    </w:p>
    <w:p w14:paraId="1FCAA676">
      <w:pPr>
        <w:spacing w:line="240" w:lineRule="auto"/>
        <w:ind w:firstLine="640"/>
        <w:jc w:val="both"/>
      </w:pPr>
      <w:r>
        <w:rPr>
          <w:rFonts w:ascii="仿宋_GB2312" w:hAnsi="仿宋_GB2312" w:eastAsia="仿宋_GB2312"/>
          <w:b w:val="0"/>
          <w:sz w:val="32"/>
        </w:rPr>
        <w:t>三、《支出决算表》</w:t>
      </w:r>
    </w:p>
    <w:p w14:paraId="244DCEF3">
      <w:pPr>
        <w:spacing w:line="240" w:lineRule="auto"/>
        <w:ind w:firstLine="640"/>
        <w:jc w:val="both"/>
      </w:pPr>
      <w:r>
        <w:rPr>
          <w:rFonts w:ascii="仿宋_GB2312" w:hAnsi="仿宋_GB2312" w:eastAsia="仿宋_GB2312"/>
          <w:b w:val="0"/>
          <w:sz w:val="32"/>
        </w:rPr>
        <w:t>四、《财政拨款收入支出决算总表》</w:t>
      </w:r>
    </w:p>
    <w:p w14:paraId="5558407E">
      <w:pPr>
        <w:spacing w:line="240" w:lineRule="auto"/>
        <w:ind w:firstLine="640"/>
        <w:jc w:val="both"/>
      </w:pPr>
      <w:r>
        <w:rPr>
          <w:rFonts w:ascii="仿宋_GB2312" w:hAnsi="仿宋_GB2312" w:eastAsia="仿宋_GB2312"/>
          <w:b w:val="0"/>
          <w:sz w:val="32"/>
        </w:rPr>
        <w:t>五、《一般公共预算财政拨款支出决算表》</w:t>
      </w:r>
    </w:p>
    <w:p w14:paraId="1747589E">
      <w:pPr>
        <w:spacing w:line="240" w:lineRule="auto"/>
        <w:ind w:firstLine="640"/>
        <w:jc w:val="both"/>
      </w:pPr>
      <w:r>
        <w:rPr>
          <w:rFonts w:ascii="仿宋_GB2312" w:hAnsi="仿宋_GB2312" w:eastAsia="仿宋_GB2312"/>
          <w:b w:val="0"/>
          <w:sz w:val="32"/>
        </w:rPr>
        <w:t>六、《一般公共预算财政拨款基本支出决算表》</w:t>
      </w:r>
    </w:p>
    <w:p w14:paraId="19F1DD3D">
      <w:pPr>
        <w:spacing w:line="240" w:lineRule="auto"/>
        <w:ind w:firstLine="640"/>
        <w:jc w:val="both"/>
      </w:pPr>
      <w:r>
        <w:rPr>
          <w:rFonts w:ascii="仿宋_GB2312" w:hAnsi="仿宋_GB2312" w:eastAsia="仿宋_GB2312"/>
          <w:b w:val="0"/>
          <w:sz w:val="32"/>
        </w:rPr>
        <w:t>七、《政府性基金预算财政拨款收入支出决算表》</w:t>
      </w:r>
    </w:p>
    <w:p w14:paraId="0AB26632">
      <w:pPr>
        <w:spacing w:line="240" w:lineRule="auto"/>
        <w:ind w:firstLine="640"/>
        <w:jc w:val="both"/>
      </w:pPr>
      <w:r>
        <w:rPr>
          <w:rFonts w:ascii="仿宋_GB2312" w:hAnsi="仿宋_GB2312" w:eastAsia="仿宋_GB2312"/>
          <w:b w:val="0"/>
          <w:sz w:val="32"/>
        </w:rPr>
        <w:t>八、《国有资本经营预算财政拨款收入支出决算表》</w:t>
      </w:r>
    </w:p>
    <w:p w14:paraId="06232353">
      <w:pPr>
        <w:spacing w:line="240" w:lineRule="auto"/>
        <w:ind w:firstLine="640"/>
        <w:jc w:val="both"/>
      </w:pPr>
      <w:r>
        <w:rPr>
          <w:rFonts w:ascii="仿宋_GB2312" w:hAnsi="仿宋_GB2312" w:eastAsia="仿宋_GB2312"/>
          <w:b w:val="0"/>
          <w:sz w:val="32"/>
        </w:rPr>
        <w:t>九、《财政拨款“三公”经费支出决算表》</w:t>
      </w:r>
    </w:p>
    <w:p w14:paraId="6136300F">
      <w:pPr>
        <w:spacing w:line="240" w:lineRule="auto"/>
        <w:ind w:firstLine="640"/>
        <w:jc w:val="both"/>
      </w:pPr>
    </w:p>
    <w:p w14:paraId="2EE0868F">
      <w:pPr>
        <w:spacing w:line="240" w:lineRule="auto"/>
        <w:ind w:firstLine="640"/>
        <w:jc w:val="both"/>
      </w:pPr>
    </w:p>
    <w:p w14:paraId="65C06F26">
      <w:pPr>
        <w:spacing w:line="240" w:lineRule="auto"/>
        <w:ind w:firstLine="640"/>
        <w:jc w:val="both"/>
      </w:pPr>
    </w:p>
    <w:p w14:paraId="65E6CAD5">
      <w:pPr>
        <w:spacing w:line="240" w:lineRule="auto"/>
        <w:ind w:firstLine="640"/>
        <w:jc w:val="both"/>
      </w:pPr>
    </w:p>
    <w:p w14:paraId="26FEFEF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48327C"/>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DB29F9"/>
    <w:rsid w:val="4F3F074E"/>
    <w:rsid w:val="50DB5F45"/>
    <w:rsid w:val="52F92565"/>
    <w:rsid w:val="543D17CB"/>
    <w:rsid w:val="55DA564E"/>
    <w:rsid w:val="56E07045"/>
    <w:rsid w:val="583059FA"/>
    <w:rsid w:val="587E6212"/>
    <w:rsid w:val="5AFC6609"/>
    <w:rsid w:val="5FA17648"/>
    <w:rsid w:val="5FD320BD"/>
    <w:rsid w:val="605A49B9"/>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5215</Words>
  <Characters>5915</Characters>
  <Lines>0</Lines>
  <Paragraphs>0</Paragraphs>
  <TotalTime>7</TotalTime>
  <ScaleCrop>false</ScaleCrop>
  <LinksUpToDate>false</LinksUpToDate>
  <CharactersWithSpaces>5923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2025-09-11T07:57:44Z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