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新疆巴州焉耆县人民检察院2024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6DE743">
      <w:r>
        <w:br w:type="page"/>
      </w:r>
    </w:p>
    <w:p w14:paraId="14684DC6">
      <w:pPr>
        <w:spacing w:line="640" w:lineRule="exact"/>
        <w:jc w:val="center"/>
        <w:outlineLvl w:val="1"/>
      </w:pPr>
      <w:r>
        <w:rPr>
          <w:rFonts w:ascii="黑体" w:hAnsi="黑体" w:eastAsia="黑体"/>
          <w:sz w:val="32"/>
        </w:rPr>
        <w:t>第一部分 部门概况</w:t>
      </w:r>
    </w:p>
    <w:p w14:paraId="6DD19860">
      <w:pPr>
        <w:spacing w:line="640" w:lineRule="exact"/>
        <w:ind w:firstLine="640"/>
        <w:jc w:val="both"/>
        <w:outlineLvl w:val="2"/>
      </w:pPr>
      <w:r>
        <w:rPr>
          <w:rFonts w:ascii="黑体" w:hAnsi="黑体" w:eastAsia="黑体"/>
          <w:sz w:val="32"/>
        </w:rPr>
        <w:t>一、主要职能</w:t>
      </w:r>
    </w:p>
    <w:p w14:paraId="79979906">
      <w:pPr>
        <w:spacing w:line="580" w:lineRule="exact"/>
        <w:ind w:firstLine="640"/>
        <w:jc w:val="both"/>
      </w:pPr>
      <w:r>
        <w:rPr>
          <w:rFonts w:ascii="仿宋_GB2312" w:hAnsi="仿宋_GB2312" w:eastAsia="仿宋_GB2312"/>
          <w:sz w:val="32"/>
        </w:rPr>
        <w:t>（一）深入贯彻习近平新时代中国特色社会主义思想，深入贯彻党的路线方针政策和决策部署，聚焦社会稳定和长治久安总目标，统一全院检察人员思想和行动，坚持党对检察工作的绝对领导，坚决维护习近平总书记的核心地位，坚决维护党中央权威和集中统一领导。</w:t>
      </w:r>
    </w:p>
    <w:p w14:paraId="501204ED">
      <w:pPr>
        <w:spacing w:line="580" w:lineRule="exact"/>
        <w:ind w:firstLine="640"/>
        <w:jc w:val="both"/>
      </w:pPr>
      <w:r>
        <w:rPr>
          <w:rFonts w:ascii="仿宋_GB2312" w:hAnsi="仿宋_GB2312" w:eastAsia="仿宋_GB2312"/>
          <w:sz w:val="32"/>
        </w:rPr>
        <w:t>（二）依法向焉耆回族自治县人民代表大会及其常务委员会提出议案。</w:t>
      </w:r>
    </w:p>
    <w:p w14:paraId="737139A0">
      <w:pPr>
        <w:spacing w:line="580" w:lineRule="exact"/>
        <w:ind w:firstLine="640"/>
        <w:jc w:val="both"/>
      </w:pPr>
      <w:r>
        <w:rPr>
          <w:rFonts w:ascii="仿宋_GB2312" w:hAnsi="仿宋_GB2312" w:eastAsia="仿宋_GB2312"/>
          <w:sz w:val="32"/>
        </w:rPr>
        <w:t>（三）贯彻落实检察工作方针、总体规划，完成检察工作任务。</w:t>
      </w:r>
    </w:p>
    <w:p w14:paraId="1C7C7EE9">
      <w:pPr>
        <w:spacing w:line="580" w:lineRule="exact"/>
        <w:ind w:firstLine="640"/>
        <w:jc w:val="both"/>
      </w:pPr>
      <w:r>
        <w:rPr>
          <w:rFonts w:ascii="仿宋_GB2312" w:hAnsi="仿宋_GB2312" w:eastAsia="仿宋_GB2312"/>
          <w:sz w:val="32"/>
        </w:rPr>
        <w:t>（四）依法开展对刑事犯罪案件的审查批准逮捕、决定逮捕、审查起诉工作。</w:t>
      </w:r>
    </w:p>
    <w:p w14:paraId="01250170">
      <w:pPr>
        <w:spacing w:line="580" w:lineRule="exact"/>
        <w:ind w:firstLine="640"/>
        <w:jc w:val="both"/>
      </w:pPr>
      <w:r>
        <w:rPr>
          <w:rFonts w:ascii="仿宋_GB2312" w:hAnsi="仿宋_GB2312" w:eastAsia="仿宋_GB2312"/>
          <w:sz w:val="32"/>
        </w:rPr>
        <w:t>（五）负责应由焉耆回族自治县人民检察院承办的刑事、民事、行政诉讼活动及刑事、民事、行政判决和裁定等生效法律文书执行的法律监督工作。</w:t>
      </w:r>
    </w:p>
    <w:p w14:paraId="7ECCFE2A">
      <w:pPr>
        <w:spacing w:line="580" w:lineRule="exact"/>
        <w:ind w:firstLine="640"/>
        <w:jc w:val="both"/>
      </w:pPr>
      <w:r>
        <w:rPr>
          <w:rFonts w:ascii="仿宋_GB2312" w:hAnsi="仿宋_GB2312" w:eastAsia="仿宋_GB2312"/>
          <w:sz w:val="32"/>
        </w:rPr>
        <w:t>（六）负责对焉耆回族自治县人民法院已发生法律效力、确有错误的判决和裁定，依法提请上级人民检察院向上级人民法院提出抗诉。</w:t>
      </w:r>
    </w:p>
    <w:p w14:paraId="5B340DDD">
      <w:pPr>
        <w:spacing w:line="580" w:lineRule="exact"/>
        <w:ind w:firstLine="640"/>
        <w:jc w:val="both"/>
      </w:pPr>
      <w:r>
        <w:rPr>
          <w:rFonts w:ascii="仿宋_GB2312" w:hAnsi="仿宋_GB2312" w:eastAsia="仿宋_GB2312"/>
          <w:sz w:val="32"/>
        </w:rPr>
        <w:t>（七）负责应由焉耆回族自治县人民检察院承办的提起公益诉讼工作。</w:t>
      </w:r>
    </w:p>
    <w:p w14:paraId="43F8C257">
      <w:pPr>
        <w:spacing w:line="580" w:lineRule="exact"/>
        <w:ind w:firstLine="640"/>
        <w:jc w:val="both"/>
      </w:pPr>
      <w:r>
        <w:rPr>
          <w:rFonts w:ascii="仿宋_GB2312" w:hAnsi="仿宋_GB2312" w:eastAsia="仿宋_GB2312"/>
          <w:sz w:val="32"/>
        </w:rPr>
        <w:t>（八）</w:t>
      </w:r>
      <w:r>
        <w:rPr>
          <w:rFonts w:hint="eastAsia" w:ascii="仿宋_GB2312" w:hAnsi="仿宋_GB2312" w:eastAsia="仿宋_GB2312"/>
          <w:sz w:val="32"/>
          <w:lang w:eastAsia="zh-CN"/>
        </w:rPr>
        <w:t>负责</w:t>
      </w:r>
      <w:r>
        <w:rPr>
          <w:rFonts w:ascii="仿宋_GB2312" w:hAnsi="仿宋_GB2312" w:eastAsia="仿宋_GB2312"/>
          <w:sz w:val="32"/>
        </w:rPr>
        <w:t>由焉耆回族自治县人民检察院承办的对安置教育机构、看守所、社区矫正机构等执法活动的法律监督工作。</w:t>
      </w:r>
    </w:p>
    <w:p w14:paraId="23757C2D">
      <w:pPr>
        <w:spacing w:line="580" w:lineRule="exact"/>
        <w:ind w:firstLine="640"/>
        <w:jc w:val="both"/>
      </w:pPr>
      <w:r>
        <w:rPr>
          <w:rFonts w:ascii="仿宋_GB2312" w:hAnsi="仿宋_GB2312" w:eastAsia="仿宋_GB2312"/>
          <w:sz w:val="32"/>
        </w:rPr>
        <w:t>（九）受理向焉耆回族自治县人民检察院的控告申诉，开展控告申诉检察工作。</w:t>
      </w:r>
    </w:p>
    <w:p w14:paraId="6BE57583">
      <w:pPr>
        <w:spacing w:line="580" w:lineRule="exact"/>
        <w:ind w:firstLine="640"/>
        <w:jc w:val="both"/>
      </w:pPr>
      <w:r>
        <w:rPr>
          <w:rFonts w:ascii="仿宋_GB2312" w:hAnsi="仿宋_GB2312" w:eastAsia="仿宋_GB2312"/>
          <w:sz w:val="32"/>
        </w:rPr>
        <w:t>（十）开展检察应用和理论研究工作。</w:t>
      </w:r>
    </w:p>
    <w:p w14:paraId="76BC45F0">
      <w:pPr>
        <w:spacing w:line="580" w:lineRule="exact"/>
        <w:ind w:firstLine="640"/>
        <w:jc w:val="both"/>
      </w:pPr>
      <w:r>
        <w:rPr>
          <w:rFonts w:ascii="仿宋_GB2312" w:hAnsi="仿宋_GB2312" w:eastAsia="仿宋_GB2312"/>
          <w:sz w:val="32"/>
        </w:rPr>
        <w:t>（十一）负责本院队伍建设和思想政治工作。依法管理检察官及其他检察人员的工作，开展检察机关教育培训工作。</w:t>
      </w:r>
    </w:p>
    <w:p w14:paraId="0727C6C9">
      <w:pPr>
        <w:spacing w:line="580" w:lineRule="exact"/>
        <w:ind w:firstLine="640"/>
        <w:jc w:val="both"/>
      </w:pPr>
      <w:r>
        <w:rPr>
          <w:rFonts w:ascii="仿宋_GB2312" w:hAnsi="仿宋_GB2312" w:eastAsia="仿宋_GB2312"/>
          <w:sz w:val="32"/>
        </w:rPr>
        <w:t>（十二）开展本院检务督察工作。</w:t>
      </w:r>
    </w:p>
    <w:p w14:paraId="03B29333">
      <w:pPr>
        <w:spacing w:line="580" w:lineRule="exact"/>
        <w:ind w:firstLine="640"/>
        <w:jc w:val="both"/>
      </w:pPr>
      <w:r>
        <w:rPr>
          <w:rFonts w:ascii="仿宋_GB2312" w:hAnsi="仿宋_GB2312" w:eastAsia="仿宋_GB2312"/>
          <w:sz w:val="32"/>
        </w:rPr>
        <w:t>（十三）开展检察机关的财务装备工作，检察技术信息工作。</w:t>
      </w:r>
    </w:p>
    <w:p w14:paraId="65F46012">
      <w:pPr>
        <w:spacing w:line="580" w:lineRule="exact"/>
        <w:ind w:firstLine="640"/>
        <w:jc w:val="both"/>
      </w:pPr>
      <w:r>
        <w:rPr>
          <w:rFonts w:ascii="仿宋_GB2312" w:hAnsi="仿宋_GB2312" w:eastAsia="仿宋_GB2312"/>
          <w:sz w:val="32"/>
        </w:rPr>
        <w:t>（十四）负责其他应当由焉耆回族自治县人民检察院承办的事项。</w:t>
      </w:r>
    </w:p>
    <w:p w14:paraId="10AF841E">
      <w:pPr>
        <w:spacing w:line="640" w:lineRule="exact"/>
        <w:ind w:firstLine="640"/>
        <w:jc w:val="both"/>
        <w:outlineLvl w:val="2"/>
      </w:pPr>
      <w:r>
        <w:rPr>
          <w:rFonts w:ascii="黑体" w:hAnsi="黑体" w:eastAsia="黑体"/>
          <w:sz w:val="32"/>
        </w:rPr>
        <w:t>二、机构设置及人员情况</w:t>
      </w:r>
    </w:p>
    <w:p w14:paraId="1215F168">
      <w:pPr>
        <w:spacing w:line="580" w:lineRule="exact"/>
        <w:ind w:firstLine="640"/>
        <w:jc w:val="both"/>
      </w:pPr>
      <w:r>
        <w:rPr>
          <w:rFonts w:ascii="仿宋_GB2312" w:hAnsi="仿宋_GB2312" w:eastAsia="仿宋_GB2312"/>
          <w:sz w:val="32"/>
        </w:rPr>
        <w:t>新疆巴州焉耆县人民检察院2024年度，实有人数42人，其中：在职人员29人，增加0人；离休人员0人，增加0人；退休人员13人,增加1人。</w:t>
      </w:r>
    </w:p>
    <w:p w14:paraId="1FAE5FCD">
      <w:pPr>
        <w:spacing w:line="580" w:lineRule="exact"/>
        <w:ind w:firstLine="640"/>
        <w:jc w:val="both"/>
      </w:pPr>
      <w:r>
        <w:rPr>
          <w:rFonts w:ascii="仿宋_GB2312" w:hAnsi="仿宋_GB2312" w:eastAsia="仿宋_GB2312"/>
          <w:sz w:val="32"/>
        </w:rPr>
        <w:t>新疆巴州焉耆县人民检察院无下属预算单位，下设5个科室，分别是：办公室、第一检察部、第二检察部、第三检察部、政治部。</w:t>
      </w:r>
    </w:p>
    <w:p w14:paraId="7CE7059B">
      <w:r>
        <w:br w:type="page"/>
      </w:r>
    </w:p>
    <w:p w14:paraId="6313A9D6">
      <w:pPr>
        <w:spacing w:line="240" w:lineRule="auto"/>
        <w:jc w:val="center"/>
        <w:outlineLvl w:val="1"/>
      </w:pPr>
      <w:r>
        <w:rPr>
          <w:rFonts w:ascii="黑体" w:hAnsi="黑体" w:eastAsia="黑体"/>
          <w:sz w:val="32"/>
        </w:rPr>
        <w:t>第二部分 部门决算情况说明</w:t>
      </w:r>
    </w:p>
    <w:p w14:paraId="338DB21E">
      <w:pPr>
        <w:spacing w:line="640" w:lineRule="exact"/>
        <w:ind w:firstLine="640"/>
        <w:jc w:val="both"/>
        <w:outlineLvl w:val="2"/>
      </w:pPr>
      <w:r>
        <w:rPr>
          <w:rFonts w:ascii="黑体" w:hAnsi="黑体" w:eastAsia="黑体"/>
          <w:sz w:val="32"/>
        </w:rPr>
        <w:t>一、收入支出决算总体情况说明</w:t>
      </w:r>
    </w:p>
    <w:p w14:paraId="1FC16FE3">
      <w:pPr>
        <w:spacing w:line="580" w:lineRule="exact"/>
        <w:ind w:firstLine="640"/>
        <w:jc w:val="both"/>
      </w:pPr>
      <w:r>
        <w:rPr>
          <w:rFonts w:ascii="仿宋_GB2312" w:hAnsi="仿宋_GB2312" w:eastAsia="仿宋_GB2312"/>
          <w:b/>
          <w:sz w:val="32"/>
        </w:rPr>
        <w:t>2024年度收入总计960.25万元，</w:t>
      </w:r>
      <w:r>
        <w:rPr>
          <w:rFonts w:ascii="仿宋_GB2312" w:hAnsi="仿宋_GB2312" w:eastAsia="仿宋_GB2312"/>
          <w:b w:val="0"/>
          <w:sz w:val="32"/>
        </w:rPr>
        <w:t>其中：本年收入合计920.13万元，使用非财政拨款结余（含专用结余）0.00万元，年初结转和结余40.12万元。</w:t>
      </w:r>
    </w:p>
    <w:p w14:paraId="59DC6B8F">
      <w:pPr>
        <w:spacing w:line="580" w:lineRule="exact"/>
        <w:ind w:firstLine="640"/>
        <w:jc w:val="both"/>
      </w:pPr>
      <w:r>
        <w:rPr>
          <w:rFonts w:ascii="仿宋_GB2312" w:hAnsi="仿宋_GB2312" w:eastAsia="仿宋_GB2312"/>
          <w:b/>
          <w:sz w:val="32"/>
        </w:rPr>
        <w:t>2024年度支出总计960.25万元，</w:t>
      </w:r>
      <w:r>
        <w:rPr>
          <w:rFonts w:ascii="仿宋_GB2312" w:hAnsi="仿宋_GB2312" w:eastAsia="仿宋_GB2312"/>
          <w:b w:val="0"/>
          <w:sz w:val="32"/>
        </w:rPr>
        <w:t>其中：本年支出合计943.40万元，结余分配0.00万元，年末结转和结余16.84万元。</w:t>
      </w:r>
    </w:p>
    <w:p w14:paraId="50B78F94">
      <w:pPr>
        <w:spacing w:line="580" w:lineRule="exact"/>
        <w:ind w:firstLine="640"/>
        <w:jc w:val="both"/>
      </w:pPr>
      <w:r>
        <w:rPr>
          <w:rFonts w:ascii="仿宋_GB2312" w:hAnsi="仿宋_GB2312" w:eastAsia="仿宋_GB2312"/>
          <w:b w:val="0"/>
          <w:sz w:val="32"/>
        </w:rPr>
        <w:t>收入支出总体与上年相比，增加56.58万元，增长6.26%，主要原因是：本年人员工资调薪，社保、公积金基数调整增加，相应人员经费增加；河北援疆专项经费增加；本年增加司法救助金项目，导致经费较上年增加。</w:t>
      </w:r>
    </w:p>
    <w:p w14:paraId="6B77F737">
      <w:pPr>
        <w:spacing w:line="640" w:lineRule="exact"/>
        <w:ind w:firstLine="640"/>
        <w:jc w:val="both"/>
        <w:outlineLvl w:val="2"/>
      </w:pPr>
      <w:r>
        <w:rPr>
          <w:rFonts w:ascii="黑体" w:hAnsi="黑体" w:eastAsia="黑体"/>
          <w:sz w:val="32"/>
        </w:rPr>
        <w:t>二、收入决算情况说明</w:t>
      </w:r>
    </w:p>
    <w:p w14:paraId="22DBDA7E">
      <w:pPr>
        <w:spacing w:line="580" w:lineRule="exact"/>
        <w:ind w:firstLine="640"/>
        <w:jc w:val="both"/>
      </w:pPr>
      <w:r>
        <w:rPr>
          <w:rFonts w:ascii="仿宋_GB2312" w:hAnsi="仿宋_GB2312" w:eastAsia="仿宋_GB2312"/>
          <w:b/>
          <w:sz w:val="32"/>
        </w:rPr>
        <w:t>本年收入920.13万元，</w:t>
      </w:r>
      <w:r>
        <w:rPr>
          <w:rFonts w:ascii="仿宋_GB2312" w:hAnsi="仿宋_GB2312" w:eastAsia="仿宋_GB2312"/>
          <w:b w:val="0"/>
          <w:sz w:val="32"/>
        </w:rPr>
        <w:t>其中：财政拨款收入901.72万元，占98.00%；上级补助收入0.00万元，占0.00%；事业收入0.00万元，占0.00%；经营收入0.00万元，占0.00%；附属单位上缴收入0.00万元，占0.00%；其他收入18.41万元，占2.00%。</w:t>
      </w:r>
    </w:p>
    <w:p w14:paraId="15C2DA8E">
      <w:pPr>
        <w:spacing w:line="640" w:lineRule="exact"/>
        <w:ind w:firstLine="640"/>
        <w:jc w:val="both"/>
        <w:outlineLvl w:val="2"/>
      </w:pPr>
      <w:r>
        <w:rPr>
          <w:rFonts w:ascii="黑体" w:hAnsi="黑体" w:eastAsia="黑体"/>
          <w:sz w:val="32"/>
        </w:rPr>
        <w:t>三、支出决算情况说明</w:t>
      </w:r>
    </w:p>
    <w:p w14:paraId="5288737E">
      <w:pPr>
        <w:spacing w:line="580" w:lineRule="exact"/>
        <w:ind w:firstLine="640"/>
        <w:jc w:val="both"/>
      </w:pPr>
      <w:r>
        <w:rPr>
          <w:rFonts w:ascii="仿宋_GB2312" w:hAnsi="仿宋_GB2312" w:eastAsia="仿宋_GB2312"/>
          <w:b/>
          <w:sz w:val="32"/>
        </w:rPr>
        <w:t>本年支出943.40万元，</w:t>
      </w:r>
      <w:r>
        <w:rPr>
          <w:rFonts w:ascii="仿宋_GB2312" w:hAnsi="仿宋_GB2312" w:eastAsia="仿宋_GB2312"/>
          <w:b w:val="0"/>
          <w:sz w:val="32"/>
        </w:rPr>
        <w:t>其中：基本支出780.40万元，占82.72%；项目支出163.00万元，占17.28%；上缴上级支出0.00万元，占0.00%；经营支出0.00万元，占0.00%；对附属单位补助支出0.00万元，占0.00%。</w:t>
      </w:r>
    </w:p>
    <w:p w14:paraId="52173BD2">
      <w:pPr>
        <w:spacing w:line="640" w:lineRule="exact"/>
        <w:ind w:firstLine="640"/>
        <w:jc w:val="both"/>
        <w:outlineLvl w:val="2"/>
      </w:pPr>
      <w:r>
        <w:rPr>
          <w:rFonts w:ascii="黑体" w:hAnsi="黑体" w:eastAsia="黑体"/>
          <w:sz w:val="32"/>
        </w:rPr>
        <w:t>四、财政拨款收入支出决算总体情况说明</w:t>
      </w:r>
    </w:p>
    <w:p w14:paraId="6FAB3DFA">
      <w:pPr>
        <w:spacing w:line="580" w:lineRule="exact"/>
        <w:ind w:firstLine="640"/>
        <w:jc w:val="both"/>
      </w:pPr>
      <w:r>
        <w:rPr>
          <w:rFonts w:ascii="仿宋_GB2312" w:hAnsi="仿宋_GB2312" w:eastAsia="仿宋_GB2312"/>
          <w:b/>
          <w:sz w:val="32"/>
        </w:rPr>
        <w:t>2024年度财政拨款收入总计901.72万元，</w:t>
      </w:r>
      <w:r>
        <w:rPr>
          <w:rFonts w:ascii="仿宋_GB2312" w:hAnsi="仿宋_GB2312" w:eastAsia="仿宋_GB2312"/>
          <w:b w:val="0"/>
          <w:sz w:val="32"/>
        </w:rPr>
        <w:t>其中：年初财政拨款结转和结余0.00万元，本年财政拨款收入901.72万元。</w:t>
      </w:r>
      <w:r>
        <w:rPr>
          <w:rFonts w:ascii="仿宋_GB2312" w:hAnsi="仿宋_GB2312" w:eastAsia="仿宋_GB2312"/>
          <w:b/>
          <w:sz w:val="32"/>
        </w:rPr>
        <w:t>财政拨款支出总计901.72万元，</w:t>
      </w:r>
      <w:r>
        <w:rPr>
          <w:rFonts w:ascii="仿宋_GB2312" w:hAnsi="仿宋_GB2312" w:eastAsia="仿宋_GB2312"/>
          <w:b w:val="0"/>
          <w:sz w:val="32"/>
        </w:rPr>
        <w:t>其中：年末财政拨款结转和结余0.00万元，本年财政拨款支出901.72万元。</w:t>
      </w:r>
    </w:p>
    <w:p w14:paraId="2F3C069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增加57.60万元，增长6.82%，主要原因是：本年人员工资调薪，社保、公积金基数调整增加，相应人员经费增加；本年增加司法救助金项目，导致经费较上年增加。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年初预算数844.52万元，决算数901.72万元，预决算差异率6.77%，主要原因是：年中追加司法救助金项目及为民办实事项目，导致预决算存在差异。</w:t>
      </w:r>
    </w:p>
    <w:p w14:paraId="636B4B68">
      <w:pPr>
        <w:spacing w:line="640" w:lineRule="exact"/>
        <w:ind w:firstLine="640"/>
        <w:jc w:val="both"/>
        <w:outlineLvl w:val="2"/>
      </w:pPr>
      <w:r>
        <w:rPr>
          <w:rFonts w:ascii="黑体" w:hAnsi="黑体" w:eastAsia="黑体"/>
          <w:sz w:val="32"/>
        </w:rPr>
        <w:t>五、一般公共预算财政拨款支出决算情况说明</w:t>
      </w:r>
    </w:p>
    <w:p w14:paraId="0DD08938">
      <w:pPr>
        <w:spacing w:line="640" w:lineRule="exact"/>
        <w:ind w:firstLine="640"/>
        <w:jc w:val="both"/>
        <w:outlineLvl w:val="3"/>
      </w:pPr>
      <w:r>
        <w:rPr>
          <w:rFonts w:ascii="楷体_GB2312" w:hAnsi="楷体_GB2312" w:eastAsia="楷体_GB2312"/>
          <w:b/>
          <w:sz w:val="32"/>
        </w:rPr>
        <w:t>（一）一般公共预算财政拨款支出决算总体情况</w:t>
      </w:r>
    </w:p>
    <w:p w14:paraId="72C74DAC">
      <w:pPr>
        <w:spacing w:line="580" w:lineRule="exact"/>
        <w:ind w:firstLine="640"/>
        <w:jc w:val="both"/>
      </w:pPr>
      <w:r>
        <w:rPr>
          <w:rFonts w:ascii="仿宋_GB2312" w:hAnsi="仿宋_GB2312" w:eastAsia="仿宋_GB2312"/>
          <w:b/>
          <w:sz w:val="32"/>
        </w:rPr>
        <w:t>2024年度一般公共预算财政拨款支出901.72万元，</w:t>
      </w:r>
      <w:r>
        <w:rPr>
          <w:rFonts w:ascii="仿宋_GB2312" w:hAnsi="仿宋_GB2312" w:eastAsia="仿宋_GB2312"/>
          <w:b w:val="0"/>
          <w:sz w:val="32"/>
        </w:rPr>
        <w:t>占本年支出合计的95.58%。</w:t>
      </w:r>
      <w:r>
        <w:rPr>
          <w:rFonts w:ascii="仿宋_GB2312" w:hAnsi="仿宋_GB2312" w:eastAsia="仿宋_GB2312"/>
          <w:b/>
          <w:sz w:val="32"/>
        </w:rPr>
        <w:t>与上年相比，</w:t>
      </w:r>
      <w:r>
        <w:rPr>
          <w:rFonts w:ascii="仿宋_GB2312" w:hAnsi="仿宋_GB2312" w:eastAsia="仿宋_GB2312"/>
          <w:b w:val="0"/>
          <w:sz w:val="32"/>
        </w:rPr>
        <w:t>增加57.60万元，增长6.82%，主要原因是：本年人员工资调薪，社保、公积金基数调整增加，相应人员经费增加；本年增加司法救助金项目，导致经费较上年增加。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年初预算数844.52万元，决算数901.72万元，预决算差异率6.77%，主要原因是：年中追加司法救助金项目及为民办实事项目，导致预决算存在差异。</w:t>
      </w:r>
    </w:p>
    <w:p w14:paraId="64DCDF21">
      <w:pPr>
        <w:spacing w:line="640" w:lineRule="exact"/>
        <w:ind w:firstLine="640"/>
        <w:jc w:val="both"/>
        <w:outlineLvl w:val="3"/>
      </w:pPr>
      <w:r>
        <w:rPr>
          <w:rFonts w:ascii="楷体_GB2312" w:hAnsi="楷体_GB2312" w:eastAsia="楷体_GB2312"/>
          <w:b/>
          <w:sz w:val="32"/>
        </w:rPr>
        <w:t>（二）一般公共预算财政拨款支出决算结构情况</w:t>
      </w:r>
    </w:p>
    <w:p w14:paraId="4C265631">
      <w:pPr>
        <w:spacing w:line="580" w:lineRule="exact"/>
        <w:ind w:firstLine="640"/>
        <w:jc w:val="both"/>
      </w:pPr>
      <w:r>
        <w:rPr>
          <w:rFonts w:ascii="仿宋_GB2312" w:hAnsi="仿宋_GB2312" w:eastAsia="仿宋_GB2312"/>
          <w:b w:val="0"/>
          <w:sz w:val="32"/>
        </w:rPr>
        <w:t>1.公共安全支出(类)745.09万元,占82.63%。</w:t>
      </w:r>
    </w:p>
    <w:p w14:paraId="3226E759">
      <w:pPr>
        <w:spacing w:line="580" w:lineRule="exact"/>
        <w:ind w:firstLine="640"/>
        <w:jc w:val="both"/>
      </w:pPr>
      <w:r>
        <w:rPr>
          <w:rFonts w:ascii="仿宋_GB2312" w:hAnsi="仿宋_GB2312" w:eastAsia="仿宋_GB2312"/>
          <w:b w:val="0"/>
          <w:sz w:val="32"/>
        </w:rPr>
        <w:t>2.教育支出(类)1.79万元,占0.20%。</w:t>
      </w:r>
    </w:p>
    <w:p w14:paraId="7AEE22CD">
      <w:pPr>
        <w:spacing w:line="580" w:lineRule="exact"/>
        <w:ind w:firstLine="640"/>
        <w:jc w:val="both"/>
      </w:pPr>
      <w:r>
        <w:rPr>
          <w:rFonts w:ascii="仿宋_GB2312" w:hAnsi="仿宋_GB2312" w:eastAsia="仿宋_GB2312"/>
          <w:b w:val="0"/>
          <w:sz w:val="32"/>
        </w:rPr>
        <w:t>3.社会保障和就业支出(类)72.64万元,占8.06%。</w:t>
      </w:r>
    </w:p>
    <w:p w14:paraId="1EB39E5C">
      <w:pPr>
        <w:spacing w:line="580" w:lineRule="exact"/>
        <w:ind w:firstLine="640"/>
        <w:jc w:val="both"/>
      </w:pPr>
      <w:r>
        <w:rPr>
          <w:rFonts w:ascii="仿宋_GB2312" w:hAnsi="仿宋_GB2312" w:eastAsia="仿宋_GB2312"/>
          <w:b w:val="0"/>
          <w:sz w:val="32"/>
        </w:rPr>
        <w:t>4.卫生健康支出(类)32.7万元,占3.63%。</w:t>
      </w:r>
    </w:p>
    <w:p w14:paraId="16012518">
      <w:pPr>
        <w:spacing w:line="580" w:lineRule="exact"/>
        <w:ind w:firstLine="640"/>
        <w:jc w:val="both"/>
      </w:pPr>
      <w:r>
        <w:rPr>
          <w:rFonts w:ascii="仿宋_GB2312" w:hAnsi="仿宋_GB2312" w:eastAsia="仿宋_GB2312"/>
          <w:b w:val="0"/>
          <w:sz w:val="32"/>
        </w:rPr>
        <w:t>5.住房保障支出(类)49.49万元,占5.49%。</w:t>
      </w:r>
    </w:p>
    <w:p w14:paraId="22E1D524">
      <w:pPr>
        <w:spacing w:line="640" w:lineRule="exact"/>
        <w:ind w:firstLine="640"/>
        <w:jc w:val="both"/>
        <w:outlineLvl w:val="3"/>
      </w:pPr>
      <w:r>
        <w:rPr>
          <w:rFonts w:ascii="楷体_GB2312" w:hAnsi="楷体_GB2312" w:eastAsia="楷体_GB2312"/>
          <w:b/>
          <w:sz w:val="32"/>
        </w:rPr>
        <w:t>（三）一般公共预算财政拨款支出决算具体情况</w:t>
      </w:r>
    </w:p>
    <w:p w14:paraId="3419AB70">
      <w:pPr>
        <w:spacing w:line="580" w:lineRule="exact"/>
        <w:ind w:firstLine="640"/>
        <w:jc w:val="both"/>
      </w:pPr>
      <w:r>
        <w:rPr>
          <w:rFonts w:ascii="仿宋_GB2312" w:hAnsi="仿宋_GB2312" w:eastAsia="仿宋_GB2312"/>
          <w:b w:val="0"/>
          <w:sz w:val="32"/>
        </w:rPr>
        <w:t>1.公共安全支出(类)检察(款)行政运行(项):支出决算数为570万元，比上年决算增加20.55万元，增长3.74%,主要原因是：本年在职人员工资调增，导致相关人员经费较上年有所增加。</w:t>
      </w:r>
    </w:p>
    <w:p w14:paraId="1B3DA48B">
      <w:pPr>
        <w:spacing w:line="580" w:lineRule="exact"/>
        <w:ind w:firstLine="640"/>
        <w:jc w:val="both"/>
      </w:pPr>
      <w:r>
        <w:rPr>
          <w:rFonts w:ascii="仿宋_GB2312" w:hAnsi="仿宋_GB2312" w:eastAsia="仿宋_GB2312"/>
          <w:b w:val="0"/>
          <w:sz w:val="32"/>
        </w:rPr>
        <w:t>2.公共安全支出(类)检察(款)一般行政管理事务(项):支出决算数为12万元，比上年决算增加0.00万元，增长0.00%,主要原因是：本年为民办实事经费与上年一致，无变动。</w:t>
      </w:r>
    </w:p>
    <w:p w14:paraId="34BF36D1">
      <w:pPr>
        <w:spacing w:line="580" w:lineRule="exact"/>
        <w:ind w:firstLine="640"/>
        <w:jc w:val="both"/>
      </w:pPr>
      <w:r>
        <w:rPr>
          <w:rFonts w:ascii="仿宋_GB2312" w:hAnsi="仿宋_GB2312" w:eastAsia="仿宋_GB2312"/>
          <w:b w:val="0"/>
          <w:sz w:val="32"/>
        </w:rPr>
        <w:t>3.公共安全支出(类)检察(款)事业运行(项):支出决算数为12.1万元，比上年决算增加2.18万元，增长21.98%,主要原因是：本年在职人员工资调增，导致相关人员经费较上年有所增加。</w:t>
      </w:r>
    </w:p>
    <w:p w14:paraId="639D4BFD">
      <w:pPr>
        <w:spacing w:line="580" w:lineRule="exact"/>
        <w:ind w:firstLine="640"/>
        <w:jc w:val="both"/>
      </w:pPr>
      <w:r>
        <w:rPr>
          <w:rFonts w:ascii="仿宋_GB2312" w:hAnsi="仿宋_GB2312" w:eastAsia="仿宋_GB2312"/>
          <w:b w:val="0"/>
          <w:sz w:val="32"/>
        </w:rPr>
        <w:t>4.公共安全支出(类)检察(款)其他检察支出(项):支出决算数为151万元，比上年决算增加12.72万元，增长9.20%,主要原因是：本年增加司法救助金项目。</w:t>
      </w:r>
    </w:p>
    <w:p w14:paraId="572AEB97">
      <w:pPr>
        <w:spacing w:line="580" w:lineRule="exact"/>
        <w:ind w:firstLine="640"/>
        <w:jc w:val="both"/>
      </w:pPr>
      <w:r>
        <w:rPr>
          <w:rFonts w:ascii="仿宋_GB2312" w:hAnsi="仿宋_GB2312" w:eastAsia="仿宋_GB2312"/>
          <w:b w:val="0"/>
          <w:sz w:val="32"/>
        </w:rPr>
        <w:t>5.教育支出(类)进修及培训(款)培训支出(项):支出决算数为1.79万元，比上年决算增加0.15万元，增长9.15%,主要原因是：为提升干部职工的职业技能、职业素养，提升工作效率，组织干部职工参加自治区、自治州相关业务培训，相应培训费增加。</w:t>
      </w:r>
    </w:p>
    <w:p w14:paraId="3EB48899">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6.社会保障和就业支出(类)行政事业单位养老支出(款)行政单位离退休(项):支出决算数为10.01万元，比上年决算增加2.39万元，增长31.36%,主要原因是：本年退休人员增加，退休费支出增加。</w:t>
      </w:r>
    </w:p>
    <w:p w14:paraId="7C0103EB">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51.68万元，比上年决算增加8.92万元，增长20.86%,主要原因是：本年在职人员工资基数调增，养老缴费基数上涨，相应支出增加。</w:t>
      </w:r>
    </w:p>
    <w:p w14:paraId="75A89B6A">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8.社会保障和就业支出(类)行政事业单位养老支出(款)机关事业单位职业年金缴费支出(项):支出决算数为10.95万元，比上年决算增加10.95万元，增长100.00%,主要原因是：本年新增退休人员，职业年金缴费支出增加。</w:t>
      </w:r>
    </w:p>
    <w:p w14:paraId="4976F94A">
      <w:pPr>
        <w:spacing w:line="580" w:lineRule="exact"/>
        <w:ind w:firstLine="640"/>
        <w:jc w:val="both"/>
      </w:pPr>
      <w:r>
        <w:rPr>
          <w:rFonts w:ascii="仿宋_GB2312" w:hAnsi="仿宋_GB2312" w:eastAsia="仿宋_GB2312"/>
          <w:b w:val="0"/>
          <w:sz w:val="32"/>
        </w:rPr>
        <w:t>9.社会保障和就业支出(类)抚恤(款)死亡抚恤(项):支出决算数为0.00万元，比上年决算减少20.79万元，下降100.00%,主要原因是：本年无新增死亡人员，死亡抚恤支出较上年减少。</w:t>
      </w:r>
    </w:p>
    <w:p w14:paraId="585D0E61">
      <w:pPr>
        <w:spacing w:line="580" w:lineRule="exact"/>
        <w:ind w:firstLine="640"/>
        <w:jc w:val="both"/>
      </w:pPr>
      <w:r>
        <w:rPr>
          <w:rFonts w:ascii="仿宋_GB2312" w:hAnsi="仿宋_GB2312" w:eastAsia="仿宋_GB2312"/>
          <w:b w:val="0"/>
          <w:sz w:val="32"/>
        </w:rPr>
        <w:t>10.卫生健康支出(类)行政事业单位医疗(款)行政单位医疗(项):支出决算数为22.6万元，比上年决算增加3.71万元，增长19.64%,主要原因是：本年在职人员工资基数调增，医疗缴费基数上涨，相应行政单位医疗支出增加。</w:t>
      </w:r>
    </w:p>
    <w:p w14:paraId="6419F593">
      <w:pPr>
        <w:spacing w:line="580" w:lineRule="exact"/>
        <w:ind w:firstLine="640"/>
        <w:jc w:val="both"/>
      </w:pPr>
      <w:r>
        <w:rPr>
          <w:rFonts w:ascii="仿宋_GB2312" w:hAnsi="仿宋_GB2312" w:eastAsia="仿宋_GB2312"/>
          <w:b w:val="0"/>
          <w:sz w:val="32"/>
        </w:rPr>
        <w:t>11.卫生健康支出(类)行政事业单位医疗(款)公务员医疗补助(项):支出决算数为9.4万元，比上年决算增加1.51万元，增长19.14%,主要原因是：本年在职人员工资基数调增，医疗缴费基数上涨，相应公务员医疗补助增加。</w:t>
      </w:r>
    </w:p>
    <w:p w14:paraId="1FF0A7F8">
      <w:pPr>
        <w:spacing w:line="580" w:lineRule="exact"/>
        <w:ind w:firstLine="640"/>
        <w:jc w:val="both"/>
      </w:pPr>
      <w:r>
        <w:rPr>
          <w:rFonts w:ascii="仿宋_GB2312" w:hAnsi="仿宋_GB2312" w:eastAsia="仿宋_GB2312"/>
          <w:b w:val="0"/>
          <w:sz w:val="32"/>
        </w:rPr>
        <w:t>12.卫生健康支出(类)行政事业单位医疗(款)其他行政事业单位医疗支出(项):支出决算数为0.71万元，比上年决算减少0.17万元，下降19.32%,主要原因是：因退休人员医疗保险制度改革，退休人员基本医疗不再由单位缴纳，导致经费较上年减少。</w:t>
      </w:r>
    </w:p>
    <w:p w14:paraId="625F5591">
      <w:pPr>
        <w:spacing w:line="580" w:lineRule="exact"/>
        <w:ind w:firstLine="640"/>
        <w:jc w:val="both"/>
      </w:pPr>
      <w:r>
        <w:rPr>
          <w:rFonts w:ascii="仿宋_GB2312" w:hAnsi="仿宋_GB2312" w:eastAsia="仿宋_GB2312"/>
          <w:b w:val="0"/>
          <w:sz w:val="32"/>
        </w:rPr>
        <w:t>13.住房保障支出(类)住房改革支出(款)住房公积金(项):支出决算数为49.49万元，比上年决算增加15.50万元，增长45.60%,主要原因是：本年在职人员工资基数调增，公积金缴费基数上涨，相应支出增加。</w:t>
      </w:r>
    </w:p>
    <w:p w14:paraId="0EAF45C7">
      <w:pPr>
        <w:spacing w:line="640" w:lineRule="exact"/>
        <w:ind w:firstLine="640"/>
        <w:jc w:val="both"/>
        <w:outlineLvl w:val="2"/>
      </w:pPr>
      <w:r>
        <w:rPr>
          <w:rFonts w:ascii="黑体" w:hAnsi="黑体" w:eastAsia="黑体"/>
          <w:sz w:val="32"/>
        </w:rPr>
        <w:t>六、一般公共预算财政拨款基本支出决算情况说明</w:t>
      </w:r>
    </w:p>
    <w:p w14:paraId="6A8BA9AB">
      <w:pPr>
        <w:spacing w:line="580" w:lineRule="exact"/>
        <w:ind w:firstLine="640"/>
        <w:jc w:val="both"/>
      </w:pPr>
      <w:r>
        <w:rPr>
          <w:rFonts w:ascii="仿宋_GB2312" w:hAnsi="仿宋_GB2312" w:eastAsia="仿宋_GB2312"/>
          <w:b w:val="0"/>
          <w:sz w:val="32"/>
        </w:rPr>
        <w:t>2024年度一般公共预算财政拨款基本支出738.72万元，其中：</w:t>
      </w:r>
      <w:r>
        <w:rPr>
          <w:rFonts w:ascii="仿宋_GB2312" w:hAnsi="仿宋_GB2312" w:eastAsia="仿宋_GB2312"/>
          <w:b/>
          <w:sz w:val="32"/>
        </w:rPr>
        <w:t>人员经费685.64万元，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奖励金。</w:t>
      </w:r>
    </w:p>
    <w:p w14:paraId="5536B17E">
      <w:pPr>
        <w:spacing w:line="580" w:lineRule="exact"/>
        <w:ind w:firstLine="640"/>
        <w:jc w:val="both"/>
      </w:pPr>
      <w:r>
        <w:rPr>
          <w:rFonts w:ascii="仿宋_GB2312" w:hAnsi="仿宋_GB2312" w:eastAsia="仿宋_GB2312"/>
          <w:b/>
          <w:sz w:val="32"/>
        </w:rPr>
        <w:t>公用经费53.08万元，</w:t>
      </w:r>
      <w:r>
        <w:rPr>
          <w:rFonts w:ascii="仿宋_GB2312" w:hAnsi="仿宋_GB2312" w:eastAsia="仿宋_GB2312"/>
          <w:b w:val="0"/>
          <w:sz w:val="32"/>
        </w:rPr>
        <w:t>包括：办公费、水费、电费、取暖费、维修（护）费、培训费、公务接待费、劳务费、委托业务费、工会经费、福利费、公务用车运行维护费、其他商品和服务支出。</w:t>
      </w:r>
    </w:p>
    <w:p w14:paraId="57FAA6B7">
      <w:pPr>
        <w:spacing w:line="640" w:lineRule="exact"/>
        <w:ind w:firstLine="640"/>
        <w:jc w:val="both"/>
        <w:outlineLvl w:val="2"/>
      </w:pPr>
      <w:r>
        <w:rPr>
          <w:rFonts w:ascii="黑体" w:hAnsi="黑体" w:eastAsia="黑体"/>
          <w:sz w:val="32"/>
        </w:rPr>
        <w:t>七、政府性基金预算财政拨款收入支出决算情况说明</w:t>
      </w:r>
    </w:p>
    <w:p w14:paraId="5A0EF7B0">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4F88F721">
      <w:pPr>
        <w:spacing w:line="640" w:lineRule="exact"/>
        <w:ind w:firstLine="640"/>
        <w:jc w:val="both"/>
        <w:outlineLvl w:val="2"/>
      </w:pPr>
      <w:r>
        <w:rPr>
          <w:rFonts w:ascii="黑体" w:hAnsi="黑体" w:eastAsia="黑体"/>
          <w:sz w:val="32"/>
        </w:rPr>
        <w:t>八、国有资本经营预算财政拨款收入支出决算情况说明</w:t>
      </w:r>
    </w:p>
    <w:p w14:paraId="799AC7B5">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0BB56EF1">
      <w:pPr>
        <w:spacing w:line="640" w:lineRule="exact"/>
        <w:ind w:firstLine="640"/>
        <w:jc w:val="both"/>
        <w:outlineLvl w:val="2"/>
      </w:pPr>
      <w:r>
        <w:rPr>
          <w:rFonts w:ascii="黑体" w:hAnsi="黑体" w:eastAsia="黑体"/>
          <w:sz w:val="32"/>
        </w:rPr>
        <w:t>九、财政拨款“三公”经费支出决算情况说明</w:t>
      </w:r>
    </w:p>
    <w:p w14:paraId="1FD8C4AA">
      <w:pPr>
        <w:spacing w:line="580" w:lineRule="exact"/>
        <w:ind w:firstLine="640"/>
        <w:jc w:val="both"/>
      </w:pPr>
      <w:r>
        <w:rPr>
          <w:rFonts w:ascii="仿宋_GB2312" w:hAnsi="仿宋_GB2312" w:eastAsia="仿宋_GB2312"/>
          <w:b/>
          <w:sz w:val="32"/>
        </w:rPr>
        <w:t>2024年度财政拨款“三公”经费支出14.38万元，</w:t>
      </w:r>
      <w:r>
        <w:rPr>
          <w:rFonts w:ascii="仿宋_GB2312" w:hAnsi="仿宋_GB2312" w:eastAsia="仿宋_GB2312"/>
          <w:b w:val="0"/>
          <w:sz w:val="32"/>
        </w:rPr>
        <w:t>比上年增加0.00万元，增长0.00%，主要原因是：本部门“三公”经费与上年一致无变化。其中：因公出国（境）费支出0.00万元，占0.00%，比上年增加0.00万元，增长0.00%，主要原因是：2023年与2024年均未安排因公出国（境）费支出。公务用车购置及运行维护费支出12.00万元，占83.45%，比上年增加0.00万元，增长0.00%，主要原因是：本部门公务用车运行维护费与上年一致无变化。公务接待费支出2.38万元，占16.55%，比上年增加0.00万元，增长0.00%，主要原因是：本部门公务接待费与上年一致无变化。</w:t>
      </w:r>
    </w:p>
    <w:p w14:paraId="2FCFCB46">
      <w:pPr>
        <w:spacing w:line="580" w:lineRule="exact"/>
        <w:ind w:firstLine="640"/>
        <w:jc w:val="both"/>
      </w:pPr>
      <w:r>
        <w:rPr>
          <w:rFonts w:ascii="仿宋_GB2312" w:hAnsi="仿宋_GB2312" w:eastAsia="仿宋_GB2312"/>
          <w:b/>
          <w:sz w:val="32"/>
        </w:rPr>
        <w:t>具体情况如下：</w:t>
      </w:r>
    </w:p>
    <w:p w14:paraId="6563D9AE">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5B0D9190">
      <w:pPr>
        <w:spacing w:line="580" w:lineRule="exact"/>
        <w:ind w:firstLine="640"/>
        <w:jc w:val="both"/>
      </w:pPr>
      <w:r>
        <w:rPr>
          <w:rFonts w:ascii="仿宋_GB2312" w:hAnsi="仿宋_GB2312" w:eastAsia="仿宋_GB2312"/>
          <w:b w:val="0"/>
          <w:sz w:val="32"/>
        </w:rPr>
        <w:t>公务用车购置及运行维护费12.00万元，其中：公务用车购置费0.00万元，公务用车运行维护费12.00万元。公务用车运行维护费开支内容包括车辆加油费、维修费、保险费、审车费、过路费。公务用车购置数0辆，公务用车保有量10辆。国有资产占用情况中固定资产车辆10辆，与公务用车保有量差异原因是：本部门固定资产车辆与公务用车保有量一致无差异。</w:t>
      </w:r>
    </w:p>
    <w:p w14:paraId="60E33463">
      <w:pPr>
        <w:spacing w:line="580" w:lineRule="exact"/>
        <w:ind w:firstLine="640"/>
        <w:jc w:val="both"/>
      </w:pPr>
      <w:r>
        <w:rPr>
          <w:rFonts w:ascii="仿宋_GB2312" w:hAnsi="仿宋_GB2312" w:eastAsia="仿宋_GB2312"/>
          <w:b w:val="0"/>
          <w:sz w:val="32"/>
        </w:rPr>
        <w:t>公务接待费2.38万元，开支内容包括开展调研及业务活动、交流学习时产生的就餐费。部门全年安排的国内公务接待31批次，354人次。</w:t>
      </w:r>
    </w:p>
    <w:p w14:paraId="46F914D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14.38万元，决算数14.38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12.00万元，决算数12.00万元，预决算差异率0.00%，主要原因是：严格按照预算执行，预决算无差异。公务接待费全年预算数2.38万元，决算数2.38万元，预决算差异率0.00%，主要原因是：严格按照预算执行，预决算无差异。</w:t>
      </w:r>
    </w:p>
    <w:p w14:paraId="66DECBC0">
      <w:pPr>
        <w:spacing w:line="640" w:lineRule="exact"/>
        <w:ind w:firstLine="640"/>
        <w:jc w:val="both"/>
        <w:outlineLvl w:val="2"/>
      </w:pPr>
      <w:r>
        <w:rPr>
          <w:rFonts w:ascii="黑体" w:hAnsi="黑体" w:eastAsia="黑体"/>
          <w:sz w:val="32"/>
        </w:rPr>
        <w:t>十、其他重要事项的情况说明</w:t>
      </w:r>
    </w:p>
    <w:p w14:paraId="79696A8C">
      <w:pPr>
        <w:spacing w:line="640" w:lineRule="exact"/>
        <w:ind w:firstLine="640"/>
        <w:jc w:val="both"/>
        <w:outlineLvl w:val="3"/>
      </w:pPr>
      <w:r>
        <w:rPr>
          <w:rFonts w:ascii="楷体_GB2312" w:hAnsi="楷体_GB2312" w:eastAsia="楷体_GB2312"/>
          <w:b/>
          <w:sz w:val="32"/>
        </w:rPr>
        <w:t>（一）机关运行经费及公用经费支出情况</w:t>
      </w:r>
    </w:p>
    <w:p w14:paraId="462EFC94">
      <w:pPr>
        <w:spacing w:line="580" w:lineRule="exact"/>
        <w:ind w:firstLine="640"/>
        <w:jc w:val="both"/>
      </w:pPr>
      <w:r>
        <w:rPr>
          <w:rFonts w:ascii="仿宋_GB2312" w:hAnsi="仿宋_GB2312" w:eastAsia="仿宋_GB2312"/>
          <w:b w:val="0"/>
          <w:sz w:val="32"/>
        </w:rPr>
        <w:t>2024年度新疆巴州焉耆县人民检察院（行政单位和参照公务员法管理事业单位）机关运行经费支出53.08万元，比上年增加4.56万元，增长9.40%，主要原因是：本年委托业务费及维修（护）费增加，导致机关运行经费增加。</w:t>
      </w:r>
    </w:p>
    <w:p w14:paraId="31F8A9D8">
      <w:pPr>
        <w:spacing w:line="640" w:lineRule="exact"/>
        <w:ind w:firstLine="640"/>
        <w:jc w:val="both"/>
        <w:outlineLvl w:val="3"/>
      </w:pPr>
      <w:r>
        <w:rPr>
          <w:rFonts w:ascii="楷体_GB2312" w:hAnsi="楷体_GB2312" w:eastAsia="楷体_GB2312"/>
          <w:b/>
          <w:sz w:val="32"/>
        </w:rPr>
        <w:t>（二）政府采购情况</w:t>
      </w:r>
    </w:p>
    <w:p w14:paraId="6BB65BB8">
      <w:pPr>
        <w:spacing w:line="580" w:lineRule="exact"/>
        <w:ind w:firstLine="640"/>
        <w:jc w:val="both"/>
      </w:pPr>
      <w:r>
        <w:rPr>
          <w:rFonts w:ascii="仿宋_GB2312" w:hAnsi="仿宋_GB2312" w:eastAsia="仿宋_GB2312"/>
          <w:b w:val="0"/>
          <w:sz w:val="32"/>
        </w:rPr>
        <w:t>2024年度政府采购支出总额38.57万元，其中：政府采购货物支出16.79万元、政府采购工程支出12.04万元、政府采购服务支出9.74万元。</w:t>
      </w:r>
    </w:p>
    <w:p w14:paraId="151F3353">
      <w:pPr>
        <w:spacing w:line="580" w:lineRule="exact"/>
        <w:ind w:firstLine="640"/>
        <w:jc w:val="both"/>
      </w:pPr>
      <w:r>
        <w:rPr>
          <w:rFonts w:ascii="仿宋_GB2312" w:hAnsi="仿宋_GB2312" w:eastAsia="仿宋_GB2312"/>
          <w:b w:val="0"/>
          <w:sz w:val="32"/>
        </w:rPr>
        <w:t>授予中小企业合同金额38.57万元，占政府采购支出总额的100.00%，其中：授予小微企业合同金额35.22万元，占政府采购支出总额的91.31%。</w:t>
      </w:r>
    </w:p>
    <w:p w14:paraId="6781C450">
      <w:pPr>
        <w:spacing w:line="640" w:lineRule="exact"/>
        <w:ind w:firstLine="640"/>
        <w:jc w:val="both"/>
        <w:outlineLvl w:val="3"/>
      </w:pPr>
      <w:r>
        <w:rPr>
          <w:rFonts w:ascii="楷体_GB2312" w:hAnsi="楷体_GB2312" w:eastAsia="楷体_GB2312"/>
          <w:b/>
          <w:sz w:val="32"/>
        </w:rPr>
        <w:t>（三）国有资产占用情况说明</w:t>
      </w:r>
    </w:p>
    <w:p w14:paraId="5D24E033">
      <w:pPr>
        <w:spacing w:line="580" w:lineRule="exact"/>
        <w:ind w:firstLine="640"/>
        <w:jc w:val="both"/>
      </w:pPr>
      <w:r>
        <w:rPr>
          <w:rFonts w:ascii="仿宋_GB2312" w:hAnsi="仿宋_GB2312" w:eastAsia="仿宋_GB2312"/>
          <w:b w:val="0"/>
          <w:sz w:val="32"/>
        </w:rPr>
        <w:t>截至2024年12月31日，房屋5,747.00平方米，价值1,287.33万元。车辆10辆，价值210.26万元，其中：副部（省）级及以上领导用车0辆、主要负责人用车0辆、机要通信用车0辆、应急保障用车2辆、执法执勤用车6辆、特种专业技术用车2辆、离退休干部服务用车0辆、其他用车0辆，其他用车主要是：本部门无其他用车。单价100万元（含）以上设备（不含车辆）0台（套）。</w:t>
      </w:r>
    </w:p>
    <w:p w14:paraId="5A008178">
      <w:pPr>
        <w:spacing w:line="640" w:lineRule="exact"/>
        <w:ind w:firstLine="640"/>
        <w:jc w:val="both"/>
        <w:outlineLvl w:val="2"/>
      </w:pPr>
      <w:r>
        <w:rPr>
          <w:rFonts w:ascii="黑体" w:hAnsi="黑体" w:eastAsia="黑体"/>
          <w:sz w:val="32"/>
        </w:rPr>
        <w:t>十一、预算绩效的情况说明</w:t>
      </w:r>
    </w:p>
    <w:p w14:paraId="1CE3D733">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根据预算绩效管理要求，本部门2024年度预算绩效管理形成整体支出绩效自评表1个，全年预算总额960.25万元，实际执行总额943.40万元；预算绩效评价项目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220</w:t>
      </w:r>
      <w:r>
        <w:rPr>
          <w:rFonts w:ascii="仿宋_GB2312" w:hAnsi="仿宋_GB2312" w:eastAsia="仿宋_GB2312"/>
          <w:b w:val="0"/>
          <w:sz w:val="32"/>
        </w:rPr>
        <w:t>.00万元，全年执行数</w:t>
      </w:r>
      <w:r>
        <w:rPr>
          <w:rFonts w:hint="eastAsia" w:ascii="仿宋_GB2312" w:hAnsi="仿宋_GB2312" w:eastAsia="仿宋_GB2312"/>
          <w:b w:val="0"/>
          <w:sz w:val="32"/>
        </w:rPr>
        <w:t>201.48</w:t>
      </w:r>
      <w:r>
        <w:rPr>
          <w:rFonts w:ascii="仿宋_GB2312" w:hAnsi="仿宋_GB2312" w:eastAsia="仿宋_GB2312"/>
          <w:b w:val="0"/>
          <w:sz w:val="32"/>
        </w:rPr>
        <w:t>万元。预算绩效管理取得的成效：一是围绕核心职能科学设定绩效指标，年度绩效目标完成率显著提高，重点工作任务按计划推进；二是建立动态绩效监控机制，及时调整执行偏差，资金使用更加精准高效，低效无效支出有效减少；三是业务流程持续优化，服务响应速度加快；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630618A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822BFBA">
        <w:tblPrEx>
          <w:tblCellMar>
            <w:top w:w="0" w:type="dxa"/>
            <w:left w:w="108" w:type="dxa"/>
            <w:bottom w:w="0" w:type="dxa"/>
            <w:right w:w="108" w:type="dxa"/>
          </w:tblCellMar>
        </w:tblPrEx>
        <w:tc>
          <w:tcPr>
            <w:tcW w:w="8840" w:type="dxa"/>
            <w:gridSpan w:val="8"/>
            <w:vAlign w:val="center"/>
          </w:tcPr>
          <w:p w14:paraId="1B58592B">
            <w:pPr>
              <w:jc w:val="center"/>
            </w:pPr>
            <w:r>
              <w:rPr>
                <w:rFonts w:ascii="宋体" w:hAnsi="宋体" w:eastAsia="宋体"/>
                <w:sz w:val="24"/>
              </w:rPr>
              <w:t>部门整体支出绩效自评表</w:t>
            </w:r>
          </w:p>
        </w:tc>
      </w:tr>
      <w:tr w14:paraId="64A03BFD">
        <w:tblPrEx>
          <w:tblCellMar>
            <w:top w:w="0" w:type="dxa"/>
            <w:left w:w="108" w:type="dxa"/>
            <w:bottom w:w="0" w:type="dxa"/>
            <w:right w:w="108" w:type="dxa"/>
          </w:tblCellMar>
        </w:tblPrEx>
        <w:tc>
          <w:tcPr>
            <w:tcW w:w="8840" w:type="dxa"/>
            <w:gridSpan w:val="8"/>
            <w:vAlign w:val="center"/>
          </w:tcPr>
          <w:p w14:paraId="79B4B055">
            <w:pPr>
              <w:jc w:val="center"/>
            </w:pPr>
            <w:r>
              <w:rPr>
                <w:rFonts w:ascii="宋体" w:hAnsi="宋体" w:eastAsia="宋体"/>
                <w:sz w:val="24"/>
              </w:rPr>
              <w:t>（2024年度）</w:t>
            </w:r>
          </w:p>
        </w:tc>
      </w:tr>
      <w:tr w14:paraId="0946F9B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45FC7">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372D7">
            <w:pPr>
              <w:jc w:val="center"/>
            </w:pPr>
            <w:r>
              <w:rPr>
                <w:rFonts w:ascii="宋体" w:hAnsi="宋体" w:eastAsia="宋体"/>
                <w:sz w:val="16"/>
              </w:rPr>
              <w:t>新疆巴州焉耆县人民检察院</w:t>
            </w:r>
          </w:p>
        </w:tc>
      </w:tr>
      <w:tr w14:paraId="56AFCC8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6744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03590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3F13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50C60">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7A296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7CB5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38BF23">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955F07">
            <w:pPr>
              <w:jc w:val="center"/>
            </w:pPr>
            <w:r>
              <w:rPr>
                <w:rFonts w:ascii="宋体" w:hAnsi="宋体" w:eastAsia="宋体"/>
                <w:sz w:val="16"/>
              </w:rPr>
              <w:t>得分</w:t>
            </w:r>
          </w:p>
        </w:tc>
      </w:tr>
      <w:tr w14:paraId="4F85CA7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5EF1F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014D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8FE2D">
            <w:pPr>
              <w:jc w:val="center"/>
            </w:pPr>
            <w:r>
              <w:rPr>
                <w:rFonts w:ascii="宋体" w:hAnsi="宋体" w:eastAsia="宋体"/>
                <w:sz w:val="16"/>
              </w:rPr>
              <w:t>901.52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3A5EF">
            <w:pPr>
              <w:jc w:val="center"/>
            </w:pPr>
            <w:r>
              <w:rPr>
                <w:rFonts w:ascii="宋体" w:hAnsi="宋体" w:eastAsia="宋体"/>
                <w:sz w:val="16"/>
              </w:rPr>
              <w:t>960.25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443D4F">
            <w:pPr>
              <w:jc w:val="center"/>
            </w:pPr>
            <w:r>
              <w:rPr>
                <w:rFonts w:ascii="宋体" w:hAnsi="宋体" w:eastAsia="宋体"/>
                <w:sz w:val="16"/>
              </w:rPr>
              <w:t>943.40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A4A78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7F723D">
            <w:pPr>
              <w:jc w:val="center"/>
            </w:pPr>
            <w:r>
              <w:rPr>
                <w:rFonts w:ascii="宋体" w:hAnsi="宋体" w:eastAsia="宋体"/>
                <w:sz w:val="16"/>
              </w:rPr>
              <w:t>98.25%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1C46A">
            <w:pPr>
              <w:jc w:val="center"/>
            </w:pPr>
            <w:r>
              <w:rPr>
                <w:rFonts w:ascii="宋体" w:hAnsi="宋体" w:eastAsia="宋体"/>
                <w:sz w:val="16"/>
              </w:rPr>
              <w:t>9.83</w:t>
            </w:r>
          </w:p>
        </w:tc>
      </w:tr>
      <w:tr w14:paraId="47B9F69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9E4A0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4CE2DA">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57B09A">
            <w:pPr>
              <w:jc w:val="center"/>
            </w:pPr>
            <w:r>
              <w:rPr>
                <w:rFonts w:ascii="宋体" w:hAnsi="宋体" w:eastAsia="宋体"/>
                <w:sz w:val="16"/>
              </w:rPr>
              <w:t>123.00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84600">
            <w:pPr>
              <w:jc w:val="center"/>
            </w:pPr>
            <w:r>
              <w:rPr>
                <w:rFonts w:ascii="宋体" w:hAnsi="宋体" w:eastAsia="宋体"/>
                <w:sz w:val="16"/>
              </w:rPr>
              <w:t>151.00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C05C2F">
            <w:pPr>
              <w:jc w:val="center"/>
            </w:pPr>
            <w:r>
              <w:rPr>
                <w:rFonts w:ascii="宋体" w:hAnsi="宋体" w:eastAsia="宋体"/>
                <w:sz w:val="16"/>
              </w:rPr>
              <w:t>151.00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7318A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221A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CC2A35">
            <w:pPr>
              <w:jc w:val="center"/>
            </w:pPr>
            <w:r>
              <w:rPr>
                <w:rFonts w:ascii="宋体" w:hAnsi="宋体" w:eastAsia="宋体"/>
                <w:sz w:val="16"/>
              </w:rPr>
              <w:t>-</w:t>
            </w:r>
          </w:p>
        </w:tc>
      </w:tr>
      <w:tr w14:paraId="61A3E18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1D3E6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D6986">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31DF4">
            <w:pPr>
              <w:jc w:val="center"/>
            </w:pPr>
            <w:r>
              <w:rPr>
                <w:rFonts w:ascii="宋体" w:hAnsi="宋体" w:eastAsia="宋体"/>
                <w:sz w:val="16"/>
              </w:rPr>
              <w:t>721.52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9D43B">
            <w:pPr>
              <w:jc w:val="center"/>
            </w:pPr>
            <w:r>
              <w:rPr>
                <w:rFonts w:ascii="宋体" w:hAnsi="宋体" w:eastAsia="宋体"/>
                <w:sz w:val="16"/>
              </w:rPr>
              <w:t>790.84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CE814">
            <w:pPr>
              <w:jc w:val="center"/>
            </w:pPr>
            <w:r>
              <w:rPr>
                <w:rFonts w:ascii="宋体" w:hAnsi="宋体" w:eastAsia="宋体"/>
                <w:sz w:val="16"/>
              </w:rPr>
              <w:t>773.99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2977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6851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18EFDE">
            <w:pPr>
              <w:jc w:val="center"/>
            </w:pPr>
            <w:r>
              <w:rPr>
                <w:rFonts w:ascii="宋体" w:hAnsi="宋体" w:eastAsia="宋体"/>
                <w:sz w:val="16"/>
              </w:rPr>
              <w:t>-</w:t>
            </w:r>
          </w:p>
        </w:tc>
      </w:tr>
      <w:tr w14:paraId="2A4301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F256E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58C65">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E950D">
            <w:pPr>
              <w:jc w:val="center"/>
            </w:pPr>
            <w:r>
              <w:rPr>
                <w:rFonts w:ascii="宋体" w:hAnsi="宋体" w:eastAsia="宋体"/>
                <w:sz w:val="16"/>
              </w:rPr>
              <w:t>57.00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269FBC">
            <w:pPr>
              <w:jc w:val="center"/>
            </w:pPr>
            <w:r>
              <w:rPr>
                <w:rFonts w:ascii="宋体" w:hAnsi="宋体" w:eastAsia="宋体"/>
                <w:sz w:val="16"/>
              </w:rPr>
              <w:t>18.41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D6BCFA">
            <w:pPr>
              <w:jc w:val="center"/>
            </w:pPr>
            <w:r>
              <w:rPr>
                <w:rFonts w:ascii="宋体" w:hAnsi="宋体" w:eastAsia="宋体"/>
                <w:sz w:val="16"/>
              </w:rPr>
              <w:t>18.41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250D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4217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E9EA6">
            <w:pPr>
              <w:jc w:val="center"/>
            </w:pPr>
            <w:r>
              <w:rPr>
                <w:rFonts w:ascii="宋体" w:hAnsi="宋体" w:eastAsia="宋体"/>
                <w:sz w:val="16"/>
              </w:rPr>
              <w:t>-</w:t>
            </w:r>
          </w:p>
        </w:tc>
      </w:tr>
      <w:tr w14:paraId="781837A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9381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73AC2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080398">
            <w:pPr>
              <w:jc w:val="center"/>
            </w:pPr>
            <w:r>
              <w:rPr>
                <w:rFonts w:ascii="宋体" w:hAnsi="宋体" w:eastAsia="宋体"/>
                <w:sz w:val="16"/>
              </w:rPr>
              <w:t>实际完成情况</w:t>
            </w:r>
          </w:p>
        </w:tc>
      </w:tr>
      <w:tr w14:paraId="18D8E7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30756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D985B1">
            <w:pPr>
              <w:jc w:val="both"/>
            </w:pPr>
            <w:r>
              <w:rPr>
                <w:rFonts w:ascii="宋体" w:hAnsi="宋体" w:eastAsia="宋体"/>
                <w:sz w:val="16"/>
              </w:rPr>
              <w:t>深化法律监督意识，落实相关监督机制，推动刑事、民事、行政和公益诉讼四大检查融合发展、一体履职，把法律监督贯穿融入</w:t>
            </w:r>
            <w:r>
              <w:rPr>
                <w:rFonts w:hint="eastAsia" w:ascii="宋体" w:hAnsi="宋体"/>
                <w:sz w:val="16"/>
                <w:lang w:eastAsia="zh-CN"/>
              </w:rPr>
              <w:t>法治国家、法治政府、法治社会一体建设</w:t>
            </w:r>
            <w:r>
              <w:rPr>
                <w:rFonts w:ascii="宋体" w:hAnsi="宋体" w:eastAsia="宋体"/>
                <w:sz w:val="16"/>
              </w:rPr>
              <w:t>。全面优化刑事检察监督，保障被监管人的合法权益；持续加强民行行政检察监督；大力推进公益诉讼检察；不断深化信访工作，加大对法律援助经费和司法救助资金的投入力度。打造忠诚干净担当的过硬检察队伍，保障检察业务工作正常运行，保障检察人员专项福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9EA3B3">
            <w:pPr>
              <w:jc w:val="both"/>
            </w:pPr>
            <w:r>
              <w:rPr>
                <w:rFonts w:ascii="宋体" w:hAnsi="宋体" w:eastAsia="宋体"/>
                <w:sz w:val="16"/>
              </w:rPr>
              <w:t>深化法律监督意识，落实相关监督机制，推动刑事、民事、行政和公益诉讼四大检查融合发展、一体履职，把法律监督贯穿融入法治新疆、法治政府、法治社会一体建设，全年办理案件数640件，全年办理案件的结案率达到90.46%，检察建议采纳率达到100%。全面优化刑事检察监督，保障被监管人的合法权益；持续加强民行行政检察监督；大力推进公益诉讼检察；不断深化信访工作，加大对法律援助经费和司法救助资金的投入力度，群众信访案件满意度达到95%。打造忠诚干净担当的过硬检察队伍，保障检察业务工作正常运行。</w:t>
            </w:r>
          </w:p>
        </w:tc>
      </w:tr>
      <w:tr w14:paraId="714B2E6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5DEB2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6A9E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2D06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F83B5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BF21D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8E3CD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0FAF8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999707">
            <w:pPr>
              <w:jc w:val="center"/>
            </w:pPr>
            <w:r>
              <w:rPr>
                <w:rFonts w:ascii="宋体" w:hAnsi="宋体" w:eastAsia="宋体"/>
                <w:sz w:val="16"/>
              </w:rPr>
              <w:t>得分</w:t>
            </w:r>
          </w:p>
        </w:tc>
      </w:tr>
      <w:tr w14:paraId="35C742E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8E865">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052D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F0931">
            <w:pPr>
              <w:jc w:val="center"/>
            </w:pPr>
            <w:r>
              <w:rPr>
                <w:rFonts w:ascii="宋体" w:hAnsi="宋体" w:eastAsia="宋体"/>
                <w:sz w:val="16"/>
              </w:rPr>
              <w:t>全年办理案件数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88B83">
            <w:pPr>
              <w:jc w:val="center"/>
            </w:pPr>
            <w:r>
              <w:rPr>
                <w:rFonts w:ascii="宋体" w:hAnsi="宋体" w:eastAsia="宋体"/>
                <w:sz w:val="16"/>
              </w:rPr>
              <w:t>&gt;=650件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BE49D0">
            <w:pPr>
              <w:jc w:val="center"/>
            </w:pPr>
            <w:r>
              <w:rPr>
                <w:rFonts w:ascii="宋体" w:hAnsi="宋体" w:eastAsia="宋体"/>
                <w:sz w:val="16"/>
              </w:rPr>
              <w:t>焉耆县人民检察院工作报告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EA428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F9828">
            <w:pPr>
              <w:jc w:val="center"/>
            </w:pPr>
            <w:r>
              <w:rPr>
                <w:rFonts w:ascii="宋体" w:hAnsi="宋体" w:eastAsia="宋体"/>
                <w:sz w:val="16"/>
              </w:rPr>
              <w:t>640件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F446F">
            <w:pPr>
              <w:jc w:val="center"/>
            </w:pPr>
            <w:r>
              <w:rPr>
                <w:rFonts w:ascii="宋体" w:hAnsi="宋体" w:eastAsia="宋体"/>
                <w:sz w:val="16"/>
              </w:rPr>
              <w:t>29.54</w:t>
            </w:r>
          </w:p>
        </w:tc>
      </w:tr>
      <w:tr w14:paraId="15B798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32274D"/>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3F21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8649DF">
            <w:pPr>
              <w:jc w:val="center"/>
            </w:pPr>
            <w:r>
              <w:rPr>
                <w:rFonts w:ascii="宋体" w:hAnsi="宋体" w:eastAsia="宋体"/>
                <w:sz w:val="16"/>
              </w:rPr>
              <w:t>全年办理案件的结案率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1617A9">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FCBE4">
            <w:pPr>
              <w:jc w:val="center"/>
            </w:pPr>
            <w:r>
              <w:rPr>
                <w:rFonts w:ascii="宋体" w:hAnsi="宋体" w:eastAsia="宋体"/>
                <w:sz w:val="16"/>
              </w:rPr>
              <w:t>焉耆县人民检察院工作报告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BA54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40A818">
            <w:pPr>
              <w:jc w:val="center"/>
            </w:pPr>
            <w:r>
              <w:rPr>
                <w:rFonts w:ascii="宋体" w:hAnsi="宋体" w:eastAsia="宋体"/>
                <w:sz w:val="16"/>
              </w:rPr>
              <w:t>90.46%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99C8D">
            <w:pPr>
              <w:jc w:val="center"/>
            </w:pPr>
            <w:r>
              <w:rPr>
                <w:rFonts w:ascii="宋体" w:hAnsi="宋体" w:eastAsia="宋体"/>
                <w:sz w:val="16"/>
              </w:rPr>
              <w:t>20</w:t>
            </w:r>
          </w:p>
        </w:tc>
      </w:tr>
      <w:tr w14:paraId="200A821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CC290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6910F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484E74">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41582">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BCE8BE">
            <w:pPr>
              <w:jc w:val="center"/>
            </w:pPr>
            <w:r>
              <w:rPr>
                <w:rFonts w:ascii="宋体" w:hAnsi="宋体" w:eastAsia="宋体"/>
                <w:sz w:val="16"/>
              </w:rPr>
              <w:t>焉耆县人民检察院工作报告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ED19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ABF4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2C7DE6">
            <w:pPr>
              <w:jc w:val="center"/>
            </w:pPr>
            <w:r>
              <w:rPr>
                <w:rFonts w:ascii="宋体" w:hAnsi="宋体" w:eastAsia="宋体"/>
                <w:sz w:val="16"/>
              </w:rPr>
              <w:t>30</w:t>
            </w:r>
          </w:p>
        </w:tc>
      </w:tr>
      <w:tr w14:paraId="529B94C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3FCFDA">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3D8AC4">
            <w:pPr>
              <w:jc w:val="center"/>
            </w:pPr>
            <w:r>
              <w:rPr>
                <w:rFonts w:ascii="宋体" w:hAnsi="宋体" w:eastAsia="宋体"/>
                <w:sz w:val="16"/>
              </w:rPr>
              <w:t>满意度指指标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80896">
            <w:pPr>
              <w:jc w:val="center"/>
            </w:pPr>
            <w:r>
              <w:rPr>
                <w:rFonts w:ascii="宋体" w:hAnsi="宋体" w:eastAsia="宋体"/>
                <w:sz w:val="16"/>
              </w:rPr>
              <w:t>群众信访案件满意度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C914D">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C521B">
            <w:pPr>
              <w:jc w:val="center"/>
            </w:pPr>
            <w:r>
              <w:rPr>
                <w:rFonts w:ascii="宋体" w:hAnsi="宋体" w:eastAsia="宋体"/>
                <w:sz w:val="16"/>
              </w:rPr>
              <w:t>焉耆县人民检察院工作报告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6562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FA51F">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38697A">
            <w:pPr>
              <w:jc w:val="center"/>
            </w:pPr>
            <w:r>
              <w:rPr>
                <w:rFonts w:ascii="宋体" w:hAnsi="宋体" w:eastAsia="宋体"/>
                <w:sz w:val="16"/>
              </w:rPr>
              <w:t>10</w:t>
            </w:r>
          </w:p>
        </w:tc>
      </w:tr>
    </w:tbl>
    <w:p w14:paraId="72B9455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3560B3E">
        <w:tblPrEx>
          <w:tblCellMar>
            <w:top w:w="0" w:type="dxa"/>
            <w:left w:w="108" w:type="dxa"/>
            <w:bottom w:w="0" w:type="dxa"/>
            <w:right w:w="108" w:type="dxa"/>
          </w:tblCellMar>
        </w:tblPrEx>
        <w:tc>
          <w:tcPr>
            <w:tcW w:w="8848" w:type="dxa"/>
            <w:gridSpan w:val="14"/>
            <w:vAlign w:val="center"/>
          </w:tcPr>
          <w:p w14:paraId="5C0EA465">
            <w:pPr>
              <w:jc w:val="center"/>
            </w:pPr>
            <w:r>
              <w:rPr>
                <w:rFonts w:ascii="宋体" w:hAnsi="宋体" w:eastAsia="宋体"/>
                <w:sz w:val="24"/>
              </w:rPr>
              <w:t>项目支出绩效自评表</w:t>
            </w:r>
          </w:p>
        </w:tc>
      </w:tr>
      <w:tr w14:paraId="570B5E4C">
        <w:tblPrEx>
          <w:tblCellMar>
            <w:top w:w="0" w:type="dxa"/>
            <w:left w:w="108" w:type="dxa"/>
            <w:bottom w:w="0" w:type="dxa"/>
            <w:right w:w="108" w:type="dxa"/>
          </w:tblCellMar>
        </w:tblPrEx>
        <w:tc>
          <w:tcPr>
            <w:tcW w:w="8848" w:type="dxa"/>
            <w:gridSpan w:val="14"/>
            <w:vAlign w:val="center"/>
          </w:tcPr>
          <w:p w14:paraId="0FDB777F">
            <w:pPr>
              <w:jc w:val="center"/>
            </w:pPr>
            <w:r>
              <w:rPr>
                <w:rFonts w:ascii="宋体" w:hAnsi="宋体" w:eastAsia="宋体"/>
                <w:sz w:val="24"/>
              </w:rPr>
              <w:t>(2024年度)</w:t>
            </w:r>
          </w:p>
        </w:tc>
      </w:tr>
      <w:tr w14:paraId="246C8F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C0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6A45AD">
            <w:pPr>
              <w:jc w:val="center"/>
            </w:pPr>
            <w:r>
              <w:rPr>
                <w:rFonts w:ascii="宋体" w:hAnsi="宋体" w:eastAsia="宋体"/>
                <w:sz w:val="16"/>
              </w:rPr>
              <w:t>2024年援疆经费</w:t>
            </w:r>
          </w:p>
        </w:tc>
      </w:tr>
      <w:tr w14:paraId="7AFA1B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80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EDBE5">
            <w:pPr>
              <w:jc w:val="center"/>
            </w:pPr>
            <w:r>
              <w:rPr>
                <w:rFonts w:ascii="宋体" w:hAnsi="宋体" w:eastAsia="宋体"/>
                <w:sz w:val="16"/>
              </w:rPr>
              <w:t>新疆巴州焉耆县人民检察院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E5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04BE52">
            <w:pPr>
              <w:jc w:val="center"/>
            </w:pPr>
            <w:r>
              <w:rPr>
                <w:rFonts w:ascii="宋体" w:hAnsi="宋体" w:eastAsia="宋体"/>
                <w:sz w:val="16"/>
              </w:rPr>
              <w:t>新疆巴州焉耆县人民检察院</w:t>
            </w:r>
          </w:p>
        </w:tc>
      </w:tr>
      <w:tr w14:paraId="3D0513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D964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864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414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3F3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B22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23B7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EE0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CF39">
            <w:pPr>
              <w:jc w:val="center"/>
            </w:pPr>
            <w:r>
              <w:rPr>
                <w:rFonts w:ascii="宋体" w:hAnsi="宋体" w:eastAsia="宋体"/>
                <w:sz w:val="16"/>
              </w:rPr>
              <w:t>得分</w:t>
            </w:r>
          </w:p>
        </w:tc>
      </w:tr>
      <w:tr w14:paraId="4DE97C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E6D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A66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3BF95">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C448E">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0E52">
            <w:pPr>
              <w:jc w:val="center"/>
            </w:pPr>
            <w:r>
              <w:rPr>
                <w:rFonts w:ascii="宋体" w:hAnsi="宋体" w:eastAsia="宋体"/>
                <w:sz w:val="16"/>
              </w:rPr>
              <w:t>38.48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BAD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030EE">
            <w:pPr>
              <w:jc w:val="center"/>
            </w:pPr>
            <w:r>
              <w:rPr>
                <w:rFonts w:ascii="宋体" w:hAnsi="宋体" w:eastAsia="宋体"/>
                <w:sz w:val="16"/>
              </w:rPr>
              <w:t>67.51%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A7F2">
            <w:pPr>
              <w:jc w:val="center"/>
            </w:pPr>
            <w:r>
              <w:rPr>
                <w:rFonts w:ascii="宋体" w:hAnsi="宋体" w:eastAsia="宋体"/>
                <w:sz w:val="16"/>
              </w:rPr>
              <w:t>1.88</w:t>
            </w:r>
          </w:p>
        </w:tc>
      </w:tr>
      <w:tr w14:paraId="13219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A2E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147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43A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83A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BEA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89F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5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FA1D">
            <w:pPr>
              <w:jc w:val="center"/>
            </w:pPr>
            <w:r>
              <w:rPr>
                <w:rFonts w:ascii="宋体" w:hAnsi="宋体" w:eastAsia="宋体"/>
                <w:sz w:val="16"/>
              </w:rPr>
              <w:t>-</w:t>
            </w:r>
          </w:p>
        </w:tc>
      </w:tr>
      <w:tr w14:paraId="39A2E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A9F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605A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84F55">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C999A">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9D36F">
            <w:pPr>
              <w:jc w:val="center"/>
            </w:pPr>
            <w:r>
              <w:rPr>
                <w:rFonts w:ascii="宋体" w:hAnsi="宋体" w:eastAsia="宋体"/>
                <w:sz w:val="16"/>
              </w:rPr>
              <w:t>38.48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6DD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DCE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16FC">
            <w:pPr>
              <w:jc w:val="center"/>
            </w:pPr>
            <w:r>
              <w:rPr>
                <w:rFonts w:ascii="宋体" w:hAnsi="宋体" w:eastAsia="宋体"/>
                <w:sz w:val="16"/>
              </w:rPr>
              <w:t>-</w:t>
            </w:r>
          </w:p>
        </w:tc>
      </w:tr>
      <w:tr w14:paraId="05602A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A966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F3BC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2A5DED">
            <w:pPr>
              <w:jc w:val="center"/>
            </w:pPr>
            <w:r>
              <w:rPr>
                <w:rFonts w:ascii="宋体" w:hAnsi="宋体" w:eastAsia="宋体"/>
                <w:sz w:val="16"/>
              </w:rPr>
              <w:t>总体目标完成情况</w:t>
            </w:r>
          </w:p>
        </w:tc>
      </w:tr>
      <w:tr w14:paraId="5FBF3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25B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5301B1">
            <w:pPr>
              <w:jc w:val="both"/>
            </w:pPr>
            <w:r>
              <w:rPr>
                <w:rFonts w:ascii="宋体" w:hAnsi="宋体" w:eastAsia="宋体"/>
                <w:sz w:val="16"/>
              </w:rPr>
              <w:t>以检察业务援助为核心，以检察人才援助为根本，以教育科技援助为动力，以检察文化援助为支点，以科技援助为发展，全年支出57万元保障42名人员经费正常运转，装备购置为1万元</w:t>
            </w:r>
            <w:r>
              <w:rPr>
                <w:rFonts w:hint="eastAsia" w:ascii="宋体" w:hAnsi="宋体"/>
                <w:sz w:val="16"/>
                <w:lang w:eastAsia="zh-CN"/>
              </w:rPr>
              <w:t>作为</w:t>
            </w:r>
            <w:r>
              <w:rPr>
                <w:rFonts w:ascii="宋体" w:hAnsi="宋体" w:eastAsia="宋体"/>
                <w:sz w:val="16"/>
              </w:rPr>
              <w:t>援疆工作办公需求。实现检察援疆任务，促进检察工作跨越发展</w:t>
            </w:r>
            <w:r>
              <w:rPr>
                <w:rFonts w:hint="eastAsia" w:ascii="宋体" w:hAnsi="宋体"/>
                <w:sz w:val="16"/>
                <w:lang w:eastAsia="zh-CN"/>
              </w:rPr>
              <w:t>，</w:t>
            </w:r>
            <w:r>
              <w:rPr>
                <w:rFonts w:ascii="宋体" w:hAnsi="宋体" w:eastAsia="宋体"/>
                <w:sz w:val="16"/>
              </w:rPr>
              <w:t>相互交流学习，有效提升检察干警综合素质素养和专业办案能力。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4A5310">
            <w:pPr>
              <w:jc w:val="both"/>
            </w:pPr>
            <w:r>
              <w:rPr>
                <w:rFonts w:ascii="宋体" w:hAnsi="宋体" w:eastAsia="宋体"/>
                <w:sz w:val="16"/>
              </w:rPr>
              <w:t>本年度</w:t>
            </w:r>
            <w:r>
              <w:rPr>
                <w:rFonts w:hint="eastAsia" w:ascii="宋体" w:hAnsi="宋体"/>
                <w:sz w:val="16"/>
                <w:lang w:eastAsia="zh-CN"/>
              </w:rPr>
              <w:t>本部门</w:t>
            </w:r>
            <w:r>
              <w:rPr>
                <w:rFonts w:ascii="宋体" w:hAnsi="宋体" w:eastAsia="宋体"/>
                <w:sz w:val="16"/>
              </w:rPr>
              <w:t>保障办公人员数量41人，资金及时到位，设备购置成本0.84万元，人均运转经费0.92万元，有效提升了检察干警综合素质和专业办案能力，检察干警满意度达到100%。</w:t>
            </w:r>
          </w:p>
        </w:tc>
      </w:tr>
      <w:tr w14:paraId="341F4D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D80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6F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BE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04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3EC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7C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376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83AC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0D7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3A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823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065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192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8C15">
            <w:pPr>
              <w:jc w:val="center"/>
            </w:pPr>
            <w:r>
              <w:rPr>
                <w:rFonts w:ascii="宋体" w:hAnsi="宋体" w:eastAsia="宋体"/>
                <w:sz w:val="16"/>
              </w:rPr>
              <w:t>偏差原因分析及改进措施</w:t>
            </w:r>
          </w:p>
        </w:tc>
      </w:tr>
      <w:tr w14:paraId="552BAD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183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EA8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DE1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9709">
            <w:pPr>
              <w:jc w:val="center"/>
            </w:pPr>
            <w:r>
              <w:rPr>
                <w:rFonts w:ascii="宋体" w:hAnsi="宋体" w:eastAsia="宋体"/>
                <w:sz w:val="16"/>
              </w:rPr>
              <w:t>受援检察官单位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6C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7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FA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4C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94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0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48F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E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42E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E946">
            <w:pPr>
              <w:jc w:val="center"/>
            </w:pPr>
          </w:p>
        </w:tc>
      </w:tr>
      <w:tr w14:paraId="41890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56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BC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CE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8A56">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9209">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3F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62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BAB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48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F8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3B17">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04B2">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6E40">
            <w:pPr>
              <w:jc w:val="center"/>
            </w:pPr>
            <w:r>
              <w:rPr>
                <w:rFonts w:ascii="宋体" w:hAnsi="宋体" w:eastAsia="宋体"/>
                <w:sz w:val="16"/>
              </w:rPr>
              <w:t>2.78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CB9D">
            <w:pPr>
              <w:jc w:val="center"/>
            </w:pPr>
            <w:r>
              <w:rPr>
                <w:rFonts w:ascii="宋体" w:hAnsi="宋体" w:eastAsia="宋体"/>
                <w:sz w:val="16"/>
              </w:rPr>
              <w:t>偏差原因：</w:t>
            </w:r>
            <w:r>
              <w:rPr>
                <w:rFonts w:hint="eastAsia" w:ascii="宋体" w:hAnsi="宋体"/>
                <w:sz w:val="16"/>
                <w:lang w:eastAsia="zh-CN"/>
              </w:rPr>
              <w:t>本部门</w:t>
            </w:r>
            <w:r>
              <w:rPr>
                <w:rFonts w:ascii="宋体" w:hAnsi="宋体" w:eastAsia="宋体"/>
                <w:sz w:val="16"/>
              </w:rPr>
              <w:t>退休一人。改进措施：加强数据调研，提高执行效率，制定更加准确的预算执行计划。</w:t>
            </w:r>
          </w:p>
        </w:tc>
      </w:tr>
      <w:tr w14:paraId="2D814F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40F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DB0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1C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EF71">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9A43">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80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29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3E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6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38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5FC5">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A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28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2D03">
            <w:pPr>
              <w:jc w:val="center"/>
            </w:pPr>
          </w:p>
        </w:tc>
      </w:tr>
      <w:tr w14:paraId="2E336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759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CA6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096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B2C9">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5B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C8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7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54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4C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D6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5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6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04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8FA6">
            <w:pPr>
              <w:jc w:val="center"/>
            </w:pPr>
          </w:p>
        </w:tc>
      </w:tr>
      <w:tr w14:paraId="1F922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82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EBF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50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25A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A6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A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EE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15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17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B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F1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1A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03E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CFCC">
            <w:pPr>
              <w:jc w:val="center"/>
            </w:pPr>
          </w:p>
        </w:tc>
      </w:tr>
      <w:tr w14:paraId="3CCB4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49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F3A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652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B739">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87D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8FE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5E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F0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A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7A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4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77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21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DAA4">
            <w:pPr>
              <w:jc w:val="center"/>
            </w:pPr>
          </w:p>
        </w:tc>
      </w:tr>
      <w:tr w14:paraId="6847B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5C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C9C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245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CA58">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48F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50B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F1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36E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30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D5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F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E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A9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A555">
            <w:pPr>
              <w:jc w:val="center"/>
            </w:pPr>
          </w:p>
        </w:tc>
      </w:tr>
      <w:tr w14:paraId="44CC8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2F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868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E65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3B4A">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ED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7E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7F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03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1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B0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93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1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49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DE94">
            <w:pPr>
              <w:jc w:val="center"/>
            </w:pPr>
          </w:p>
        </w:tc>
      </w:tr>
      <w:tr w14:paraId="54C60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2F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36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E6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F3FC">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DCA2">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7A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FC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33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63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57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D5C8">
            <w:pPr>
              <w:jc w:val="center"/>
            </w:pPr>
            <w:r>
              <w:rPr>
                <w:rFonts w:ascii="宋体" w:hAnsi="宋体" w:eastAsia="宋体"/>
                <w:sz w:val="16"/>
              </w:rPr>
              <w:t>2024年11月11日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1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B0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9DCC">
            <w:pPr>
              <w:jc w:val="center"/>
            </w:pPr>
          </w:p>
        </w:tc>
      </w:tr>
      <w:tr w14:paraId="4EEDF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7E3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1CB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D5E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CBA7">
            <w:pPr>
              <w:jc w:val="center"/>
            </w:pPr>
            <w:r>
              <w:rPr>
                <w:rFonts w:ascii="宋体" w:hAnsi="宋体" w:eastAsia="宋体"/>
                <w:sz w:val="16"/>
              </w:rPr>
              <w:t>人均运转经费数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1ACC">
            <w:pPr>
              <w:jc w:val="center"/>
            </w:pPr>
            <w:r>
              <w:rPr>
                <w:rFonts w:ascii="宋体" w:hAnsi="宋体" w:eastAsia="宋体"/>
                <w:sz w:val="16"/>
              </w:rPr>
              <w:t>&lt;=1.33万元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4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7D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9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1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C5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3DAF">
            <w:pPr>
              <w:jc w:val="center"/>
            </w:pPr>
            <w:r>
              <w:rPr>
                <w:rFonts w:ascii="宋体" w:hAnsi="宋体" w:eastAsia="宋体"/>
                <w:sz w:val="16"/>
              </w:rPr>
              <w:t>=0.92万元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3793">
            <w:pPr>
              <w:jc w:val="center"/>
            </w:pPr>
            <w:r>
              <w:rPr>
                <w:rFonts w:ascii="宋体" w:hAnsi="宋体" w:eastAsia="宋体"/>
                <w:sz w:val="16"/>
              </w:rPr>
              <w:t>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8466">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8FDC">
            <w:pPr>
              <w:jc w:val="center"/>
            </w:pPr>
            <w:r>
              <w:rPr>
                <w:rFonts w:ascii="宋体" w:hAnsi="宋体" w:eastAsia="宋体"/>
                <w:sz w:val="16"/>
              </w:rPr>
              <w:t>偏差原因：</w:t>
            </w:r>
            <w:r>
              <w:rPr>
                <w:rFonts w:hint="eastAsia" w:ascii="宋体" w:hAnsi="宋体"/>
                <w:sz w:val="16"/>
                <w:lang w:eastAsia="zh-CN"/>
              </w:rPr>
              <w:t>本部门</w:t>
            </w:r>
            <w:r>
              <w:rPr>
                <w:rFonts w:ascii="宋体" w:hAnsi="宋体" w:eastAsia="宋体"/>
                <w:sz w:val="16"/>
              </w:rPr>
              <w:t>退休一人,导致人均运转经费产生偏差。改进措施：加强数据调研，提高执行效率，制定更加准确的预算执行计划。</w:t>
            </w:r>
          </w:p>
        </w:tc>
      </w:tr>
      <w:tr w14:paraId="78718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658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D1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0C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D8DB">
            <w:pPr>
              <w:jc w:val="center"/>
            </w:pPr>
            <w:r>
              <w:rPr>
                <w:rFonts w:ascii="宋体" w:hAnsi="宋体" w:eastAsia="宋体"/>
                <w:sz w:val="16"/>
              </w:rPr>
              <w:t>设备购置成本数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80FD">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31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DA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BB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A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4F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7EB4">
            <w:pPr>
              <w:jc w:val="center"/>
            </w:pPr>
            <w:r>
              <w:rPr>
                <w:rFonts w:ascii="宋体" w:hAnsi="宋体" w:eastAsia="宋体"/>
                <w:sz w:val="16"/>
              </w:rPr>
              <w:t>=0.84万元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F730">
            <w:pPr>
              <w:jc w:val="center"/>
            </w:pPr>
            <w:r>
              <w:rPr>
                <w:rFonts w:ascii="宋体" w:hAnsi="宋体" w:eastAsia="宋体"/>
                <w:sz w:val="16"/>
              </w:rPr>
              <w:t>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19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E921">
            <w:pPr>
              <w:jc w:val="center"/>
            </w:pPr>
            <w:r>
              <w:rPr>
                <w:rFonts w:ascii="宋体" w:hAnsi="宋体" w:eastAsia="宋体"/>
                <w:sz w:val="16"/>
              </w:rPr>
              <w:t>偏差原因：设备成本受市场波动影响,价格发生变动。改进措施：加强数据调研，提高执行效率，制定更加准确的预算执行计划。</w:t>
            </w:r>
          </w:p>
        </w:tc>
      </w:tr>
      <w:tr w14:paraId="3B6A6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F63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5D3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0CF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6392">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1E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3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C7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80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1E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72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9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71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E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1CC5">
            <w:pPr>
              <w:jc w:val="center"/>
            </w:pPr>
          </w:p>
        </w:tc>
      </w:tr>
      <w:tr w14:paraId="6E9C2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2D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3E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9E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28F7">
            <w:pPr>
              <w:jc w:val="center"/>
            </w:pPr>
            <w:r>
              <w:rPr>
                <w:rFonts w:ascii="宋体" w:hAnsi="宋体" w:eastAsia="宋体"/>
                <w:sz w:val="16"/>
              </w:rPr>
              <w:t>提升检察干警综合素质素养和专业办案能力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E51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F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A14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F6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DA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ED0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1D5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2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D2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6260">
            <w:pPr>
              <w:jc w:val="center"/>
            </w:pPr>
          </w:p>
        </w:tc>
      </w:tr>
      <w:tr w14:paraId="54F0C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64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BC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6E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AB7F">
            <w:pPr>
              <w:jc w:val="center"/>
            </w:pPr>
            <w:r>
              <w:rPr>
                <w:rFonts w:ascii="宋体" w:hAnsi="宋体" w:eastAsia="宋体"/>
                <w:sz w:val="16"/>
              </w:rPr>
              <w:t>受援检察官满意度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11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59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6B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0DE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09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8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2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2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BE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A6E7">
            <w:pPr>
              <w:jc w:val="center"/>
            </w:pPr>
          </w:p>
        </w:tc>
      </w:tr>
      <w:tr w14:paraId="67FB34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CEFE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DF3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EE30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0EC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01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086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AC3F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23C7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7D0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E0FD">
            <w:pPr>
              <w:jc w:val="center"/>
            </w:pPr>
            <w:r>
              <w:rPr>
                <w:rFonts w:ascii="宋体" w:hAnsi="宋体" w:eastAsia="宋体"/>
                <w:sz w:val="16"/>
              </w:rPr>
              <w:t>79.91分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088E87"/>
        </w:tc>
      </w:tr>
    </w:tbl>
    <w:p w14:paraId="461EAF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F4C2C9B">
        <w:tblPrEx>
          <w:tblCellMar>
            <w:top w:w="0" w:type="dxa"/>
            <w:left w:w="108" w:type="dxa"/>
            <w:bottom w:w="0" w:type="dxa"/>
            <w:right w:w="108" w:type="dxa"/>
          </w:tblCellMar>
        </w:tblPrEx>
        <w:tc>
          <w:tcPr>
            <w:tcW w:w="8848" w:type="dxa"/>
            <w:gridSpan w:val="14"/>
            <w:vAlign w:val="center"/>
          </w:tcPr>
          <w:p w14:paraId="168820D3">
            <w:pPr>
              <w:jc w:val="center"/>
            </w:pPr>
            <w:r>
              <w:rPr>
                <w:rFonts w:ascii="宋体" w:hAnsi="宋体" w:eastAsia="宋体"/>
                <w:sz w:val="24"/>
              </w:rPr>
              <w:t>项目支出绩效自评表</w:t>
            </w:r>
          </w:p>
        </w:tc>
      </w:tr>
      <w:tr w14:paraId="03F48A4B">
        <w:tblPrEx>
          <w:tblCellMar>
            <w:top w:w="0" w:type="dxa"/>
            <w:left w:w="108" w:type="dxa"/>
            <w:bottom w:w="0" w:type="dxa"/>
            <w:right w:w="108" w:type="dxa"/>
          </w:tblCellMar>
        </w:tblPrEx>
        <w:tc>
          <w:tcPr>
            <w:tcW w:w="8848" w:type="dxa"/>
            <w:gridSpan w:val="14"/>
            <w:vAlign w:val="center"/>
          </w:tcPr>
          <w:p w14:paraId="120CAD9D">
            <w:pPr>
              <w:jc w:val="center"/>
            </w:pPr>
            <w:r>
              <w:rPr>
                <w:rFonts w:ascii="宋体" w:hAnsi="宋体" w:eastAsia="宋体"/>
                <w:sz w:val="24"/>
              </w:rPr>
              <w:t>(2024年度)</w:t>
            </w:r>
          </w:p>
        </w:tc>
      </w:tr>
      <w:tr w14:paraId="7392B7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C3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6F5E9C">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4779A8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6E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D916D">
            <w:pPr>
              <w:jc w:val="center"/>
            </w:pPr>
            <w:r>
              <w:rPr>
                <w:rFonts w:ascii="宋体" w:hAnsi="宋体" w:eastAsia="宋体"/>
                <w:sz w:val="16"/>
              </w:rPr>
              <w:t>新疆巴州焉耆县人民检察院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2C7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6B0AB1">
            <w:pPr>
              <w:jc w:val="center"/>
            </w:pPr>
            <w:r>
              <w:rPr>
                <w:rFonts w:ascii="宋体" w:hAnsi="宋体" w:eastAsia="宋体"/>
                <w:sz w:val="16"/>
              </w:rPr>
              <w:t>新疆巴州焉耆县人民检察院</w:t>
            </w:r>
          </w:p>
        </w:tc>
      </w:tr>
      <w:tr w14:paraId="4E671E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213A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60D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E81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F7B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900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212B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E5F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FEED">
            <w:pPr>
              <w:jc w:val="center"/>
            </w:pPr>
            <w:r>
              <w:rPr>
                <w:rFonts w:ascii="宋体" w:hAnsi="宋体" w:eastAsia="宋体"/>
                <w:sz w:val="16"/>
              </w:rPr>
              <w:t>得分</w:t>
            </w:r>
          </w:p>
        </w:tc>
      </w:tr>
      <w:tr w14:paraId="5BEE08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330C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7CC7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6AF6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7001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D59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149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367E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955E">
            <w:pPr>
              <w:jc w:val="center"/>
            </w:pPr>
            <w:r>
              <w:rPr>
                <w:rFonts w:ascii="宋体" w:hAnsi="宋体" w:eastAsia="宋体"/>
                <w:sz w:val="16"/>
              </w:rPr>
              <w:t>10.00</w:t>
            </w:r>
          </w:p>
        </w:tc>
      </w:tr>
      <w:tr w14:paraId="565FA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670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8F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0D21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79BD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FC47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463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007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76E1">
            <w:pPr>
              <w:jc w:val="center"/>
            </w:pPr>
            <w:r>
              <w:rPr>
                <w:rFonts w:ascii="宋体" w:hAnsi="宋体" w:eastAsia="宋体"/>
                <w:sz w:val="16"/>
              </w:rPr>
              <w:t>-</w:t>
            </w:r>
          </w:p>
        </w:tc>
      </w:tr>
      <w:tr w14:paraId="542F8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266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F752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511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30C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BD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EC2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27C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E0B0">
            <w:pPr>
              <w:jc w:val="center"/>
            </w:pPr>
            <w:r>
              <w:rPr>
                <w:rFonts w:ascii="宋体" w:hAnsi="宋体" w:eastAsia="宋体"/>
                <w:sz w:val="16"/>
              </w:rPr>
              <w:t>-</w:t>
            </w:r>
          </w:p>
        </w:tc>
      </w:tr>
      <w:tr w14:paraId="045328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5BF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FE23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D89ADE">
            <w:pPr>
              <w:jc w:val="center"/>
            </w:pPr>
            <w:r>
              <w:rPr>
                <w:rFonts w:ascii="宋体" w:hAnsi="宋体" w:eastAsia="宋体"/>
                <w:sz w:val="16"/>
              </w:rPr>
              <w:t>总体目标完成情况</w:t>
            </w:r>
          </w:p>
        </w:tc>
      </w:tr>
      <w:tr w14:paraId="27B00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688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DC4083">
            <w:pPr>
              <w:jc w:val="both"/>
            </w:pPr>
            <w:r>
              <w:rPr>
                <w:rFonts w:ascii="宋体" w:hAnsi="宋体" w:eastAsia="宋体"/>
                <w:sz w:val="16"/>
              </w:rPr>
              <w:t>合理合规使用为民办实事经费，确保为民办实事经费使用的安全性、规范性和实效性。确保焉耆县五号渠乡查汗渠村工作队共2名工作人员，工作经费落实到实处。组织各项慰问和文体活动，提高居民文化生活水平。开展“民族团结一家亲”，团结关爱户、独居老人、社区干部联谊活动，加快资金支付进度，保障项目按期完成，提高为民办实事力度，提升群众获得感，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590464">
            <w:pPr>
              <w:jc w:val="both"/>
            </w:pPr>
            <w:r>
              <w:rPr>
                <w:rFonts w:ascii="宋体" w:hAnsi="宋体" w:eastAsia="宋体"/>
                <w:sz w:val="16"/>
              </w:rPr>
              <w:t>为全面贯彻新时代党的治疆方略，努力做好群众工作，落实惠民政策，我院开展</w:t>
            </w:r>
            <w:r>
              <w:rPr>
                <w:rFonts w:hint="eastAsia" w:ascii="宋体" w:hAnsi="宋体"/>
                <w:sz w:val="16"/>
                <w:lang w:eastAsia="zh-CN"/>
              </w:rPr>
              <w:t>为民办实事</w:t>
            </w:r>
            <w:r>
              <w:rPr>
                <w:rFonts w:ascii="宋体" w:hAnsi="宋体" w:eastAsia="宋体"/>
                <w:sz w:val="16"/>
              </w:rPr>
              <w:t>工作队经费项目，确保焉耆县五号渠乡查汗渠村工作队共2名工作人员，工作经费落实到实处。组织安装焉耆县五号渠乡查汗渠村村委会燃气管道，保障项目按期完成，提高为民办实事力度，提升群众获得感，切实做到为村民办实事、解民忧，着力解决村民</w:t>
            </w:r>
            <w:bookmarkStart w:id="0" w:name="_GoBack"/>
            <w:r>
              <w:rPr>
                <w:rFonts w:hint="eastAsia" w:ascii="宋体" w:hAnsi="宋体"/>
                <w:sz w:val="16"/>
                <w:lang w:eastAsia="zh-CN"/>
              </w:rPr>
              <w:t>急难愁盼问题</w:t>
            </w:r>
            <w:bookmarkEnd w:id="0"/>
            <w:r>
              <w:rPr>
                <w:rFonts w:ascii="宋体" w:hAnsi="宋体" w:eastAsia="宋体"/>
                <w:sz w:val="16"/>
              </w:rPr>
              <w:t>，把惠民生、暖民心、顺民意的工作做到群众心坎上。</w:t>
            </w:r>
          </w:p>
        </w:tc>
      </w:tr>
      <w:tr w14:paraId="4FD29A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ED1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4C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D4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CE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4D6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CB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CE2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A77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3CE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FC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C7F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FEA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2F2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1C69">
            <w:pPr>
              <w:jc w:val="center"/>
            </w:pPr>
            <w:r>
              <w:rPr>
                <w:rFonts w:ascii="宋体" w:hAnsi="宋体" w:eastAsia="宋体"/>
                <w:sz w:val="16"/>
              </w:rPr>
              <w:t>偏差原因分析及改进措施</w:t>
            </w:r>
          </w:p>
        </w:tc>
      </w:tr>
      <w:tr w14:paraId="0F1CF1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7D7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97A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71A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7FE8">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152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68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79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97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D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1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A8F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9A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54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1637">
            <w:pPr>
              <w:jc w:val="center"/>
            </w:pPr>
          </w:p>
        </w:tc>
      </w:tr>
      <w:tr w14:paraId="28ABE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A38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02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02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D5F3">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0A69">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1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B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FBE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43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72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FE4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77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15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0525">
            <w:pPr>
              <w:jc w:val="center"/>
            </w:pPr>
          </w:p>
        </w:tc>
      </w:tr>
      <w:tr w14:paraId="01203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DBA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2A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58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57DEB">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D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E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32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DA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2E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7D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5D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3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53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8F49">
            <w:pPr>
              <w:jc w:val="center"/>
            </w:pPr>
          </w:p>
        </w:tc>
      </w:tr>
      <w:tr w14:paraId="2768F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94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1D5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74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DB56">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26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5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28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EA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D2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25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F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3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9A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A552">
            <w:pPr>
              <w:jc w:val="center"/>
            </w:pPr>
          </w:p>
        </w:tc>
      </w:tr>
      <w:tr w14:paraId="40E3A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C12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A74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C80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981B">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380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4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3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82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B3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38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5CD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6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22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2E90">
            <w:pPr>
              <w:jc w:val="center"/>
            </w:pPr>
          </w:p>
        </w:tc>
      </w:tr>
      <w:tr w14:paraId="57200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62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BE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FC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2BC6">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A30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ED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1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9C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9A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8E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126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F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68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1B46">
            <w:pPr>
              <w:jc w:val="center"/>
            </w:pPr>
          </w:p>
        </w:tc>
      </w:tr>
      <w:tr w14:paraId="093BD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23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DB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2A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03D2">
            <w:pPr>
              <w:jc w:val="center"/>
            </w:pPr>
            <w:r>
              <w:rPr>
                <w:rFonts w:ascii="宋体" w:hAnsi="宋体" w:eastAsia="宋体"/>
                <w:sz w:val="16"/>
              </w:rPr>
              <w:t>村民文化生活水平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E0D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D1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5C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C7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D4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36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52D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4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DF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5346">
            <w:pPr>
              <w:jc w:val="center"/>
            </w:pPr>
          </w:p>
        </w:tc>
      </w:tr>
      <w:tr w14:paraId="04040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290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95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7D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5507">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29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2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0A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D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1A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9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92D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B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61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C99B">
            <w:pPr>
              <w:jc w:val="center"/>
            </w:pPr>
          </w:p>
        </w:tc>
      </w:tr>
      <w:tr w14:paraId="1650EC7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B10E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F326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32D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471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A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E2C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0FA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4E24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36D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136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3A554C"/>
        </w:tc>
      </w:tr>
    </w:tbl>
    <w:p w14:paraId="61064E5B">
      <w:r>
        <w:br w:type="page"/>
      </w:r>
    </w:p>
    <w:p w14:paraId="4DB101D2">
      <w:pPr>
        <w:spacing w:line="640" w:lineRule="exact"/>
        <w:ind w:firstLine="640"/>
        <w:jc w:val="both"/>
        <w:outlineLvl w:val="2"/>
      </w:pPr>
      <w:r>
        <w:rPr>
          <w:rFonts w:ascii="黑体" w:hAnsi="黑体" w:eastAsia="黑体"/>
          <w:sz w:val="32"/>
        </w:rPr>
        <w:t>十二、其他需说明的事项</w:t>
      </w:r>
    </w:p>
    <w:p w14:paraId="1B402FE2">
      <w:pPr>
        <w:spacing w:line="580" w:lineRule="exact"/>
        <w:ind w:firstLine="640"/>
        <w:jc w:val="both"/>
      </w:pPr>
      <w:r>
        <w:rPr>
          <w:rFonts w:ascii="仿宋_GB2312" w:hAnsi="仿宋_GB2312" w:eastAsia="仿宋_GB2312"/>
          <w:b w:val="0"/>
          <w:sz w:val="32"/>
        </w:rPr>
        <w:t>本年本部门SM项目2个，全年预算数151.00万元，全年执行数151.00万元。</w:t>
      </w:r>
    </w:p>
    <w:p w14:paraId="7FFABA3C">
      <w:r>
        <w:br w:type="page"/>
      </w:r>
    </w:p>
    <w:p w14:paraId="7DC3ED77">
      <w:pPr>
        <w:spacing w:line="240" w:lineRule="auto"/>
        <w:jc w:val="center"/>
        <w:outlineLvl w:val="1"/>
      </w:pPr>
      <w:r>
        <w:rPr>
          <w:rFonts w:ascii="黑体" w:hAnsi="黑体" w:eastAsia="黑体"/>
          <w:sz w:val="32"/>
        </w:rPr>
        <w:t>第三部分 专业名词解释</w:t>
      </w:r>
    </w:p>
    <w:p w14:paraId="0B59660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3137A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0886AC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460FBA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AC0182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877FB5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88ECD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20122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00FCF2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A3EDDF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C40432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A393E4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9B2317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6FAEA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D913E03">
      <w:r>
        <w:br w:type="page"/>
      </w:r>
    </w:p>
    <w:p w14:paraId="370302A5">
      <w:pPr>
        <w:spacing w:line="240" w:lineRule="auto"/>
        <w:jc w:val="center"/>
        <w:outlineLvl w:val="1"/>
      </w:pPr>
      <w:r>
        <w:rPr>
          <w:rFonts w:ascii="黑体" w:hAnsi="黑体" w:eastAsia="黑体"/>
          <w:sz w:val="32"/>
        </w:rPr>
        <w:t>第四部分 部门决算报表（见附表）</w:t>
      </w:r>
    </w:p>
    <w:p w14:paraId="00091C1B">
      <w:pPr>
        <w:spacing w:line="240" w:lineRule="auto"/>
        <w:ind w:firstLine="640"/>
        <w:jc w:val="both"/>
      </w:pPr>
      <w:r>
        <w:rPr>
          <w:rFonts w:ascii="仿宋_GB2312" w:hAnsi="仿宋_GB2312" w:eastAsia="仿宋_GB2312"/>
          <w:b w:val="0"/>
          <w:sz w:val="32"/>
        </w:rPr>
        <w:t>一、《收入支出决算总表》</w:t>
      </w:r>
    </w:p>
    <w:p w14:paraId="5600C53C">
      <w:pPr>
        <w:spacing w:line="240" w:lineRule="auto"/>
        <w:ind w:firstLine="640"/>
        <w:jc w:val="both"/>
      </w:pPr>
      <w:r>
        <w:rPr>
          <w:rFonts w:ascii="仿宋_GB2312" w:hAnsi="仿宋_GB2312" w:eastAsia="仿宋_GB2312"/>
          <w:b w:val="0"/>
          <w:sz w:val="32"/>
        </w:rPr>
        <w:t>二、《收入决算表》</w:t>
      </w:r>
    </w:p>
    <w:p w14:paraId="717CB9B8">
      <w:pPr>
        <w:spacing w:line="240" w:lineRule="auto"/>
        <w:ind w:firstLine="640"/>
        <w:jc w:val="both"/>
      </w:pPr>
      <w:r>
        <w:rPr>
          <w:rFonts w:ascii="仿宋_GB2312" w:hAnsi="仿宋_GB2312" w:eastAsia="仿宋_GB2312"/>
          <w:b w:val="0"/>
          <w:sz w:val="32"/>
        </w:rPr>
        <w:t>三、《支出决算表》</w:t>
      </w:r>
    </w:p>
    <w:p w14:paraId="01A92973">
      <w:pPr>
        <w:spacing w:line="240" w:lineRule="auto"/>
        <w:ind w:firstLine="640"/>
        <w:jc w:val="both"/>
      </w:pPr>
      <w:r>
        <w:rPr>
          <w:rFonts w:ascii="仿宋_GB2312" w:hAnsi="仿宋_GB2312" w:eastAsia="仿宋_GB2312"/>
          <w:b w:val="0"/>
          <w:sz w:val="32"/>
        </w:rPr>
        <w:t>四、《财政拨款收入支出决算总表》</w:t>
      </w:r>
    </w:p>
    <w:p w14:paraId="6376E087">
      <w:pPr>
        <w:spacing w:line="240" w:lineRule="auto"/>
        <w:ind w:firstLine="640"/>
        <w:jc w:val="both"/>
      </w:pPr>
      <w:r>
        <w:rPr>
          <w:rFonts w:ascii="仿宋_GB2312" w:hAnsi="仿宋_GB2312" w:eastAsia="仿宋_GB2312"/>
          <w:b w:val="0"/>
          <w:sz w:val="32"/>
        </w:rPr>
        <w:t>五、《一般公共预算财政拨款支出决算表》</w:t>
      </w:r>
    </w:p>
    <w:p w14:paraId="20074311">
      <w:pPr>
        <w:spacing w:line="240" w:lineRule="auto"/>
        <w:ind w:firstLine="640"/>
        <w:jc w:val="both"/>
      </w:pPr>
      <w:r>
        <w:rPr>
          <w:rFonts w:ascii="仿宋_GB2312" w:hAnsi="仿宋_GB2312" w:eastAsia="仿宋_GB2312"/>
          <w:b w:val="0"/>
          <w:sz w:val="32"/>
        </w:rPr>
        <w:t>六、《一般公共预算财政拨款基本支出决算表》</w:t>
      </w:r>
    </w:p>
    <w:p w14:paraId="12584D41">
      <w:pPr>
        <w:spacing w:line="240" w:lineRule="auto"/>
        <w:ind w:firstLine="640"/>
        <w:jc w:val="both"/>
      </w:pPr>
      <w:r>
        <w:rPr>
          <w:rFonts w:ascii="仿宋_GB2312" w:hAnsi="仿宋_GB2312" w:eastAsia="仿宋_GB2312"/>
          <w:b w:val="0"/>
          <w:sz w:val="32"/>
        </w:rPr>
        <w:t>七、《政府性基金预算财政拨款收入支出决算表》</w:t>
      </w:r>
    </w:p>
    <w:p w14:paraId="77DE8216">
      <w:pPr>
        <w:spacing w:line="240" w:lineRule="auto"/>
        <w:ind w:firstLine="640"/>
        <w:jc w:val="both"/>
      </w:pPr>
      <w:r>
        <w:rPr>
          <w:rFonts w:ascii="仿宋_GB2312" w:hAnsi="仿宋_GB2312" w:eastAsia="仿宋_GB2312"/>
          <w:b w:val="0"/>
          <w:sz w:val="32"/>
        </w:rPr>
        <w:t>八、《国有资本经营预算财政拨款收入支出决算表》</w:t>
      </w:r>
    </w:p>
    <w:p w14:paraId="70E1DCCC">
      <w:pPr>
        <w:spacing w:line="240" w:lineRule="auto"/>
        <w:ind w:firstLine="640"/>
        <w:jc w:val="both"/>
      </w:pPr>
      <w:r>
        <w:rPr>
          <w:rFonts w:ascii="仿宋_GB2312" w:hAnsi="仿宋_GB2312" w:eastAsia="仿宋_GB2312"/>
          <w:b w:val="0"/>
          <w:sz w:val="32"/>
        </w:rPr>
        <w:t>九、《财政拨款“三公”经费支出决算表》</w:t>
      </w:r>
    </w:p>
    <w:p w14:paraId="0505A238">
      <w:pPr>
        <w:spacing w:line="240" w:lineRule="auto"/>
        <w:ind w:firstLine="640"/>
        <w:jc w:val="both"/>
      </w:pPr>
    </w:p>
    <w:p w14:paraId="3C826D81">
      <w:pPr>
        <w:spacing w:line="240" w:lineRule="auto"/>
        <w:ind w:firstLine="640"/>
        <w:jc w:val="both"/>
      </w:pPr>
    </w:p>
    <w:p w14:paraId="5EFCD79F">
      <w:pPr>
        <w:spacing w:line="240" w:lineRule="auto"/>
        <w:ind w:firstLine="640"/>
        <w:jc w:val="both"/>
      </w:pPr>
    </w:p>
    <w:p w14:paraId="48F4F824">
      <w:pPr>
        <w:spacing w:line="240" w:lineRule="auto"/>
        <w:ind w:firstLine="640"/>
        <w:jc w:val="both"/>
      </w:pPr>
    </w:p>
    <w:p w14:paraId="43F843B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CC6E4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7163</Words>
  <Characters>8190</Characters>
  <Lines>0</Lines>
  <Paragraphs>0</Paragraphs>
  <TotalTime>3</TotalTime>
  <ScaleCrop>false</ScaleCrop>
  <LinksUpToDate>false</LinksUpToDate>
  <CharactersWithSpaces>8199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2025-09-10T10:46:55Z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