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新疆巴州中级人民法院2024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8E88965">
      <w:r>
        <w:br w:type="page"/>
      </w:r>
    </w:p>
    <w:p w14:paraId="5CE6AD49">
      <w:pPr>
        <w:spacing w:line="640" w:lineRule="exact"/>
        <w:jc w:val="center"/>
        <w:outlineLvl w:val="1"/>
      </w:pPr>
      <w:r>
        <w:rPr>
          <w:rFonts w:ascii="黑体" w:hAnsi="黑体" w:eastAsia="黑体"/>
          <w:sz w:val="32"/>
        </w:rPr>
        <w:t>第一部分 部门概况</w:t>
      </w:r>
    </w:p>
    <w:p w14:paraId="7B8001DE">
      <w:pPr>
        <w:spacing w:line="640" w:lineRule="exact"/>
        <w:ind w:firstLine="640"/>
        <w:jc w:val="both"/>
        <w:outlineLvl w:val="2"/>
      </w:pPr>
      <w:r>
        <w:rPr>
          <w:rFonts w:ascii="黑体" w:hAnsi="黑体" w:eastAsia="黑体"/>
          <w:sz w:val="32"/>
        </w:rPr>
        <w:t>一、主要职能</w:t>
      </w:r>
    </w:p>
    <w:p w14:paraId="03C3FA7C">
      <w:pPr>
        <w:spacing w:line="580" w:lineRule="exact"/>
        <w:ind w:firstLine="640"/>
        <w:jc w:val="both"/>
      </w:pPr>
      <w:r>
        <w:rPr>
          <w:rFonts w:ascii="仿宋_GB2312" w:hAnsi="仿宋_GB2312" w:eastAsia="仿宋_GB2312"/>
          <w:sz w:val="32"/>
        </w:rPr>
        <w:t>巴州中级人民法院是国家审判机关，对自治州人民代表大会和自治州人民代表大会常务委员会负责并报告工作；接受自治区高级人民法院对审判工作的监督；监督自治州各县市基层人民法院的审判工作。</w:t>
      </w:r>
    </w:p>
    <w:p w14:paraId="4848C631">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法律规定由中级人民法院管辖、高级人民法院指定管辖或者认为应当由本院审判的刑事、民事和行政等第一审案件。</w:t>
      </w:r>
    </w:p>
    <w:p w14:paraId="6D75E3F1">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审判法律规定由中级人民法院审理的刑事、民事、行政第二审案件。</w:t>
      </w:r>
    </w:p>
    <w:p w14:paraId="3825C92A">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审理高级人民法院指令再审的案件；审理本院发生法律效力的判决、裁定提起再审的案件；受理不服下级人民法院判决、裁定的各类申诉和申请再审的案件。</w:t>
      </w:r>
    </w:p>
    <w:p w14:paraId="6AABDC0C">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审判由自治州人民检察院按照审判程序提起的抗诉案件。</w:t>
      </w:r>
    </w:p>
    <w:p w14:paraId="55D0469E">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对下级人民法院管辖不明的案件指定管辖。</w:t>
      </w:r>
    </w:p>
    <w:p w14:paraId="2DF22E0A">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监督下级人民法院的审判工作。</w:t>
      </w:r>
    </w:p>
    <w:p w14:paraId="5A4EFFA9">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办理减刑、假释案件。</w:t>
      </w:r>
    </w:p>
    <w:p w14:paraId="395E91F0">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依法行使司法执行权和司法决定权。</w:t>
      </w:r>
    </w:p>
    <w:p w14:paraId="0DF50D20">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依法决定国家赔偿。</w:t>
      </w:r>
    </w:p>
    <w:p w14:paraId="3A52772E">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对法律法规、规章等草案提出意见，研究拟定自治州法院工作的政策措施、规章制度，针对案件审理中发现的问题提出司法建议。</w:t>
      </w:r>
    </w:p>
    <w:p w14:paraId="28F911FA">
      <w:pPr>
        <w:spacing w:line="580" w:lineRule="exact"/>
        <w:ind w:firstLine="640"/>
        <w:jc w:val="both"/>
      </w:pPr>
      <w:r>
        <w:rPr>
          <w:rFonts w:hint="eastAsia" w:ascii="仿宋_GB2312" w:hAnsi="仿宋_GB2312" w:eastAsia="仿宋_GB2312"/>
          <w:sz w:val="32"/>
          <w:lang w:eastAsia="zh-CN"/>
        </w:rPr>
        <w:t>11.</w:t>
      </w:r>
      <w:r>
        <w:rPr>
          <w:rFonts w:ascii="仿宋_GB2312" w:hAnsi="仿宋_GB2312" w:eastAsia="仿宋_GB2312"/>
          <w:sz w:val="32"/>
        </w:rPr>
        <w:t>开展法院司法科学技术研究工作，提供司法技术信息和技术鉴定服务。</w:t>
      </w:r>
    </w:p>
    <w:p w14:paraId="501A5CD3">
      <w:pPr>
        <w:spacing w:line="580" w:lineRule="exact"/>
        <w:ind w:firstLine="640"/>
        <w:jc w:val="both"/>
      </w:pPr>
      <w:r>
        <w:rPr>
          <w:rFonts w:hint="eastAsia" w:ascii="仿宋_GB2312" w:hAnsi="仿宋_GB2312" w:eastAsia="仿宋_GB2312"/>
          <w:sz w:val="32"/>
          <w:lang w:eastAsia="zh-CN"/>
        </w:rPr>
        <w:t>12.</w:t>
      </w:r>
      <w:r>
        <w:rPr>
          <w:rFonts w:ascii="仿宋_GB2312" w:hAnsi="仿宋_GB2312" w:eastAsia="仿宋_GB2312"/>
          <w:sz w:val="32"/>
        </w:rPr>
        <w:t>承担全疆蒙文审判业务资料的编译工作。</w:t>
      </w:r>
    </w:p>
    <w:p w14:paraId="73F19789">
      <w:pPr>
        <w:spacing w:line="580" w:lineRule="exact"/>
        <w:ind w:firstLine="640"/>
        <w:jc w:val="both"/>
      </w:pPr>
      <w:r>
        <w:rPr>
          <w:rFonts w:hint="eastAsia" w:ascii="仿宋_GB2312" w:hAnsi="仿宋_GB2312" w:eastAsia="仿宋_GB2312"/>
          <w:sz w:val="32"/>
          <w:lang w:eastAsia="zh-CN"/>
        </w:rPr>
        <w:t>13.</w:t>
      </w:r>
      <w:r>
        <w:rPr>
          <w:rFonts w:ascii="仿宋_GB2312" w:hAnsi="仿宋_GB2312" w:eastAsia="仿宋_GB2312"/>
          <w:sz w:val="32"/>
        </w:rPr>
        <w:t>指导全州人民法院的思想政治、宣传教育和培训工作；协同自治州党委主管部门加强辖区内人民法院领导班子和队伍建设；按照权限管理法官和其他工作人员；协同自治州主管部门管理两级人民法院的机构设置及人员编制工作。</w:t>
      </w:r>
    </w:p>
    <w:p w14:paraId="5C99B241">
      <w:pPr>
        <w:spacing w:line="580" w:lineRule="exact"/>
        <w:ind w:firstLine="640"/>
        <w:jc w:val="both"/>
      </w:pPr>
      <w:r>
        <w:rPr>
          <w:rFonts w:hint="eastAsia" w:ascii="仿宋_GB2312" w:hAnsi="仿宋_GB2312" w:eastAsia="仿宋_GB2312"/>
          <w:sz w:val="32"/>
          <w:lang w:eastAsia="zh-CN"/>
        </w:rPr>
        <w:t>14.</w:t>
      </w:r>
      <w:r>
        <w:rPr>
          <w:rFonts w:ascii="仿宋_GB2312" w:hAnsi="仿宋_GB2312" w:eastAsia="仿宋_GB2312"/>
          <w:sz w:val="32"/>
        </w:rPr>
        <w:t>领导全州人民法院的监察工作。</w:t>
      </w:r>
    </w:p>
    <w:p w14:paraId="0FB042FE">
      <w:pPr>
        <w:spacing w:line="580" w:lineRule="exact"/>
        <w:ind w:firstLine="640"/>
        <w:jc w:val="both"/>
      </w:pPr>
      <w:r>
        <w:rPr>
          <w:rFonts w:hint="eastAsia" w:ascii="仿宋_GB2312" w:hAnsi="仿宋_GB2312" w:eastAsia="仿宋_GB2312"/>
          <w:sz w:val="32"/>
          <w:lang w:eastAsia="zh-CN"/>
        </w:rPr>
        <w:t>15.</w:t>
      </w:r>
      <w:r>
        <w:rPr>
          <w:rFonts w:ascii="仿宋_GB2312" w:hAnsi="仿宋_GB2312" w:eastAsia="仿宋_GB2312"/>
          <w:sz w:val="32"/>
        </w:rPr>
        <w:t>在审判工作中宣传法制、教育公民自觉遵守宪法、法律。</w:t>
      </w:r>
    </w:p>
    <w:p w14:paraId="3E130251">
      <w:pPr>
        <w:spacing w:line="580" w:lineRule="exact"/>
        <w:ind w:firstLine="640"/>
        <w:jc w:val="both"/>
      </w:pPr>
      <w:r>
        <w:rPr>
          <w:rFonts w:hint="eastAsia" w:ascii="仿宋_GB2312" w:hAnsi="仿宋_GB2312" w:eastAsia="仿宋_GB2312"/>
          <w:sz w:val="32"/>
          <w:lang w:eastAsia="zh-CN"/>
        </w:rPr>
        <w:t>16.</w:t>
      </w:r>
      <w:r>
        <w:rPr>
          <w:rFonts w:ascii="仿宋_GB2312" w:hAnsi="仿宋_GB2312" w:eastAsia="仿宋_GB2312"/>
          <w:sz w:val="32"/>
        </w:rPr>
        <w:t>承办其他应由自治州中级人民法院负责的工作。</w:t>
      </w:r>
    </w:p>
    <w:p w14:paraId="1995BEB8">
      <w:pPr>
        <w:spacing w:line="640" w:lineRule="exact"/>
        <w:ind w:firstLine="640"/>
        <w:jc w:val="both"/>
        <w:outlineLvl w:val="2"/>
      </w:pPr>
      <w:r>
        <w:rPr>
          <w:rFonts w:ascii="黑体" w:hAnsi="黑体" w:eastAsia="黑体"/>
          <w:sz w:val="32"/>
        </w:rPr>
        <w:t>二、机构设置及人员情况</w:t>
      </w:r>
    </w:p>
    <w:p w14:paraId="770433EC">
      <w:pPr>
        <w:spacing w:line="580" w:lineRule="exact"/>
        <w:ind w:firstLine="640"/>
        <w:jc w:val="both"/>
      </w:pPr>
      <w:r>
        <w:rPr>
          <w:rFonts w:ascii="仿宋_GB2312" w:hAnsi="仿宋_GB2312" w:eastAsia="仿宋_GB2312"/>
          <w:sz w:val="32"/>
        </w:rPr>
        <w:t>新疆巴州中级人民法院2024年度，实有人数235人，其中：在职人员136人，减少23人；离休人员1人，增加0人；退休人员98人,增加4人。</w:t>
      </w:r>
    </w:p>
    <w:p w14:paraId="7F8A0C8E">
      <w:pPr>
        <w:spacing w:line="580" w:lineRule="exact"/>
        <w:ind w:firstLine="640"/>
        <w:jc w:val="both"/>
      </w:pPr>
      <w:r>
        <w:rPr>
          <w:rFonts w:ascii="仿宋_GB2312" w:hAnsi="仿宋_GB2312" w:eastAsia="仿宋_GB2312"/>
          <w:sz w:val="32"/>
        </w:rPr>
        <w:t>新疆巴州中级人民法院无下属预算单位，下设15个科室，分别是：政治部、监察室、办公室、立案庭、刑事审判庭、民事审判一庭、民事审判二庭、行政审判庭、审判监督庭、执行局、司法警察支队、审管办、研究室、信访室、调查室。</w:t>
      </w:r>
    </w:p>
    <w:p w14:paraId="02A564A1">
      <w:r>
        <w:br w:type="page"/>
      </w:r>
    </w:p>
    <w:p w14:paraId="287587A7">
      <w:pPr>
        <w:spacing w:line="240" w:lineRule="auto"/>
        <w:jc w:val="center"/>
        <w:outlineLvl w:val="1"/>
      </w:pPr>
      <w:r>
        <w:rPr>
          <w:rFonts w:ascii="黑体" w:hAnsi="黑体" w:eastAsia="黑体"/>
          <w:sz w:val="32"/>
        </w:rPr>
        <w:t>第二部分 部门决算情况说明</w:t>
      </w:r>
    </w:p>
    <w:p w14:paraId="5C9B65AC">
      <w:pPr>
        <w:spacing w:line="640" w:lineRule="exact"/>
        <w:ind w:firstLine="640"/>
        <w:jc w:val="both"/>
        <w:outlineLvl w:val="2"/>
      </w:pPr>
      <w:r>
        <w:rPr>
          <w:rFonts w:ascii="黑体" w:hAnsi="黑体" w:eastAsia="黑体"/>
          <w:sz w:val="32"/>
        </w:rPr>
        <w:t>一、收入支出决算总体情况说明</w:t>
      </w:r>
    </w:p>
    <w:p w14:paraId="0A0DB09A">
      <w:pPr>
        <w:spacing w:line="580" w:lineRule="exact"/>
        <w:ind w:firstLine="640"/>
        <w:jc w:val="both"/>
      </w:pPr>
      <w:r>
        <w:rPr>
          <w:rFonts w:ascii="仿宋_GB2312" w:hAnsi="仿宋_GB2312" w:eastAsia="仿宋_GB2312"/>
          <w:b/>
          <w:sz w:val="32"/>
        </w:rPr>
        <w:t>2024年度收入总计5,393.40万元，</w:t>
      </w:r>
      <w:r>
        <w:rPr>
          <w:rFonts w:ascii="仿宋_GB2312" w:hAnsi="仿宋_GB2312" w:eastAsia="仿宋_GB2312"/>
          <w:b w:val="0"/>
          <w:sz w:val="32"/>
        </w:rPr>
        <w:t>其中：本年收入合计5,393.39万元，使用非财政拨款结余（含专用结余）0.00万元，年初结转和结余0.01万元。</w:t>
      </w:r>
    </w:p>
    <w:p w14:paraId="0659B1CC">
      <w:pPr>
        <w:spacing w:line="580" w:lineRule="exact"/>
        <w:ind w:firstLine="640"/>
        <w:jc w:val="both"/>
      </w:pPr>
      <w:r>
        <w:rPr>
          <w:rFonts w:ascii="仿宋_GB2312" w:hAnsi="仿宋_GB2312" w:eastAsia="仿宋_GB2312"/>
          <w:b/>
          <w:sz w:val="32"/>
        </w:rPr>
        <w:t>2024年度支出总计5,393.40万元，</w:t>
      </w:r>
      <w:r>
        <w:rPr>
          <w:rFonts w:ascii="仿宋_GB2312" w:hAnsi="仿宋_GB2312" w:eastAsia="仿宋_GB2312"/>
          <w:b w:val="0"/>
          <w:sz w:val="32"/>
        </w:rPr>
        <w:t>其中：本年支出合计5,393.39万元，结余分配0.00万元，年末结转和结余0.01万元。</w:t>
      </w:r>
    </w:p>
    <w:p w14:paraId="40EEFB14">
      <w:pPr>
        <w:spacing w:line="580" w:lineRule="exact"/>
        <w:ind w:firstLine="640"/>
        <w:jc w:val="both"/>
      </w:pPr>
      <w:r>
        <w:rPr>
          <w:rFonts w:ascii="仿宋_GB2312" w:hAnsi="仿宋_GB2312" w:eastAsia="仿宋_GB2312"/>
          <w:b w:val="0"/>
          <w:sz w:val="32"/>
        </w:rPr>
        <w:t>收入支出总体与上年相比，增加358.50万元，增长7.12%，主要原因是：本年增加审判楼项目、巴州中院柔性引才项目、援助博湖县人民法院基础设施</w:t>
      </w:r>
      <w:r>
        <w:rPr>
          <w:rFonts w:hint="eastAsia" w:ascii="仿宋_GB2312" w:hAnsi="仿宋_GB2312" w:eastAsia="仿宋_GB2312"/>
          <w:b w:val="0"/>
          <w:sz w:val="32"/>
          <w:lang w:eastAsia="zh-CN"/>
        </w:rPr>
        <w:t>建设</w:t>
      </w:r>
      <w:r>
        <w:rPr>
          <w:rFonts w:ascii="仿宋_GB2312" w:hAnsi="仿宋_GB2312" w:eastAsia="仿宋_GB2312"/>
          <w:b w:val="0"/>
          <w:sz w:val="32"/>
        </w:rPr>
        <w:t>资金及卫生间改造项目资金等。</w:t>
      </w:r>
    </w:p>
    <w:p w14:paraId="24AB27BE">
      <w:pPr>
        <w:spacing w:line="640" w:lineRule="exact"/>
        <w:ind w:firstLine="640"/>
        <w:jc w:val="both"/>
        <w:outlineLvl w:val="2"/>
      </w:pPr>
      <w:r>
        <w:rPr>
          <w:rFonts w:ascii="黑体" w:hAnsi="黑体" w:eastAsia="黑体"/>
          <w:sz w:val="32"/>
        </w:rPr>
        <w:t>二、收入决算情况说明</w:t>
      </w:r>
    </w:p>
    <w:p w14:paraId="16472B57">
      <w:pPr>
        <w:spacing w:line="580" w:lineRule="exact"/>
        <w:ind w:firstLine="640"/>
        <w:jc w:val="both"/>
      </w:pPr>
      <w:r>
        <w:rPr>
          <w:rFonts w:ascii="仿宋_GB2312" w:hAnsi="仿宋_GB2312" w:eastAsia="仿宋_GB2312"/>
          <w:b/>
          <w:sz w:val="32"/>
        </w:rPr>
        <w:t>本年收入5,393.39万元，</w:t>
      </w:r>
      <w:r>
        <w:rPr>
          <w:rFonts w:ascii="仿宋_GB2312" w:hAnsi="仿宋_GB2312" w:eastAsia="仿宋_GB2312"/>
          <w:b w:val="0"/>
          <w:sz w:val="32"/>
        </w:rPr>
        <w:t>其中：财政拨款收入5,049.25万元，占93.62%；上级补助收入0.00万元，占0.00%；事业收入0.00万元，占0.00%；经营收入0.00万元，占0.00%；附属单位上缴收入0.00万元，占0.00%；其他收入344.14万元，占6.38%。</w:t>
      </w:r>
    </w:p>
    <w:p w14:paraId="583299A8">
      <w:pPr>
        <w:spacing w:line="640" w:lineRule="exact"/>
        <w:ind w:firstLine="640"/>
        <w:jc w:val="both"/>
        <w:outlineLvl w:val="2"/>
      </w:pPr>
      <w:r>
        <w:rPr>
          <w:rFonts w:ascii="黑体" w:hAnsi="黑体" w:eastAsia="黑体"/>
          <w:sz w:val="32"/>
        </w:rPr>
        <w:t>三、支出决算情况说明</w:t>
      </w:r>
    </w:p>
    <w:p w14:paraId="53ACBFE9">
      <w:pPr>
        <w:spacing w:line="580" w:lineRule="exact"/>
        <w:ind w:firstLine="640"/>
        <w:jc w:val="both"/>
      </w:pPr>
      <w:r>
        <w:rPr>
          <w:rFonts w:ascii="仿宋_GB2312" w:hAnsi="仿宋_GB2312" w:eastAsia="仿宋_GB2312"/>
          <w:b/>
          <w:sz w:val="32"/>
        </w:rPr>
        <w:t>本年支出5,393.39万元，</w:t>
      </w:r>
      <w:r>
        <w:rPr>
          <w:rFonts w:ascii="仿宋_GB2312" w:hAnsi="仿宋_GB2312" w:eastAsia="仿宋_GB2312"/>
          <w:b w:val="0"/>
          <w:sz w:val="32"/>
        </w:rPr>
        <w:t>其中：基本支出4,075.52万元，占75.57%；项目支出1,317.87万元，占24.43%；上缴上级支出0.00万元，占0.00%；经营支出0.00万元，占0.00%；对附属单位补助支出0.00万元，占0.00%。</w:t>
      </w:r>
    </w:p>
    <w:p w14:paraId="1102BC17">
      <w:pPr>
        <w:spacing w:line="640" w:lineRule="exact"/>
        <w:ind w:firstLine="640"/>
        <w:jc w:val="both"/>
        <w:outlineLvl w:val="2"/>
      </w:pPr>
      <w:r>
        <w:rPr>
          <w:rFonts w:ascii="黑体" w:hAnsi="黑体" w:eastAsia="黑体"/>
          <w:sz w:val="32"/>
        </w:rPr>
        <w:t>四、财政拨款收入支出决算总体情况说明</w:t>
      </w:r>
    </w:p>
    <w:p w14:paraId="20805975">
      <w:pPr>
        <w:spacing w:line="580" w:lineRule="exact"/>
        <w:ind w:firstLine="640"/>
        <w:jc w:val="both"/>
      </w:pPr>
      <w:r>
        <w:rPr>
          <w:rFonts w:ascii="仿宋_GB2312" w:hAnsi="仿宋_GB2312" w:eastAsia="仿宋_GB2312"/>
          <w:b/>
          <w:sz w:val="32"/>
        </w:rPr>
        <w:t>2024年度财政拨款收入总计5,049.25万元，</w:t>
      </w:r>
      <w:r>
        <w:rPr>
          <w:rFonts w:ascii="仿宋_GB2312" w:hAnsi="仿宋_GB2312" w:eastAsia="仿宋_GB2312"/>
          <w:b w:val="0"/>
          <w:sz w:val="32"/>
        </w:rPr>
        <w:t>其中：年初财政拨款结转和结余0.00万元，本年财政拨款收入5,049.25万元。</w:t>
      </w:r>
      <w:r>
        <w:rPr>
          <w:rFonts w:ascii="仿宋_GB2312" w:hAnsi="仿宋_GB2312" w:eastAsia="仿宋_GB2312"/>
          <w:b/>
          <w:sz w:val="32"/>
        </w:rPr>
        <w:t>财政拨款支出总计5,049.25万元，</w:t>
      </w:r>
      <w:r>
        <w:rPr>
          <w:rFonts w:ascii="仿宋_GB2312" w:hAnsi="仿宋_GB2312" w:eastAsia="仿宋_GB2312"/>
          <w:b w:val="0"/>
          <w:sz w:val="32"/>
        </w:rPr>
        <w:t>其中：年末财政拨款结转和结余0.00万元，本年财政拨款支出5,049.25万元。</w:t>
      </w:r>
    </w:p>
    <w:p w14:paraId="723FA4B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增加14.36万元，增长0.29%，主要原因是：本年在职人员工资调增，社保、公积金基数调增，人员经费增加。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年初预算数5,046.29万元，决算数5,049.25万元，预决算差异率0.06%，主要原因是：年中追加为民办实事经费项目，导致预决算存在差异。</w:t>
      </w:r>
    </w:p>
    <w:p w14:paraId="3BE44337">
      <w:pPr>
        <w:spacing w:line="640" w:lineRule="exact"/>
        <w:ind w:firstLine="640"/>
        <w:jc w:val="both"/>
        <w:outlineLvl w:val="2"/>
      </w:pPr>
      <w:r>
        <w:rPr>
          <w:rFonts w:ascii="黑体" w:hAnsi="黑体" w:eastAsia="黑体"/>
          <w:sz w:val="32"/>
        </w:rPr>
        <w:t>五、一般公共预算财政拨款支出决算情况说明</w:t>
      </w:r>
    </w:p>
    <w:p w14:paraId="3831FD2A">
      <w:pPr>
        <w:spacing w:line="640" w:lineRule="exact"/>
        <w:ind w:firstLine="640"/>
        <w:jc w:val="both"/>
        <w:outlineLvl w:val="3"/>
      </w:pPr>
      <w:r>
        <w:rPr>
          <w:rFonts w:ascii="楷体_GB2312" w:hAnsi="楷体_GB2312" w:eastAsia="楷体_GB2312"/>
          <w:b/>
          <w:sz w:val="32"/>
        </w:rPr>
        <w:t>（一）一般公共预算财政拨款支出决算总体情况</w:t>
      </w:r>
    </w:p>
    <w:p w14:paraId="472B53B8">
      <w:pPr>
        <w:spacing w:line="580" w:lineRule="exact"/>
        <w:ind w:firstLine="640"/>
        <w:jc w:val="both"/>
      </w:pPr>
      <w:r>
        <w:rPr>
          <w:rFonts w:ascii="仿宋_GB2312" w:hAnsi="仿宋_GB2312" w:eastAsia="仿宋_GB2312"/>
          <w:b/>
          <w:sz w:val="32"/>
        </w:rPr>
        <w:t>2024年度一般公共预算财政拨款支出5,049.25万元，</w:t>
      </w:r>
      <w:r>
        <w:rPr>
          <w:rFonts w:ascii="仿宋_GB2312" w:hAnsi="仿宋_GB2312" w:eastAsia="仿宋_GB2312"/>
          <w:b w:val="0"/>
          <w:sz w:val="32"/>
        </w:rPr>
        <w:t>占本年支出合计的93.62%。</w:t>
      </w:r>
      <w:r>
        <w:rPr>
          <w:rFonts w:ascii="仿宋_GB2312" w:hAnsi="仿宋_GB2312" w:eastAsia="仿宋_GB2312"/>
          <w:b/>
          <w:sz w:val="32"/>
        </w:rPr>
        <w:t>与上年相比，</w:t>
      </w:r>
      <w:r>
        <w:rPr>
          <w:rFonts w:ascii="仿宋_GB2312" w:hAnsi="仿宋_GB2312" w:eastAsia="仿宋_GB2312"/>
          <w:b w:val="0"/>
          <w:sz w:val="32"/>
        </w:rPr>
        <w:t>增加14.36万元，增长0.29%，主要原因是：本年在职人员工资调增，社保、公积金基数调增，人员经费增加。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年初预算数5,046.29万元，决算数5,049.25万元，预决算差异率0.06%，主要原因是：年中追加为民办实事经费项目，导致预决算存在差异。</w:t>
      </w:r>
    </w:p>
    <w:p w14:paraId="46268D91">
      <w:pPr>
        <w:spacing w:line="640" w:lineRule="exact"/>
        <w:ind w:firstLine="640"/>
        <w:jc w:val="both"/>
        <w:outlineLvl w:val="3"/>
      </w:pPr>
      <w:r>
        <w:rPr>
          <w:rFonts w:ascii="楷体_GB2312" w:hAnsi="楷体_GB2312" w:eastAsia="楷体_GB2312"/>
          <w:b/>
          <w:sz w:val="32"/>
        </w:rPr>
        <w:t>（二）一般公共预算财政拨款支出决算结构情况</w:t>
      </w:r>
    </w:p>
    <w:p w14:paraId="6FC30034">
      <w:pPr>
        <w:spacing w:line="580" w:lineRule="exact"/>
        <w:ind w:firstLine="640"/>
        <w:jc w:val="both"/>
      </w:pPr>
      <w:r>
        <w:rPr>
          <w:rFonts w:ascii="仿宋_GB2312" w:hAnsi="仿宋_GB2312" w:eastAsia="仿宋_GB2312"/>
          <w:b w:val="0"/>
          <w:sz w:val="32"/>
        </w:rPr>
        <w:t>1.公共安全支出(类)4091.84万元,占81.04%。</w:t>
      </w:r>
    </w:p>
    <w:p w14:paraId="450EBA3F">
      <w:pPr>
        <w:spacing w:line="580" w:lineRule="exact"/>
        <w:ind w:firstLine="640"/>
        <w:jc w:val="both"/>
      </w:pPr>
      <w:r>
        <w:rPr>
          <w:rFonts w:ascii="仿宋_GB2312" w:hAnsi="仿宋_GB2312" w:eastAsia="仿宋_GB2312"/>
          <w:b w:val="0"/>
          <w:sz w:val="32"/>
        </w:rPr>
        <w:t>2.社会保障和就业支出(类)546.12万元,占10.82%。</w:t>
      </w:r>
    </w:p>
    <w:p w14:paraId="760C1FE2">
      <w:pPr>
        <w:spacing w:line="580" w:lineRule="exact"/>
        <w:ind w:firstLine="640"/>
        <w:jc w:val="both"/>
      </w:pPr>
      <w:r>
        <w:rPr>
          <w:rFonts w:ascii="仿宋_GB2312" w:hAnsi="仿宋_GB2312" w:eastAsia="仿宋_GB2312"/>
          <w:b w:val="0"/>
          <w:sz w:val="32"/>
        </w:rPr>
        <w:t>3.卫生健康支出(类)180.06万元,占3.57%。</w:t>
      </w:r>
    </w:p>
    <w:p w14:paraId="41588F04">
      <w:pPr>
        <w:spacing w:line="580" w:lineRule="exact"/>
        <w:ind w:firstLine="640"/>
        <w:jc w:val="both"/>
      </w:pPr>
      <w:r>
        <w:rPr>
          <w:rFonts w:ascii="仿宋_GB2312" w:hAnsi="仿宋_GB2312" w:eastAsia="仿宋_GB2312"/>
          <w:b w:val="0"/>
          <w:sz w:val="32"/>
        </w:rPr>
        <w:t>4.住房保障支出(类)231.23万元,占4.58%。</w:t>
      </w:r>
    </w:p>
    <w:p w14:paraId="328A246B">
      <w:pPr>
        <w:spacing w:line="640" w:lineRule="exact"/>
        <w:ind w:firstLine="640"/>
        <w:jc w:val="both"/>
        <w:outlineLvl w:val="3"/>
      </w:pPr>
      <w:r>
        <w:rPr>
          <w:rFonts w:ascii="楷体_GB2312" w:hAnsi="楷体_GB2312" w:eastAsia="楷体_GB2312"/>
          <w:b/>
          <w:sz w:val="32"/>
        </w:rPr>
        <w:t>（三）一般公共预算财政拨款支出决算具体情况</w:t>
      </w:r>
    </w:p>
    <w:p w14:paraId="61532035">
      <w:pPr>
        <w:spacing w:line="580" w:lineRule="exact"/>
        <w:ind w:firstLine="640"/>
        <w:jc w:val="both"/>
      </w:pPr>
      <w:r>
        <w:rPr>
          <w:rFonts w:ascii="仿宋_GB2312" w:hAnsi="仿宋_GB2312" w:eastAsia="仿宋_GB2312"/>
          <w:b w:val="0"/>
          <w:sz w:val="32"/>
        </w:rPr>
        <w:t>1.公共安全支出(类)法院(款)行政运行(项):支出决算数为3118.1万元，比上年决算增加238.73万元，增长8.29%,主要原因是：本年功能科目调整，同工同酬人员经费上年度在其他法院支出科目列支，本年调整至主科目列支，导致经费较上年增加。</w:t>
      </w:r>
    </w:p>
    <w:p w14:paraId="4E62DF8B">
      <w:pPr>
        <w:spacing w:line="580" w:lineRule="exact"/>
        <w:ind w:firstLine="640"/>
        <w:jc w:val="both"/>
      </w:pPr>
      <w:r>
        <w:rPr>
          <w:rFonts w:ascii="仿宋_GB2312" w:hAnsi="仿宋_GB2312" w:eastAsia="仿宋_GB2312"/>
          <w:b w:val="0"/>
          <w:sz w:val="32"/>
        </w:rPr>
        <w:t>2.公共安全支出(类)法院(款)一般行政管理事务(项):支出决算数为12万元，比上年决算增加5.00万元，增长71.43%,主要原因是：本年</w:t>
      </w:r>
      <w:r>
        <w:rPr>
          <w:rFonts w:hint="eastAsia" w:ascii="仿宋_GB2312" w:hAnsi="仿宋_GB2312" w:eastAsia="仿宋_GB2312"/>
          <w:b w:val="0"/>
          <w:sz w:val="32"/>
          <w:lang w:eastAsia="zh-CN"/>
        </w:rPr>
        <w:t>为民办实事</w:t>
      </w:r>
      <w:r>
        <w:rPr>
          <w:rFonts w:ascii="仿宋_GB2312" w:hAnsi="仿宋_GB2312" w:eastAsia="仿宋_GB2312"/>
          <w:b w:val="0"/>
          <w:sz w:val="32"/>
        </w:rPr>
        <w:t>工作队经费项目资金较上年增加。</w:t>
      </w:r>
    </w:p>
    <w:p w14:paraId="1C94E779">
      <w:pPr>
        <w:spacing w:line="580" w:lineRule="exact"/>
        <w:ind w:firstLine="640"/>
        <w:jc w:val="both"/>
      </w:pPr>
      <w:r>
        <w:rPr>
          <w:rFonts w:ascii="仿宋_GB2312" w:hAnsi="仿宋_GB2312" w:eastAsia="仿宋_GB2312"/>
          <w:b w:val="0"/>
          <w:sz w:val="32"/>
        </w:rPr>
        <w:t>3.公共安全支出(类)法院(款)其他法院支出(项):支出决算数为961.73万元，比上年决算减少388.24万元，下降28.76%,主要原因是：本年功能科目调整，同工同酬人员经费上年度用其他法院支出列支，本年调整至行政运行科目列支，导致经费较上年减少。</w:t>
      </w:r>
    </w:p>
    <w:p w14:paraId="0DD9F3CC">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4.社会保障和就业支出(类)行政事业单位养老支出(款)行政单位离退休(项):支出决算数为126.84万元，比上年决算增加24.66万元，增长24.13%,主要原因是：本年退休人员增加，发放退休人员绩效，退休费支出增加。</w:t>
      </w:r>
    </w:p>
    <w:p w14:paraId="0CEFEBFB">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272.77万元，比上年决算增加47.35万元，增长21.01%,主要原因是：本年在职人员工资基数调增，养老缴费基数上涨，相应支出增加。</w:t>
      </w:r>
    </w:p>
    <w:p w14:paraId="1C8ADD60">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6.社会保障和就业支出(类)行政事业单位养老支出(款)机关事业单位职业年金缴费支出(项):支出决算数为85.77万元，比上年决算增加35.03万元，增长69.04%,主要原因是：本年新增退休人员，职业年金缴费支出增加。</w:t>
      </w:r>
    </w:p>
    <w:p w14:paraId="1B9B378E">
      <w:pPr>
        <w:spacing w:line="580" w:lineRule="exact"/>
        <w:ind w:firstLine="640"/>
        <w:jc w:val="both"/>
      </w:pPr>
      <w:r>
        <w:rPr>
          <w:rFonts w:ascii="仿宋_GB2312" w:hAnsi="仿宋_GB2312" w:eastAsia="仿宋_GB2312"/>
          <w:b w:val="0"/>
          <w:sz w:val="32"/>
        </w:rPr>
        <w:t>7.社会保障和就业支出(类)抚恤(款)死亡抚恤(项):支出决算数为60.74万元，比上年决算减少35.70万元，下降37.02%,主要原因是：本年新增死亡人员较上年减少，死亡抚恤支出较上年减少。</w:t>
      </w:r>
    </w:p>
    <w:p w14:paraId="6264DBC7">
      <w:pPr>
        <w:spacing w:line="580" w:lineRule="exact"/>
        <w:ind w:firstLine="640"/>
        <w:jc w:val="both"/>
      </w:pPr>
      <w:r>
        <w:rPr>
          <w:rFonts w:ascii="仿宋_GB2312" w:hAnsi="仿宋_GB2312" w:eastAsia="仿宋_GB2312"/>
          <w:b w:val="0"/>
          <w:sz w:val="32"/>
        </w:rPr>
        <w:t>8.卫生健康支出(类)行政事业单位医疗(款)行政单位医疗(项):支出决算数为123.27万元，比上年决算增加24.04万元，增长24.23%,主要原因是：本年在职人员工资基数调增，医疗缴费基数上涨，相应支出增加。</w:t>
      </w:r>
    </w:p>
    <w:p w14:paraId="649AAFB7">
      <w:pPr>
        <w:spacing w:line="580" w:lineRule="exact"/>
        <w:ind w:firstLine="640"/>
        <w:jc w:val="both"/>
      </w:pPr>
      <w:r>
        <w:rPr>
          <w:rFonts w:ascii="仿宋_GB2312" w:hAnsi="仿宋_GB2312" w:eastAsia="仿宋_GB2312"/>
          <w:b w:val="0"/>
          <w:sz w:val="32"/>
        </w:rPr>
        <w:t>9.卫生健康支出(类)行政事业单位医疗(款)公务员医疗补助(项):支出决算数为52.83万元，比上年决算增加10.26万元，增长24.10%,主要原因是：本年在职人员工资基数调增，医疗缴费基数上涨，相应支出增加。</w:t>
      </w:r>
    </w:p>
    <w:p w14:paraId="4EFA1C10">
      <w:pPr>
        <w:spacing w:line="580" w:lineRule="exact"/>
        <w:ind w:firstLine="640"/>
        <w:jc w:val="both"/>
      </w:pPr>
      <w:r>
        <w:rPr>
          <w:rFonts w:ascii="仿宋_GB2312" w:hAnsi="仿宋_GB2312" w:eastAsia="仿宋_GB2312"/>
          <w:b w:val="0"/>
          <w:sz w:val="32"/>
        </w:rPr>
        <w:t>10.卫生健康支出(类)行政事业单位医疗(款)其他行政事业单位医疗支出(项):支出决算数为3.96万元，比上年决算减少1.61万元，下降28.90%,主要原因是：本年在职人员减少，其他行政事业单位医疗支出较上年减少。</w:t>
      </w:r>
    </w:p>
    <w:p w14:paraId="7D732A9E">
      <w:pPr>
        <w:spacing w:line="580" w:lineRule="exact"/>
        <w:ind w:firstLine="640"/>
        <w:jc w:val="both"/>
      </w:pPr>
      <w:r>
        <w:rPr>
          <w:rFonts w:ascii="仿宋_GB2312" w:hAnsi="仿宋_GB2312" w:eastAsia="仿宋_GB2312"/>
          <w:b w:val="0"/>
          <w:sz w:val="32"/>
        </w:rPr>
        <w:t>11.住房保障支出(类)住房改革支出(款)住房公积金(项):支出决算数为231.23万元，比上年决算增加54.84万元，增长31.09%,主要原因是：本年在职人员工资基数调增，公积金缴费基数上涨，相应支出增加。</w:t>
      </w:r>
    </w:p>
    <w:p w14:paraId="6401E1D5">
      <w:pPr>
        <w:spacing w:line="640" w:lineRule="exact"/>
        <w:ind w:firstLine="640"/>
        <w:jc w:val="both"/>
        <w:outlineLvl w:val="2"/>
      </w:pPr>
      <w:r>
        <w:rPr>
          <w:rFonts w:ascii="黑体" w:hAnsi="黑体" w:eastAsia="黑体"/>
          <w:sz w:val="32"/>
        </w:rPr>
        <w:t>六、一般公共预算财政拨款基本支出决算情况说明</w:t>
      </w:r>
    </w:p>
    <w:p w14:paraId="14FF789D">
      <w:pPr>
        <w:spacing w:line="580" w:lineRule="exact"/>
        <w:ind w:firstLine="640"/>
        <w:jc w:val="both"/>
      </w:pPr>
      <w:r>
        <w:rPr>
          <w:rFonts w:ascii="仿宋_GB2312" w:hAnsi="仿宋_GB2312" w:eastAsia="仿宋_GB2312"/>
          <w:b w:val="0"/>
          <w:sz w:val="32"/>
        </w:rPr>
        <w:t>2024年度一般公共预算财政拨款基本支出4,075.52万元，其中：</w:t>
      </w:r>
      <w:r>
        <w:rPr>
          <w:rFonts w:ascii="仿宋_GB2312" w:hAnsi="仿宋_GB2312" w:eastAsia="仿宋_GB2312"/>
          <w:b/>
          <w:sz w:val="32"/>
        </w:rPr>
        <w:t>人员经费3,658.00万元，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其他工资福利支出、离休费、退休费、抚恤金、生活补助、奖励金。</w:t>
      </w:r>
    </w:p>
    <w:p w14:paraId="27DEBE34">
      <w:pPr>
        <w:spacing w:line="580" w:lineRule="exact"/>
        <w:ind w:firstLine="640"/>
        <w:jc w:val="both"/>
      </w:pPr>
      <w:r>
        <w:rPr>
          <w:rFonts w:ascii="仿宋_GB2312" w:hAnsi="仿宋_GB2312" w:eastAsia="仿宋_GB2312"/>
          <w:b/>
          <w:sz w:val="32"/>
        </w:rPr>
        <w:t>公用经费417.52万元，</w:t>
      </w:r>
      <w:r>
        <w:rPr>
          <w:rFonts w:ascii="仿宋_GB2312" w:hAnsi="仿宋_GB2312" w:eastAsia="仿宋_GB2312"/>
          <w:b w:val="0"/>
          <w:sz w:val="32"/>
        </w:rPr>
        <w:t>包括：办公费、印刷费、水费、电费、邮电费、取暖费、物业管理费、差旅费、维修（护）费、租赁费、公务接待费、劳务费、委托业务费、工会经费、福利费、公务用车运行维护费、其他商品和服务支出。</w:t>
      </w:r>
    </w:p>
    <w:p w14:paraId="57BC3048">
      <w:pPr>
        <w:spacing w:line="640" w:lineRule="exact"/>
        <w:ind w:firstLine="640"/>
        <w:jc w:val="both"/>
        <w:outlineLvl w:val="2"/>
      </w:pPr>
      <w:r>
        <w:rPr>
          <w:rFonts w:ascii="黑体" w:hAnsi="黑体" w:eastAsia="黑体"/>
          <w:sz w:val="32"/>
        </w:rPr>
        <w:t>七、政府性基金预算财政拨款收入支出决算情况说明</w:t>
      </w:r>
    </w:p>
    <w:p w14:paraId="1B6095C0">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2A5900C0">
      <w:pPr>
        <w:spacing w:line="640" w:lineRule="exact"/>
        <w:ind w:firstLine="640"/>
        <w:jc w:val="both"/>
        <w:outlineLvl w:val="2"/>
      </w:pPr>
      <w:r>
        <w:rPr>
          <w:rFonts w:ascii="黑体" w:hAnsi="黑体" w:eastAsia="黑体"/>
          <w:sz w:val="32"/>
        </w:rPr>
        <w:t>八、国有资本经营预算财政拨款收入支出决算情况说明</w:t>
      </w:r>
    </w:p>
    <w:p w14:paraId="48BC8685">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1BBBE82A">
      <w:pPr>
        <w:spacing w:line="640" w:lineRule="exact"/>
        <w:ind w:firstLine="640"/>
        <w:jc w:val="both"/>
        <w:outlineLvl w:val="2"/>
      </w:pPr>
      <w:r>
        <w:rPr>
          <w:rFonts w:ascii="黑体" w:hAnsi="黑体" w:eastAsia="黑体"/>
          <w:sz w:val="32"/>
        </w:rPr>
        <w:t>九、财政拨款“三公”经费支出决算情况说明</w:t>
      </w:r>
    </w:p>
    <w:p w14:paraId="2A0A828B">
      <w:pPr>
        <w:spacing w:line="580" w:lineRule="exact"/>
        <w:ind w:firstLine="640"/>
        <w:jc w:val="both"/>
      </w:pPr>
      <w:r>
        <w:rPr>
          <w:rFonts w:ascii="仿宋_GB2312" w:hAnsi="仿宋_GB2312" w:eastAsia="仿宋_GB2312"/>
          <w:b/>
          <w:sz w:val="32"/>
        </w:rPr>
        <w:t>2024年度财政拨款“三公”经费支出50.66万元，</w:t>
      </w:r>
      <w:r>
        <w:rPr>
          <w:rFonts w:ascii="仿宋_GB2312" w:hAnsi="仿宋_GB2312" w:eastAsia="仿宋_GB2312"/>
          <w:b w:val="0"/>
          <w:sz w:val="32"/>
        </w:rPr>
        <w:t>比上年减少18.34万元，下降26.58%，主要原因是：严格落实中央八项规定精神，厉行节约，减少公务用车运行维护费及公务接待费。其中：因公出国（境）费支出0.00万元，占0.00%，比上年增加0.00万元，增长0.00%，主要原因是：2023年与2024年均未安排因公出国（境）费支出。公务用车购置及运行维护费支出49.00万元，占96.72%，比上年减少15.00万元，下降23.44%，主要原因是：严格落实中央八项规定精神，厉行节约，减少公务用车运行维护费。公务接待费支出1.66万元，占3.28%，比上年减少3.34万元，下降66.80%，主要原因是：严格落实中央八项规定精神，厉行节约，减少公务接待费。</w:t>
      </w:r>
    </w:p>
    <w:p w14:paraId="670072EA">
      <w:pPr>
        <w:spacing w:line="580" w:lineRule="exact"/>
        <w:ind w:firstLine="640"/>
        <w:jc w:val="both"/>
      </w:pPr>
      <w:r>
        <w:rPr>
          <w:rFonts w:ascii="仿宋_GB2312" w:hAnsi="仿宋_GB2312" w:eastAsia="仿宋_GB2312"/>
          <w:b/>
          <w:sz w:val="32"/>
        </w:rPr>
        <w:t>具体情况如下：</w:t>
      </w:r>
    </w:p>
    <w:p w14:paraId="39C147F8">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15ECE253">
      <w:pPr>
        <w:spacing w:line="580" w:lineRule="exact"/>
        <w:ind w:firstLine="640"/>
        <w:jc w:val="both"/>
      </w:pPr>
      <w:r>
        <w:rPr>
          <w:rFonts w:ascii="仿宋_GB2312" w:hAnsi="仿宋_GB2312" w:eastAsia="仿宋_GB2312"/>
          <w:b w:val="0"/>
          <w:sz w:val="32"/>
        </w:rPr>
        <w:t>公务用车购置及运行维护费49.00万元，其中：公务用车购置费0.00万元，公务用车运行维护费49.00万元。公务用车运行维护费开支内容包括车辆加油费、维修费、保险费、审车费、过路费。公务用车购置数0辆，公务用车保有量38辆。国有资产占用情况中固定资产车辆38辆，与公务用车保有量差异原因是：本部门固定资产车辆与公务用车保有量一致无差异。</w:t>
      </w:r>
    </w:p>
    <w:p w14:paraId="67313944">
      <w:pPr>
        <w:spacing w:line="580" w:lineRule="exact"/>
        <w:ind w:firstLine="640"/>
        <w:jc w:val="both"/>
      </w:pPr>
      <w:r>
        <w:rPr>
          <w:rFonts w:ascii="仿宋_GB2312" w:hAnsi="仿宋_GB2312" w:eastAsia="仿宋_GB2312"/>
          <w:b w:val="0"/>
          <w:sz w:val="32"/>
        </w:rPr>
        <w:t>公务接待费1.66万元，开支内容包括因开展调研及业务活动、交流学习产生的就餐费。部门全年安排的国内公务接待21批次，154人次。</w:t>
      </w:r>
    </w:p>
    <w:p w14:paraId="28EA8A5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50.66万元，决算数50.66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49.00万元，决算数49.00万元，预决算差异率0.00%，主要原因是：严格按照预算执行，预决算无差异。公务接待费全年预算数1.66万元，决算数1.66万元，预决算差异率0.00%，主要原因是：严格按照预算执行，预决算无差异。</w:t>
      </w:r>
    </w:p>
    <w:p w14:paraId="4C8B21C0">
      <w:pPr>
        <w:spacing w:line="640" w:lineRule="exact"/>
        <w:ind w:firstLine="640"/>
        <w:jc w:val="both"/>
        <w:outlineLvl w:val="2"/>
      </w:pPr>
      <w:r>
        <w:rPr>
          <w:rFonts w:ascii="黑体" w:hAnsi="黑体" w:eastAsia="黑体"/>
          <w:sz w:val="32"/>
        </w:rPr>
        <w:t>十、其他重要事项的情况说明</w:t>
      </w:r>
    </w:p>
    <w:p w14:paraId="68B60670">
      <w:pPr>
        <w:spacing w:line="640" w:lineRule="exact"/>
        <w:ind w:firstLine="640"/>
        <w:jc w:val="both"/>
        <w:outlineLvl w:val="3"/>
      </w:pPr>
      <w:r>
        <w:rPr>
          <w:rFonts w:ascii="楷体_GB2312" w:hAnsi="楷体_GB2312" w:eastAsia="楷体_GB2312"/>
          <w:b/>
          <w:sz w:val="32"/>
        </w:rPr>
        <w:t>（一）机关运行经费及公用经费支出情况</w:t>
      </w:r>
    </w:p>
    <w:p w14:paraId="034DD155">
      <w:pPr>
        <w:spacing w:line="580" w:lineRule="exact"/>
        <w:ind w:firstLine="640"/>
        <w:jc w:val="both"/>
      </w:pPr>
      <w:r>
        <w:rPr>
          <w:rFonts w:ascii="仿宋_GB2312" w:hAnsi="仿宋_GB2312" w:eastAsia="仿宋_GB2312"/>
          <w:b w:val="0"/>
          <w:sz w:val="32"/>
        </w:rPr>
        <w:t>2024年度新疆巴州中级人民法院（行政单位和参照公务员法管理事业单位）机关运行经费支出417.52万元，比上年增加73.02万元，增长21.20%，主要原因是：本年办公费及物业管理费增加，导致机关运行经费增加。</w:t>
      </w:r>
    </w:p>
    <w:p w14:paraId="041C9144">
      <w:pPr>
        <w:spacing w:line="640" w:lineRule="exact"/>
        <w:ind w:firstLine="640"/>
        <w:jc w:val="both"/>
        <w:outlineLvl w:val="3"/>
      </w:pPr>
      <w:r>
        <w:rPr>
          <w:rFonts w:ascii="楷体_GB2312" w:hAnsi="楷体_GB2312" w:eastAsia="楷体_GB2312"/>
          <w:b/>
          <w:sz w:val="32"/>
        </w:rPr>
        <w:t>（二）政府采购情况</w:t>
      </w:r>
    </w:p>
    <w:p w14:paraId="2D6D77B7">
      <w:pPr>
        <w:spacing w:line="580" w:lineRule="exact"/>
        <w:ind w:firstLine="640"/>
        <w:jc w:val="both"/>
      </w:pPr>
      <w:r>
        <w:rPr>
          <w:rFonts w:ascii="仿宋_GB2312" w:hAnsi="仿宋_GB2312" w:eastAsia="仿宋_GB2312"/>
          <w:b w:val="0"/>
          <w:sz w:val="32"/>
        </w:rPr>
        <w:t>2024年度政府采购支出总额538.50万元，其中：政府采购货物支出143.55万元、政府采购工程支出67.60万元、政府采购服务支出327.35万元。</w:t>
      </w:r>
    </w:p>
    <w:p w14:paraId="625E01A0">
      <w:pPr>
        <w:spacing w:line="580" w:lineRule="exact"/>
        <w:ind w:firstLine="640"/>
        <w:jc w:val="both"/>
      </w:pPr>
      <w:r>
        <w:rPr>
          <w:rFonts w:ascii="仿宋_GB2312" w:hAnsi="仿宋_GB2312" w:eastAsia="仿宋_GB2312"/>
          <w:b w:val="0"/>
          <w:sz w:val="32"/>
        </w:rPr>
        <w:t>授予中小企业合同金额321.15万元，占政府采购支出总额的59.64%，其中：授予小微企业合同金额124.27万元，占政府采购支出总额的23.08%。</w:t>
      </w:r>
    </w:p>
    <w:p w14:paraId="58F4CC03">
      <w:pPr>
        <w:spacing w:line="640" w:lineRule="exact"/>
        <w:ind w:firstLine="640"/>
        <w:jc w:val="both"/>
        <w:outlineLvl w:val="3"/>
      </w:pPr>
      <w:r>
        <w:rPr>
          <w:rFonts w:ascii="楷体_GB2312" w:hAnsi="楷体_GB2312" w:eastAsia="楷体_GB2312"/>
          <w:b/>
          <w:sz w:val="32"/>
        </w:rPr>
        <w:t>（三）国有资产占用情况说明</w:t>
      </w:r>
    </w:p>
    <w:p w14:paraId="4C46CE66">
      <w:pPr>
        <w:spacing w:line="580" w:lineRule="exact"/>
        <w:ind w:firstLine="640"/>
        <w:jc w:val="both"/>
      </w:pPr>
      <w:r>
        <w:rPr>
          <w:rFonts w:ascii="仿宋_GB2312" w:hAnsi="仿宋_GB2312" w:eastAsia="仿宋_GB2312"/>
          <w:b w:val="0"/>
          <w:sz w:val="32"/>
        </w:rPr>
        <w:t>截至2024年12月31日，房屋25,260.00平方米，价值10,058.39万元。车辆38辆，价值989.66万元，其中：副部（省）级及以上领导用车0辆、主要负责人用车2辆、机要通信用车0辆、应急保障用车0辆、执法执勤用车17辆、特种专业技术用车19辆、离退休干部服务用车0辆、其他用车0辆，其他用车主要是：本部门无其他用车。单价100万元（含）以上设备（不含车辆）2台（套）。</w:t>
      </w:r>
    </w:p>
    <w:p w14:paraId="28012815">
      <w:pPr>
        <w:spacing w:line="640" w:lineRule="exact"/>
        <w:ind w:firstLine="640"/>
        <w:jc w:val="both"/>
        <w:outlineLvl w:val="2"/>
      </w:pPr>
      <w:r>
        <w:rPr>
          <w:rFonts w:ascii="黑体" w:hAnsi="黑体" w:eastAsia="黑体"/>
          <w:sz w:val="32"/>
        </w:rPr>
        <w:t>十一、预算绩效的情况说明</w:t>
      </w:r>
    </w:p>
    <w:p w14:paraId="20B01DD1">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根据预算绩效管理要求，本部门2024年度预算绩效管理形成整体支出绩效自评表1个，全年预算总额5,393.40万元，实际执行总额5,393.40万元；预算绩效评价项目</w:t>
      </w:r>
      <w:r>
        <w:rPr>
          <w:rFonts w:hint="eastAsia" w:ascii="仿宋_GB2312" w:hAnsi="仿宋_GB2312" w:eastAsia="仿宋_GB2312"/>
          <w:b w:val="0"/>
          <w:sz w:val="32"/>
          <w:lang w:val="en-US" w:eastAsia="zh-CN"/>
        </w:rPr>
        <w:t>5</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1,091.33</w:t>
      </w:r>
      <w:r>
        <w:rPr>
          <w:rFonts w:ascii="仿宋_GB2312" w:hAnsi="仿宋_GB2312" w:eastAsia="仿宋_GB2312"/>
          <w:b w:val="0"/>
          <w:sz w:val="32"/>
        </w:rPr>
        <w:t>万元，全年执行数</w:t>
      </w:r>
      <w:r>
        <w:rPr>
          <w:rFonts w:hint="eastAsia" w:ascii="仿宋_GB2312" w:hAnsi="仿宋_GB2312" w:eastAsia="仿宋_GB2312"/>
          <w:b w:val="0"/>
          <w:sz w:val="32"/>
          <w:lang w:val="en-US" w:eastAsia="zh-CN"/>
        </w:rPr>
        <w:t>1,086.13</w:t>
      </w:r>
      <w:r>
        <w:rPr>
          <w:rFonts w:ascii="仿宋_GB2312" w:hAnsi="仿宋_GB2312" w:eastAsia="仿宋_GB2312"/>
          <w:b w:val="0"/>
          <w:sz w:val="32"/>
        </w:rPr>
        <w:t>万元。预算绩效管理取得的成效：一是围绕核心职能科学设定绩效指标，年度绩效目标完成率显著提高，重点工作任务按计划推进，公共服务质量持续优化；二是建立动态绩效监控机制，及时调整执行偏差，资金使用更加精准高效，低效无效支出有效减少；三是业务流程持续优化，服务响应速度加快，群众办事便利度明显改善；四是严格落实“过紧日子”要求，严控一般性支出，行政运行成本有效降低。发现的问题及原因：部分绩效指标设置存在不够精准，指标设置的科学性、合理性有待进一步提高。原因是绩效管理专业培训覆盖不足，业务人员对绩效工作掌握运用不够熟练。下一步改进措施：一是合理设置年度任务，提高各科室对部门中长期规划的重视程度，增强相关规划的落地性、导向性；二是探索符合部门工作特点的评价指标体系，在设定绩效目标时选取相关性强的量化指标，并注重选取符合实际工作情况的指标值。具体附部门整体支出绩效自评表，项目支出绩效自评表。</w:t>
      </w:r>
    </w:p>
    <w:p w14:paraId="669279F4">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4AEC299">
        <w:tblPrEx>
          <w:tblCellMar>
            <w:top w:w="0" w:type="dxa"/>
            <w:left w:w="108" w:type="dxa"/>
            <w:bottom w:w="0" w:type="dxa"/>
            <w:right w:w="108" w:type="dxa"/>
          </w:tblCellMar>
        </w:tblPrEx>
        <w:tc>
          <w:tcPr>
            <w:tcW w:w="8840" w:type="dxa"/>
            <w:gridSpan w:val="8"/>
            <w:vAlign w:val="center"/>
          </w:tcPr>
          <w:p w14:paraId="6EA33CF7">
            <w:pPr>
              <w:jc w:val="center"/>
            </w:pPr>
            <w:r>
              <w:rPr>
                <w:rFonts w:ascii="宋体" w:hAnsi="宋体" w:eastAsia="宋体"/>
                <w:sz w:val="24"/>
              </w:rPr>
              <w:t>部门整体支出绩效自评表</w:t>
            </w:r>
          </w:p>
        </w:tc>
      </w:tr>
      <w:tr w14:paraId="19C40ACB">
        <w:tblPrEx>
          <w:tblCellMar>
            <w:top w:w="0" w:type="dxa"/>
            <w:left w:w="108" w:type="dxa"/>
            <w:bottom w:w="0" w:type="dxa"/>
            <w:right w:w="108" w:type="dxa"/>
          </w:tblCellMar>
        </w:tblPrEx>
        <w:tc>
          <w:tcPr>
            <w:tcW w:w="8840" w:type="dxa"/>
            <w:gridSpan w:val="8"/>
            <w:vAlign w:val="center"/>
          </w:tcPr>
          <w:p w14:paraId="5D2476DF">
            <w:pPr>
              <w:jc w:val="center"/>
            </w:pPr>
            <w:r>
              <w:rPr>
                <w:rFonts w:ascii="宋体" w:hAnsi="宋体" w:eastAsia="宋体"/>
                <w:sz w:val="24"/>
              </w:rPr>
              <w:t>（2024年度）</w:t>
            </w:r>
          </w:p>
        </w:tc>
      </w:tr>
      <w:tr w14:paraId="3C308F9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FAA604">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64999F">
            <w:pPr>
              <w:jc w:val="center"/>
            </w:pPr>
            <w:r>
              <w:rPr>
                <w:rFonts w:ascii="宋体" w:hAnsi="宋体" w:eastAsia="宋体"/>
                <w:sz w:val="16"/>
              </w:rPr>
              <w:t>新疆巴州中级人民法院</w:t>
            </w:r>
          </w:p>
        </w:tc>
      </w:tr>
      <w:tr w14:paraId="47A0B61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D1DA06">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3E7BE3">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2CB576">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6F7E42">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750075">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CD078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6342BB">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87E2D4">
            <w:pPr>
              <w:jc w:val="center"/>
            </w:pPr>
            <w:r>
              <w:rPr>
                <w:rFonts w:ascii="宋体" w:hAnsi="宋体" w:eastAsia="宋体"/>
                <w:sz w:val="16"/>
              </w:rPr>
              <w:t>得分</w:t>
            </w:r>
          </w:p>
        </w:tc>
      </w:tr>
      <w:tr w14:paraId="1B08DE2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56F3EF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4C8C8A">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9944C8">
            <w:pPr>
              <w:jc w:val="center"/>
            </w:pPr>
            <w:r>
              <w:rPr>
                <w:rFonts w:ascii="宋体" w:hAnsi="宋体" w:eastAsia="宋体"/>
                <w:sz w:val="16"/>
              </w:rPr>
              <w:t>5,165.63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35238D">
            <w:pPr>
              <w:jc w:val="center"/>
            </w:pPr>
            <w:r>
              <w:rPr>
                <w:rFonts w:ascii="宋体" w:hAnsi="宋体" w:eastAsia="宋体"/>
                <w:sz w:val="16"/>
              </w:rPr>
              <w:t>5,393.40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235F05">
            <w:pPr>
              <w:jc w:val="center"/>
            </w:pPr>
            <w:r>
              <w:rPr>
                <w:rFonts w:ascii="宋体" w:hAnsi="宋体" w:eastAsia="宋体"/>
                <w:sz w:val="16"/>
              </w:rPr>
              <w:t>5,393.40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AF6C4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5ED71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4BF80D">
            <w:pPr>
              <w:jc w:val="center"/>
            </w:pPr>
            <w:r>
              <w:rPr>
                <w:rFonts w:ascii="宋体" w:hAnsi="宋体" w:eastAsia="宋体"/>
                <w:sz w:val="16"/>
              </w:rPr>
              <w:t>10</w:t>
            </w:r>
          </w:p>
        </w:tc>
      </w:tr>
      <w:tr w14:paraId="56021A1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34E66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4B801D">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F837A8">
            <w:pPr>
              <w:jc w:val="center"/>
            </w:pPr>
            <w:r>
              <w:rPr>
                <w:rFonts w:ascii="宋体" w:hAnsi="宋体" w:eastAsia="宋体"/>
                <w:sz w:val="16"/>
              </w:rPr>
              <w:t>797.73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6ABA97">
            <w:pPr>
              <w:jc w:val="center"/>
            </w:pPr>
            <w:r>
              <w:rPr>
                <w:rFonts w:ascii="宋体" w:hAnsi="宋体" w:eastAsia="宋体"/>
                <w:sz w:val="16"/>
              </w:rPr>
              <w:t>961.73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114BFB">
            <w:pPr>
              <w:jc w:val="center"/>
            </w:pPr>
            <w:r>
              <w:rPr>
                <w:rFonts w:ascii="宋体" w:hAnsi="宋体" w:eastAsia="宋体"/>
                <w:sz w:val="16"/>
              </w:rPr>
              <w:t>961.73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52691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5E0DD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04D44F">
            <w:pPr>
              <w:jc w:val="center"/>
            </w:pPr>
            <w:r>
              <w:rPr>
                <w:rFonts w:ascii="宋体" w:hAnsi="宋体" w:eastAsia="宋体"/>
                <w:sz w:val="16"/>
              </w:rPr>
              <w:t>-</w:t>
            </w:r>
          </w:p>
        </w:tc>
      </w:tr>
      <w:tr w14:paraId="32610C2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A78EB6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FAC977">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DC8658">
            <w:pPr>
              <w:jc w:val="center"/>
            </w:pPr>
            <w:r>
              <w:rPr>
                <w:rFonts w:ascii="宋体" w:hAnsi="宋体" w:eastAsia="宋体"/>
                <w:sz w:val="16"/>
              </w:rPr>
              <w:t>4,250.30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EDE336">
            <w:pPr>
              <w:jc w:val="center"/>
            </w:pPr>
            <w:r>
              <w:rPr>
                <w:rFonts w:ascii="宋体" w:hAnsi="宋体" w:eastAsia="宋体"/>
                <w:sz w:val="16"/>
              </w:rPr>
              <w:t>4,087.53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FB5937">
            <w:pPr>
              <w:jc w:val="center"/>
            </w:pPr>
            <w:r>
              <w:rPr>
                <w:rFonts w:ascii="宋体" w:hAnsi="宋体" w:eastAsia="宋体"/>
                <w:sz w:val="16"/>
              </w:rPr>
              <w:t>4,087.53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F07BC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2B551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7B5E26">
            <w:pPr>
              <w:jc w:val="center"/>
            </w:pPr>
            <w:r>
              <w:rPr>
                <w:rFonts w:ascii="宋体" w:hAnsi="宋体" w:eastAsia="宋体"/>
                <w:sz w:val="16"/>
              </w:rPr>
              <w:t>-</w:t>
            </w:r>
          </w:p>
        </w:tc>
      </w:tr>
      <w:tr w14:paraId="38BC3E0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75EFF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96BE4B">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ED847A">
            <w:pPr>
              <w:jc w:val="center"/>
            </w:pPr>
            <w:r>
              <w:rPr>
                <w:rFonts w:ascii="宋体" w:hAnsi="宋体" w:eastAsia="宋体"/>
                <w:sz w:val="16"/>
              </w:rPr>
              <w:t>117.60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110B67">
            <w:pPr>
              <w:jc w:val="center"/>
            </w:pPr>
            <w:r>
              <w:rPr>
                <w:rFonts w:ascii="宋体" w:hAnsi="宋体" w:eastAsia="宋体"/>
                <w:sz w:val="16"/>
              </w:rPr>
              <w:t>344.14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F8FAFE">
            <w:pPr>
              <w:jc w:val="center"/>
            </w:pPr>
            <w:r>
              <w:rPr>
                <w:rFonts w:ascii="宋体" w:hAnsi="宋体" w:eastAsia="宋体"/>
                <w:sz w:val="16"/>
              </w:rPr>
              <w:t>344.14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234ED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C45CA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F0F7C9">
            <w:pPr>
              <w:jc w:val="center"/>
            </w:pPr>
            <w:r>
              <w:rPr>
                <w:rFonts w:ascii="宋体" w:hAnsi="宋体" w:eastAsia="宋体"/>
                <w:sz w:val="16"/>
              </w:rPr>
              <w:t>-</w:t>
            </w:r>
          </w:p>
        </w:tc>
      </w:tr>
      <w:tr w14:paraId="313CB57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360A3">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7578BC">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AF9E2F">
            <w:pPr>
              <w:jc w:val="center"/>
            </w:pPr>
            <w:r>
              <w:rPr>
                <w:rFonts w:ascii="宋体" w:hAnsi="宋体" w:eastAsia="宋体"/>
                <w:sz w:val="16"/>
              </w:rPr>
              <w:t>实际完成情况</w:t>
            </w:r>
          </w:p>
        </w:tc>
      </w:tr>
      <w:tr w14:paraId="5233BD4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941FC3"/>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DE0FCD">
            <w:pPr>
              <w:jc w:val="both"/>
            </w:pPr>
            <w:r>
              <w:rPr>
                <w:rFonts w:ascii="宋体" w:hAnsi="宋体" w:eastAsia="宋体"/>
                <w:sz w:val="16"/>
              </w:rPr>
              <w:t>按照“十四五”规划部署，紧紧围绕促进新疆社会稳定和长久治安的总目标，充分发挥法院的审判执行工作职能，全面提升审判执行工作效率，保障本院收案数及案件调解率已达标，充分进行干警工资福利保障落实到位和审判业务公用经费保障到位，继续深化落实案件质量，继续发挥科技法庭，网络直播法庭，远程执行查控等大数据和高科技设备的技术运用。增进法院可持续发展提升社会司法环境公平公正。</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9BB104">
            <w:pPr>
              <w:jc w:val="both"/>
            </w:pPr>
            <w:r>
              <w:rPr>
                <w:rFonts w:ascii="宋体" w:hAnsi="宋体" w:eastAsia="宋体"/>
                <w:sz w:val="16"/>
              </w:rPr>
              <w:t>继续深化落实案件质量，继续发挥科技法庭，网络直播法庭，远程执行查控等大数据和高科技设备的技术运用，收案3822件，案件调解率达到20.69%，庭审公开率达到95.43%，法定审限期内结案率达到96.82%，增进法院可持续发展提升社会司法环境公平公正。</w:t>
            </w:r>
          </w:p>
        </w:tc>
      </w:tr>
      <w:tr w14:paraId="55EBD49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195CA2">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DEEF99">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2F033A">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18E974">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C6E743">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DB9D1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140906">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EDE1B6">
            <w:pPr>
              <w:jc w:val="center"/>
            </w:pPr>
            <w:r>
              <w:rPr>
                <w:rFonts w:ascii="宋体" w:hAnsi="宋体" w:eastAsia="宋体"/>
                <w:sz w:val="16"/>
              </w:rPr>
              <w:t>得分</w:t>
            </w:r>
          </w:p>
        </w:tc>
      </w:tr>
      <w:tr w14:paraId="7A4AE04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7080D9">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7EFD3">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855D8F">
            <w:pPr>
              <w:jc w:val="center"/>
            </w:pPr>
            <w:r>
              <w:rPr>
                <w:rFonts w:ascii="宋体" w:hAnsi="宋体" w:eastAsia="宋体"/>
                <w:sz w:val="16"/>
              </w:rPr>
              <w:t>法院收案数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87687D">
            <w:pPr>
              <w:jc w:val="center"/>
            </w:pPr>
            <w:r>
              <w:rPr>
                <w:rFonts w:ascii="宋体" w:hAnsi="宋体" w:eastAsia="宋体"/>
                <w:sz w:val="16"/>
              </w:rPr>
              <w:t>&gt;=2800件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B5BA2E">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A0AD33">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D7408A">
            <w:pPr>
              <w:jc w:val="center"/>
            </w:pPr>
            <w:r>
              <w:rPr>
                <w:rFonts w:ascii="宋体" w:hAnsi="宋体" w:eastAsia="宋体"/>
                <w:sz w:val="16"/>
              </w:rPr>
              <w:t>3822件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F91297">
            <w:pPr>
              <w:jc w:val="center"/>
            </w:pPr>
            <w:r>
              <w:rPr>
                <w:rFonts w:ascii="宋体" w:hAnsi="宋体" w:eastAsia="宋体"/>
                <w:sz w:val="16"/>
              </w:rPr>
              <w:t>20</w:t>
            </w:r>
          </w:p>
        </w:tc>
      </w:tr>
      <w:tr w14:paraId="697EB15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3A615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75BDCC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AA3FD7">
            <w:pPr>
              <w:jc w:val="center"/>
            </w:pPr>
            <w:r>
              <w:rPr>
                <w:rFonts w:ascii="宋体" w:hAnsi="宋体" w:eastAsia="宋体"/>
                <w:sz w:val="16"/>
              </w:rPr>
              <w:t>案件调解率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D61B85">
            <w:pPr>
              <w:jc w:val="center"/>
            </w:pPr>
            <w:r>
              <w:rPr>
                <w:rFonts w:ascii="宋体" w:hAnsi="宋体" w:eastAsia="宋体"/>
                <w:sz w:val="16"/>
              </w:rPr>
              <w:t>&gt;=60%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3FF32F">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8853C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2CAF9F">
            <w:pPr>
              <w:jc w:val="center"/>
            </w:pPr>
            <w:r>
              <w:rPr>
                <w:rFonts w:ascii="宋体" w:hAnsi="宋体" w:eastAsia="宋体"/>
                <w:sz w:val="16"/>
              </w:rPr>
              <w:t>20.69%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853AD6">
            <w:pPr>
              <w:jc w:val="center"/>
            </w:pPr>
            <w:r>
              <w:rPr>
                <w:rFonts w:ascii="宋体" w:hAnsi="宋体" w:eastAsia="宋体"/>
                <w:sz w:val="16"/>
              </w:rPr>
              <w:t>6.9</w:t>
            </w:r>
          </w:p>
        </w:tc>
      </w:tr>
      <w:tr w14:paraId="7BABD9E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6B9FB8"/>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F5156">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F6C161">
            <w:pPr>
              <w:jc w:val="center"/>
            </w:pPr>
            <w:r>
              <w:rPr>
                <w:rFonts w:ascii="宋体" w:hAnsi="宋体" w:eastAsia="宋体"/>
                <w:sz w:val="16"/>
              </w:rPr>
              <w:t>庭审公开率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C9B62A">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E08B00">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625E02">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25C568">
            <w:pPr>
              <w:jc w:val="center"/>
            </w:pPr>
            <w:r>
              <w:rPr>
                <w:rFonts w:ascii="宋体" w:hAnsi="宋体" w:eastAsia="宋体"/>
                <w:sz w:val="16"/>
              </w:rPr>
              <w:t>95.43%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251070">
            <w:pPr>
              <w:jc w:val="center"/>
            </w:pPr>
            <w:r>
              <w:rPr>
                <w:rFonts w:ascii="宋体" w:hAnsi="宋体" w:eastAsia="宋体"/>
                <w:sz w:val="16"/>
              </w:rPr>
              <w:t>25</w:t>
            </w:r>
          </w:p>
        </w:tc>
      </w:tr>
      <w:tr w14:paraId="668D28F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AB8201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C9120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6C90B4">
            <w:pPr>
              <w:jc w:val="center"/>
            </w:pPr>
            <w:r>
              <w:rPr>
                <w:rFonts w:ascii="宋体" w:hAnsi="宋体" w:eastAsia="宋体"/>
                <w:sz w:val="16"/>
              </w:rPr>
              <w:t>法定审限期内结案率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611507">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648C39">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DBAC7D">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C5C679">
            <w:pPr>
              <w:jc w:val="center"/>
            </w:pPr>
            <w:r>
              <w:rPr>
                <w:rFonts w:ascii="宋体" w:hAnsi="宋体" w:eastAsia="宋体"/>
                <w:sz w:val="16"/>
              </w:rPr>
              <w:t>96.82%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94DB4E">
            <w:pPr>
              <w:jc w:val="center"/>
            </w:pPr>
            <w:r>
              <w:rPr>
                <w:rFonts w:ascii="宋体" w:hAnsi="宋体" w:eastAsia="宋体"/>
                <w:sz w:val="16"/>
              </w:rPr>
              <w:t>25</w:t>
            </w:r>
          </w:p>
        </w:tc>
      </w:tr>
    </w:tbl>
    <w:p w14:paraId="594FDAE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96"/>
        <w:gridCol w:w="632"/>
        <w:gridCol w:w="632"/>
      </w:tblGrid>
      <w:tr w14:paraId="445FC8CF">
        <w:tblPrEx>
          <w:tblCellMar>
            <w:top w:w="0" w:type="dxa"/>
            <w:left w:w="108" w:type="dxa"/>
            <w:bottom w:w="0" w:type="dxa"/>
            <w:right w:w="108" w:type="dxa"/>
          </w:tblCellMar>
        </w:tblPrEx>
        <w:tc>
          <w:tcPr>
            <w:tcW w:w="8848" w:type="dxa"/>
            <w:gridSpan w:val="14"/>
            <w:vAlign w:val="center"/>
          </w:tcPr>
          <w:p w14:paraId="693B6CF2">
            <w:pPr>
              <w:jc w:val="center"/>
            </w:pPr>
            <w:r>
              <w:rPr>
                <w:rFonts w:ascii="宋体" w:hAnsi="宋体" w:eastAsia="宋体"/>
                <w:sz w:val="24"/>
              </w:rPr>
              <w:t>项目支出绩效自评表</w:t>
            </w:r>
          </w:p>
        </w:tc>
      </w:tr>
      <w:tr w14:paraId="49BCC4F1">
        <w:tblPrEx>
          <w:tblCellMar>
            <w:top w:w="0" w:type="dxa"/>
            <w:left w:w="108" w:type="dxa"/>
            <w:bottom w:w="0" w:type="dxa"/>
            <w:right w:w="108" w:type="dxa"/>
          </w:tblCellMar>
        </w:tblPrEx>
        <w:tc>
          <w:tcPr>
            <w:tcW w:w="8848" w:type="dxa"/>
            <w:gridSpan w:val="14"/>
            <w:vAlign w:val="center"/>
          </w:tcPr>
          <w:p w14:paraId="18AB98F1">
            <w:pPr>
              <w:jc w:val="center"/>
            </w:pPr>
            <w:r>
              <w:rPr>
                <w:rFonts w:ascii="宋体" w:hAnsi="宋体" w:eastAsia="宋体"/>
                <w:sz w:val="24"/>
              </w:rPr>
              <w:t>(2024年度)</w:t>
            </w:r>
          </w:p>
        </w:tc>
      </w:tr>
      <w:tr w14:paraId="5F9E29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673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8A55A0">
            <w:pPr>
              <w:jc w:val="center"/>
            </w:pPr>
            <w:r>
              <w:rPr>
                <w:rFonts w:ascii="宋体" w:hAnsi="宋体" w:eastAsia="宋体"/>
                <w:sz w:val="16"/>
              </w:rPr>
              <w:t>2024年巴州中级人民法院</w:t>
            </w:r>
            <w:r>
              <w:rPr>
                <w:rFonts w:hint="eastAsia" w:ascii="宋体" w:hAnsi="宋体"/>
                <w:sz w:val="16"/>
                <w:lang w:eastAsia="zh-CN"/>
              </w:rPr>
              <w:t>为民办实事</w:t>
            </w:r>
            <w:r>
              <w:rPr>
                <w:rFonts w:ascii="宋体" w:hAnsi="宋体" w:eastAsia="宋体"/>
                <w:sz w:val="16"/>
              </w:rPr>
              <w:t>工作队经费</w:t>
            </w:r>
          </w:p>
        </w:tc>
      </w:tr>
      <w:tr w14:paraId="7DAD3C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90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278C7D">
            <w:pPr>
              <w:jc w:val="center"/>
            </w:pPr>
            <w:r>
              <w:rPr>
                <w:rFonts w:ascii="宋体" w:hAnsi="宋体" w:eastAsia="宋体"/>
                <w:sz w:val="16"/>
              </w:rPr>
              <w:t>新疆巴州中级人民法院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40C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8FC9B6">
            <w:pPr>
              <w:jc w:val="center"/>
            </w:pPr>
            <w:r>
              <w:rPr>
                <w:rFonts w:ascii="宋体" w:hAnsi="宋体" w:eastAsia="宋体"/>
                <w:sz w:val="16"/>
              </w:rPr>
              <w:t>新疆巴州中级人民法院</w:t>
            </w:r>
          </w:p>
        </w:tc>
      </w:tr>
      <w:tr w14:paraId="10DF8A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4C99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4C3D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125F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82A4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6AF5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6610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5FE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45A47">
            <w:pPr>
              <w:jc w:val="center"/>
            </w:pPr>
            <w:r>
              <w:rPr>
                <w:rFonts w:ascii="宋体" w:hAnsi="宋体" w:eastAsia="宋体"/>
                <w:sz w:val="16"/>
              </w:rPr>
              <w:t>得分</w:t>
            </w:r>
          </w:p>
        </w:tc>
      </w:tr>
      <w:tr w14:paraId="0B0317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6A550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034D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393F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85DB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9ECC7">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678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2217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57933">
            <w:pPr>
              <w:jc w:val="center"/>
            </w:pPr>
            <w:r>
              <w:rPr>
                <w:rFonts w:ascii="宋体" w:hAnsi="宋体" w:eastAsia="宋体"/>
                <w:sz w:val="16"/>
              </w:rPr>
              <w:t>10.00</w:t>
            </w:r>
          </w:p>
        </w:tc>
      </w:tr>
      <w:tr w14:paraId="179BB0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69F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79BB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3250A">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C90C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EDC3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6AC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BEF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FE668">
            <w:pPr>
              <w:jc w:val="center"/>
            </w:pPr>
            <w:r>
              <w:rPr>
                <w:rFonts w:ascii="宋体" w:hAnsi="宋体" w:eastAsia="宋体"/>
                <w:sz w:val="16"/>
              </w:rPr>
              <w:t>-</w:t>
            </w:r>
          </w:p>
        </w:tc>
      </w:tr>
      <w:tr w14:paraId="3D99A7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4D8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8800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BEC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3F9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620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8DA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6FF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E7DC">
            <w:pPr>
              <w:jc w:val="center"/>
            </w:pPr>
            <w:r>
              <w:rPr>
                <w:rFonts w:ascii="宋体" w:hAnsi="宋体" w:eastAsia="宋体"/>
                <w:sz w:val="16"/>
              </w:rPr>
              <w:t>-</w:t>
            </w:r>
          </w:p>
        </w:tc>
      </w:tr>
      <w:tr w14:paraId="3732D2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9354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BA9A9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7608CE">
            <w:pPr>
              <w:jc w:val="center"/>
            </w:pPr>
            <w:r>
              <w:rPr>
                <w:rFonts w:ascii="宋体" w:hAnsi="宋体" w:eastAsia="宋体"/>
                <w:sz w:val="16"/>
              </w:rPr>
              <w:t>总体目标完成情况</w:t>
            </w:r>
          </w:p>
        </w:tc>
      </w:tr>
      <w:tr w14:paraId="026273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540F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588674">
            <w:pPr>
              <w:jc w:val="both"/>
            </w:pPr>
            <w:r>
              <w:rPr>
                <w:rFonts w:ascii="宋体" w:hAnsi="宋体" w:eastAsia="宋体"/>
                <w:sz w:val="16"/>
              </w:rPr>
              <w:t>合理合规使用为民办实事经费，确保为民办实事经费使用的安全性、规范性和实效性。确保库尔勒市哈拉玉宫镇台斯坎村工作队共4名工作人员，工作经费落实到实处。组织各项慰问和文体活动，提高居民文化生活水平。开展“民族团结一家亲”，团结关爱户、独居老人、社区干部联谊活动，加快资金支付进度，保障项目按期完成，提高为民办实事力度，提升群众获得感，切实做到为村民办实事、解民忧，着力解决村民</w:t>
            </w:r>
            <w:r>
              <w:rPr>
                <w:rFonts w:hint="eastAsia" w:ascii="宋体" w:hAnsi="宋体"/>
                <w:sz w:val="16"/>
                <w:lang w:eastAsia="zh-CN"/>
              </w:rPr>
              <w:t>急难愁盼问题</w:t>
            </w:r>
            <w:r>
              <w:rPr>
                <w:rFonts w:ascii="宋体" w:hAnsi="宋体" w:eastAsia="宋体"/>
                <w:sz w:val="16"/>
              </w:rPr>
              <w:t>，把惠民生、暖民心、顺民意的工作做到群众心坎上。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A50AFA">
            <w:pPr>
              <w:jc w:val="both"/>
            </w:pPr>
            <w:r>
              <w:rPr>
                <w:rFonts w:ascii="宋体" w:hAnsi="宋体" w:eastAsia="宋体"/>
                <w:sz w:val="16"/>
              </w:rPr>
              <w:t>为全面贯彻新时代党的治疆方略，努力做好群众工作，落实惠民政策，我院开展</w:t>
            </w:r>
            <w:r>
              <w:rPr>
                <w:rFonts w:hint="eastAsia" w:ascii="宋体" w:hAnsi="宋体"/>
                <w:sz w:val="16"/>
                <w:lang w:eastAsia="zh-CN"/>
              </w:rPr>
              <w:t>为民办实事</w:t>
            </w:r>
            <w:r>
              <w:rPr>
                <w:rFonts w:ascii="宋体" w:hAnsi="宋体" w:eastAsia="宋体"/>
                <w:sz w:val="16"/>
              </w:rPr>
              <w:t>工作队经费项目，确保库尔勒市哈拉玉宫镇台斯坎村工作队共3名工作人员，工作经费落实到实处。组织慰问活动访贫问苦。保障项目按期完成，提高为民办实事力度，提升群众获得感，切实做到为村民办实事、解民忧，着力解决村民</w:t>
            </w:r>
            <w:bookmarkStart w:id="0" w:name="_GoBack"/>
            <w:r>
              <w:rPr>
                <w:rFonts w:hint="eastAsia" w:ascii="宋体" w:hAnsi="宋体"/>
                <w:sz w:val="16"/>
                <w:lang w:eastAsia="zh-CN"/>
              </w:rPr>
              <w:t>急难愁盼问题</w:t>
            </w:r>
            <w:bookmarkEnd w:id="0"/>
            <w:r>
              <w:rPr>
                <w:rFonts w:ascii="宋体" w:hAnsi="宋体" w:eastAsia="宋体"/>
                <w:sz w:val="16"/>
              </w:rPr>
              <w:t>，把惠民生、暖民心、顺民意的工作做到群众心坎上。</w:t>
            </w:r>
          </w:p>
        </w:tc>
      </w:tr>
      <w:tr w14:paraId="205FC7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2AD4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E0B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FA0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8A9A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4CAD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F53C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BEE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90D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A24D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FD63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9C68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A0C3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9AE8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CB69E">
            <w:pPr>
              <w:jc w:val="center"/>
            </w:pPr>
            <w:r>
              <w:rPr>
                <w:rFonts w:ascii="宋体" w:hAnsi="宋体" w:eastAsia="宋体"/>
                <w:sz w:val="16"/>
              </w:rPr>
              <w:t>偏差原因分析及改进措施</w:t>
            </w:r>
          </w:p>
        </w:tc>
      </w:tr>
      <w:tr w14:paraId="3B4D7C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6533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5DFA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93F87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BB473">
            <w:pPr>
              <w:jc w:val="center"/>
            </w:pPr>
            <w:r>
              <w:rPr>
                <w:rFonts w:ascii="宋体" w:hAnsi="宋体" w:eastAsia="宋体"/>
                <w:sz w:val="16"/>
              </w:rPr>
              <w:t>派驻工作队数量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D20F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DF8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3FD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00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46A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80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7122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EBA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D838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94FA4">
            <w:pPr>
              <w:jc w:val="center"/>
            </w:pPr>
          </w:p>
        </w:tc>
      </w:tr>
      <w:tr w14:paraId="2D7972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DDD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067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188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09CD">
            <w:pPr>
              <w:jc w:val="center"/>
            </w:pPr>
            <w:r>
              <w:rPr>
                <w:rFonts w:ascii="宋体" w:hAnsi="宋体" w:eastAsia="宋体"/>
                <w:sz w:val="16"/>
              </w:rPr>
              <w:t>派驻工作队工作人员人数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5AFD">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6CF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25E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C6CC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51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C88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076F8">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62AED">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0AAD7">
            <w:pPr>
              <w:jc w:val="center"/>
            </w:pPr>
            <w:r>
              <w:rPr>
                <w:rFonts w:ascii="宋体" w:hAnsi="宋体" w:eastAsia="宋体"/>
                <w:sz w:val="16"/>
              </w:rPr>
              <w:t>1.33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6735">
            <w:pPr>
              <w:jc w:val="center"/>
            </w:pPr>
            <w:r>
              <w:rPr>
                <w:rFonts w:ascii="宋体" w:hAnsi="宋体" w:eastAsia="宋体"/>
                <w:sz w:val="16"/>
              </w:rPr>
              <w:t>因政策调整，我单位工作队员调整，减少1人</w:t>
            </w:r>
          </w:p>
        </w:tc>
      </w:tr>
      <w:tr w14:paraId="5A2791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FC3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763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0A1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FCD5">
            <w:pPr>
              <w:jc w:val="center"/>
            </w:pPr>
            <w:r>
              <w:rPr>
                <w:rFonts w:ascii="宋体" w:hAnsi="宋体" w:eastAsia="宋体"/>
                <w:sz w:val="16"/>
              </w:rPr>
              <w:t>为民办实事第一书记人数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80069">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98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A69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FC13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CBF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4F0F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6A16">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032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9428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DAB2E">
            <w:pPr>
              <w:jc w:val="center"/>
            </w:pPr>
          </w:p>
        </w:tc>
      </w:tr>
      <w:tr w14:paraId="72D57A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E6F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DB3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D1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42C08">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D0E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9FF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7FB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3713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DE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EC2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D42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0A6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C7AD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1270">
            <w:pPr>
              <w:jc w:val="center"/>
            </w:pPr>
          </w:p>
        </w:tc>
      </w:tr>
      <w:tr w14:paraId="332D07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F5C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E16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9BD7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CD91C">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25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ACB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5E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DCC6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80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812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81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DB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BD1B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E624C">
            <w:pPr>
              <w:jc w:val="center"/>
            </w:pPr>
          </w:p>
        </w:tc>
      </w:tr>
      <w:tr w14:paraId="749909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66A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4271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33104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6868F">
            <w:pPr>
              <w:jc w:val="center"/>
            </w:pPr>
            <w:r>
              <w:rPr>
                <w:rFonts w:ascii="宋体" w:hAnsi="宋体" w:eastAsia="宋体"/>
                <w:sz w:val="16"/>
              </w:rPr>
              <w:t>为民办实事工作经费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866E6">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021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8B4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491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16B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51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0C3DB">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C23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975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B2EF">
            <w:pPr>
              <w:jc w:val="center"/>
            </w:pPr>
          </w:p>
        </w:tc>
      </w:tr>
      <w:tr w14:paraId="5227AC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EFE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14A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E60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C95F">
            <w:pPr>
              <w:jc w:val="center"/>
            </w:pPr>
            <w:r>
              <w:rPr>
                <w:rFonts w:ascii="宋体" w:hAnsi="宋体" w:eastAsia="宋体"/>
                <w:sz w:val="16"/>
              </w:rPr>
              <w:t>第一书记工作经费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5BFA">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674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267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EB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B86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D6F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DD8EE">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938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B7E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4BAE8">
            <w:pPr>
              <w:jc w:val="center"/>
            </w:pPr>
          </w:p>
        </w:tc>
      </w:tr>
      <w:tr w14:paraId="460343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A13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CA7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8E4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E17AE">
            <w:pPr>
              <w:jc w:val="center"/>
            </w:pPr>
            <w:r>
              <w:rPr>
                <w:rFonts w:ascii="宋体" w:hAnsi="宋体" w:eastAsia="宋体"/>
                <w:sz w:val="16"/>
              </w:rPr>
              <w:t>村民文化生活水平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2CE57">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B2B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D11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6B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36BA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C54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93E1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E8F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82F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EB29B">
            <w:pPr>
              <w:jc w:val="center"/>
            </w:pPr>
          </w:p>
        </w:tc>
      </w:tr>
      <w:tr w14:paraId="42CAD1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0BF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28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EB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D8B5C">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79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331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C9E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4A8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F53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27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655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E56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CA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D98B">
            <w:pPr>
              <w:jc w:val="center"/>
            </w:pPr>
          </w:p>
        </w:tc>
      </w:tr>
      <w:tr w14:paraId="755AB90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2D8B1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AEA5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4E92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607A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2C9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8AF6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7C07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7E64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38FE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5A5B7">
            <w:pPr>
              <w:jc w:val="center"/>
            </w:pPr>
            <w:r>
              <w:rPr>
                <w:rFonts w:ascii="宋体" w:hAnsi="宋体" w:eastAsia="宋体"/>
                <w:sz w:val="16"/>
              </w:rPr>
              <w:t>93.33分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5E86C1"/>
        </w:tc>
      </w:tr>
    </w:tbl>
    <w:p w14:paraId="587B9DA9">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96"/>
        <w:gridCol w:w="632"/>
        <w:gridCol w:w="629"/>
      </w:tblGrid>
      <w:tr w14:paraId="581E010F">
        <w:tblPrEx>
          <w:tblCellMar>
            <w:top w:w="0" w:type="dxa"/>
            <w:left w:w="108" w:type="dxa"/>
            <w:bottom w:w="0" w:type="dxa"/>
            <w:right w:w="108" w:type="dxa"/>
          </w:tblCellMar>
        </w:tblPrEx>
        <w:tc>
          <w:tcPr>
            <w:tcW w:w="8848" w:type="dxa"/>
            <w:gridSpan w:val="14"/>
            <w:vAlign w:val="center"/>
          </w:tcPr>
          <w:p w14:paraId="2146DE2E">
            <w:pPr>
              <w:jc w:val="center"/>
            </w:pPr>
            <w:r>
              <w:rPr>
                <w:rFonts w:ascii="宋体" w:hAnsi="宋体" w:eastAsia="宋体"/>
                <w:sz w:val="24"/>
              </w:rPr>
              <w:t>项目支出绩效自评表</w:t>
            </w:r>
          </w:p>
        </w:tc>
      </w:tr>
      <w:tr w14:paraId="7226472F">
        <w:tblPrEx>
          <w:tblCellMar>
            <w:top w:w="0" w:type="dxa"/>
            <w:left w:w="108" w:type="dxa"/>
            <w:bottom w:w="0" w:type="dxa"/>
            <w:right w:w="108" w:type="dxa"/>
          </w:tblCellMar>
        </w:tblPrEx>
        <w:tc>
          <w:tcPr>
            <w:tcW w:w="8848" w:type="dxa"/>
            <w:gridSpan w:val="14"/>
            <w:vAlign w:val="center"/>
          </w:tcPr>
          <w:p w14:paraId="0A5AD826">
            <w:pPr>
              <w:jc w:val="center"/>
            </w:pPr>
            <w:r>
              <w:rPr>
                <w:rFonts w:ascii="宋体" w:hAnsi="宋体" w:eastAsia="宋体"/>
                <w:sz w:val="24"/>
              </w:rPr>
              <w:t>(2024年度)</w:t>
            </w:r>
          </w:p>
        </w:tc>
      </w:tr>
      <w:tr w14:paraId="07D0C5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46D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F5E008">
            <w:pPr>
              <w:jc w:val="center"/>
            </w:pPr>
            <w:r>
              <w:rPr>
                <w:rFonts w:ascii="宋体" w:hAnsi="宋体" w:eastAsia="宋体"/>
                <w:sz w:val="16"/>
              </w:rPr>
              <w:t>2024年河北援疆资金</w:t>
            </w:r>
          </w:p>
        </w:tc>
      </w:tr>
      <w:tr w14:paraId="02D946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FCD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60051A">
            <w:pPr>
              <w:jc w:val="center"/>
            </w:pPr>
            <w:r>
              <w:rPr>
                <w:rFonts w:ascii="宋体" w:hAnsi="宋体" w:eastAsia="宋体"/>
                <w:sz w:val="16"/>
              </w:rPr>
              <w:t>新疆巴州中级人民法院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82A3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F3069A">
            <w:pPr>
              <w:jc w:val="center"/>
            </w:pPr>
            <w:r>
              <w:rPr>
                <w:rFonts w:ascii="宋体" w:hAnsi="宋体" w:eastAsia="宋体"/>
                <w:sz w:val="16"/>
              </w:rPr>
              <w:t>新疆巴州中级人民法院</w:t>
            </w:r>
          </w:p>
        </w:tc>
      </w:tr>
      <w:tr w14:paraId="156940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8C0E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E982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19EB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1674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8687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456F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D77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3013B">
            <w:pPr>
              <w:jc w:val="center"/>
            </w:pPr>
            <w:r>
              <w:rPr>
                <w:rFonts w:ascii="宋体" w:hAnsi="宋体" w:eastAsia="宋体"/>
                <w:sz w:val="16"/>
              </w:rPr>
              <w:t>得分</w:t>
            </w:r>
          </w:p>
        </w:tc>
      </w:tr>
      <w:tr w14:paraId="551BD8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A3882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EAD1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99C1A">
            <w:pPr>
              <w:jc w:val="center"/>
            </w:pPr>
            <w:r>
              <w:rPr>
                <w:rFonts w:ascii="宋体" w:hAnsi="宋体" w:eastAsia="宋体"/>
                <w:sz w:val="16"/>
              </w:rPr>
              <w:t>117.60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D0A57">
            <w:pPr>
              <w:jc w:val="center"/>
            </w:pPr>
            <w:r>
              <w:rPr>
                <w:rFonts w:ascii="宋体" w:hAnsi="宋体" w:eastAsia="宋体"/>
                <w:sz w:val="16"/>
              </w:rPr>
              <w:t>117.60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C280B">
            <w:pPr>
              <w:jc w:val="center"/>
            </w:pPr>
            <w:r>
              <w:rPr>
                <w:rFonts w:ascii="宋体" w:hAnsi="宋体" w:eastAsia="宋体"/>
                <w:sz w:val="16"/>
              </w:rPr>
              <w:t>112.40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CA0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8A59C">
            <w:pPr>
              <w:jc w:val="center"/>
            </w:pPr>
            <w:r>
              <w:rPr>
                <w:rFonts w:ascii="宋体" w:hAnsi="宋体" w:eastAsia="宋体"/>
                <w:sz w:val="16"/>
              </w:rPr>
              <w:t>95.58%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B20C4">
            <w:pPr>
              <w:jc w:val="center"/>
            </w:pPr>
            <w:r>
              <w:rPr>
                <w:rFonts w:ascii="宋体" w:hAnsi="宋体" w:eastAsia="宋体"/>
                <w:sz w:val="16"/>
              </w:rPr>
              <w:t>8.89</w:t>
            </w:r>
          </w:p>
        </w:tc>
      </w:tr>
      <w:tr w14:paraId="714161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2A5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1C73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598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6D0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35A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CFE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18D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49AA4">
            <w:pPr>
              <w:jc w:val="center"/>
            </w:pPr>
            <w:r>
              <w:rPr>
                <w:rFonts w:ascii="宋体" w:hAnsi="宋体" w:eastAsia="宋体"/>
                <w:sz w:val="16"/>
              </w:rPr>
              <w:t>-</w:t>
            </w:r>
          </w:p>
        </w:tc>
      </w:tr>
      <w:tr w14:paraId="600E7E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90D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E6C0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E2156">
            <w:pPr>
              <w:jc w:val="center"/>
            </w:pPr>
            <w:r>
              <w:rPr>
                <w:rFonts w:ascii="宋体" w:hAnsi="宋体" w:eastAsia="宋体"/>
                <w:sz w:val="16"/>
              </w:rPr>
              <w:t>117.60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C4E55">
            <w:pPr>
              <w:jc w:val="center"/>
            </w:pPr>
            <w:r>
              <w:rPr>
                <w:rFonts w:ascii="宋体" w:hAnsi="宋体" w:eastAsia="宋体"/>
                <w:sz w:val="16"/>
              </w:rPr>
              <w:t>117.60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DB7A9">
            <w:pPr>
              <w:jc w:val="center"/>
            </w:pPr>
            <w:r>
              <w:rPr>
                <w:rFonts w:ascii="宋体" w:hAnsi="宋体" w:eastAsia="宋体"/>
                <w:sz w:val="16"/>
              </w:rPr>
              <w:t>112.40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DAC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BED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FD22">
            <w:pPr>
              <w:jc w:val="center"/>
            </w:pPr>
            <w:r>
              <w:rPr>
                <w:rFonts w:ascii="宋体" w:hAnsi="宋体" w:eastAsia="宋体"/>
                <w:sz w:val="16"/>
              </w:rPr>
              <w:t>-</w:t>
            </w:r>
          </w:p>
        </w:tc>
      </w:tr>
      <w:tr w14:paraId="013985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88243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9504A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D57E01">
            <w:pPr>
              <w:jc w:val="center"/>
            </w:pPr>
            <w:r>
              <w:rPr>
                <w:rFonts w:ascii="宋体" w:hAnsi="宋体" w:eastAsia="宋体"/>
                <w:sz w:val="16"/>
              </w:rPr>
              <w:t>总体目标完成情况</w:t>
            </w:r>
          </w:p>
        </w:tc>
      </w:tr>
      <w:tr w14:paraId="370DC9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EEBD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BEDB76">
            <w:pPr>
              <w:jc w:val="both"/>
            </w:pPr>
            <w:r>
              <w:rPr>
                <w:rFonts w:ascii="宋体" w:hAnsi="宋体" w:eastAsia="宋体"/>
                <w:sz w:val="16"/>
              </w:rPr>
              <w:t>河北援建巴州中级人民法院经费，在巴州中级人民法院各项工作实现信息化运行、管理、服务及决策的智能支持的基础上，预计保障办公人员数量235人，完成修缮项目1个，修缮项目支出35.77万元，保障援疆干部1人，合理合规支出援疆项目资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293F7F">
            <w:pPr>
              <w:jc w:val="both"/>
            </w:pPr>
            <w:r>
              <w:rPr>
                <w:rFonts w:ascii="宋体" w:hAnsi="宋体" w:eastAsia="宋体"/>
                <w:sz w:val="16"/>
              </w:rPr>
              <w:t>2024年度我单位保障办公人员136人，修缮工程数量1个，修缮项目支出35.76万元，保障援疆干部1人，援疆干部经费支出15.86万元，修缮项目及时完成，资金及时支付，人员总体满意度达到95%.</w:t>
            </w:r>
          </w:p>
        </w:tc>
      </w:tr>
      <w:tr w14:paraId="27F38D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AC55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254F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5E0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AEFB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E584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DE03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743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5567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A750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6E9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689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C776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0DBF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6F037">
            <w:pPr>
              <w:jc w:val="center"/>
            </w:pPr>
            <w:r>
              <w:rPr>
                <w:rFonts w:ascii="宋体" w:hAnsi="宋体" w:eastAsia="宋体"/>
                <w:sz w:val="16"/>
              </w:rPr>
              <w:t>偏差原因分析及改进措施</w:t>
            </w:r>
          </w:p>
        </w:tc>
      </w:tr>
      <w:tr w14:paraId="1A0978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584C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2F6C6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ACBC0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D588">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23E0">
            <w:pPr>
              <w:jc w:val="center"/>
            </w:pPr>
            <w:r>
              <w:rPr>
                <w:rFonts w:ascii="宋体" w:hAnsi="宋体" w:eastAsia="宋体"/>
                <w:sz w:val="16"/>
              </w:rPr>
              <w:t>&gt;=235人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AC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5F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7A4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681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76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0B04B">
            <w:pPr>
              <w:jc w:val="center"/>
            </w:pPr>
            <w:r>
              <w:rPr>
                <w:rFonts w:ascii="宋体" w:hAnsi="宋体" w:eastAsia="宋体"/>
                <w:sz w:val="16"/>
              </w:rPr>
              <w:t>=136人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2F85E">
            <w:pPr>
              <w:jc w:val="center"/>
            </w:pPr>
            <w:r>
              <w:rPr>
                <w:rFonts w:ascii="宋体" w:hAnsi="宋体" w:eastAsia="宋体"/>
                <w:sz w:val="16"/>
              </w:rPr>
              <w:t>57.87%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0D39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7D6A7">
            <w:pPr>
              <w:jc w:val="center"/>
            </w:pPr>
            <w:r>
              <w:rPr>
                <w:rFonts w:ascii="宋体" w:hAnsi="宋体" w:eastAsia="宋体"/>
                <w:sz w:val="16"/>
              </w:rPr>
              <w:t>原因：年初预算指标设置不准确，导致完成值与指标值产生偏差。改进措施：我单位以后在设置各项指标时。要进一步优化完善，主要在细化、量化上改进，严格按照年初设定指标执行，降低预算执行中出现的偏差率。</w:t>
            </w:r>
          </w:p>
        </w:tc>
      </w:tr>
      <w:tr w14:paraId="6B353C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F4A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0EF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3CE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D22C">
            <w:pPr>
              <w:jc w:val="center"/>
            </w:pPr>
            <w:r>
              <w:rPr>
                <w:rFonts w:ascii="宋体" w:hAnsi="宋体" w:eastAsia="宋体"/>
                <w:sz w:val="16"/>
              </w:rPr>
              <w:t>修缮工程数量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670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D2B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1ED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96B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12E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06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9065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92B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F7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D0EA1">
            <w:pPr>
              <w:jc w:val="center"/>
            </w:pPr>
          </w:p>
        </w:tc>
      </w:tr>
      <w:tr w14:paraId="137088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6FC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8C3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34C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9ED8C">
            <w:pPr>
              <w:jc w:val="center"/>
            </w:pPr>
            <w:r>
              <w:rPr>
                <w:rFonts w:ascii="宋体" w:hAnsi="宋体" w:eastAsia="宋体"/>
                <w:sz w:val="16"/>
              </w:rPr>
              <w:t>保障援疆干部人员数量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D71A8">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7B2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EF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D80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3BF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14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B6C1">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B5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37C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FF40A">
            <w:pPr>
              <w:jc w:val="center"/>
            </w:pPr>
          </w:p>
        </w:tc>
      </w:tr>
      <w:tr w14:paraId="5C5764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6ED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1AE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E0F4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167E9">
            <w:pPr>
              <w:jc w:val="center"/>
            </w:pPr>
            <w:r>
              <w:rPr>
                <w:rFonts w:ascii="宋体" w:hAnsi="宋体" w:eastAsia="宋体"/>
                <w:sz w:val="16"/>
              </w:rPr>
              <w:t>修缮材料政府采购率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396D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5B8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5A9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52C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1B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C53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B00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CF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05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A27CE">
            <w:pPr>
              <w:jc w:val="center"/>
            </w:pPr>
          </w:p>
        </w:tc>
      </w:tr>
      <w:tr w14:paraId="257992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A78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71D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C6D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53ABC">
            <w:pPr>
              <w:jc w:val="center"/>
            </w:pPr>
            <w:r>
              <w:rPr>
                <w:rFonts w:ascii="宋体" w:hAnsi="宋体" w:eastAsia="宋体"/>
                <w:sz w:val="16"/>
              </w:rPr>
              <w:t>修缮项目设计变更率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58B69">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87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276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68A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BA02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0238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67C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C6D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5F2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6CD90">
            <w:pPr>
              <w:jc w:val="center"/>
            </w:pPr>
          </w:p>
        </w:tc>
      </w:tr>
      <w:tr w14:paraId="4A8C81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542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F12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859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E9A46">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01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99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92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605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BF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6C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E3EB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C9A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AF1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7064C">
            <w:pPr>
              <w:jc w:val="center"/>
            </w:pPr>
            <w:r>
              <w:rPr>
                <w:rFonts w:ascii="宋体" w:hAnsi="宋体" w:eastAsia="宋体"/>
                <w:sz w:val="16"/>
              </w:rPr>
              <w:t>原因：项目尚未完工，暂未竣工验收。改进措施：我单位将按照合同约定，工程完工后，尽快验收，严格按照年初设定指标执行，降低预算执行中出现的偏差率。</w:t>
            </w:r>
          </w:p>
        </w:tc>
      </w:tr>
      <w:tr w14:paraId="78B864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0E7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86E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02E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AAD90">
            <w:pPr>
              <w:jc w:val="center"/>
            </w:pPr>
            <w:r>
              <w:rPr>
                <w:rFonts w:ascii="宋体" w:hAnsi="宋体" w:eastAsia="宋体"/>
                <w:sz w:val="16"/>
              </w:rPr>
              <w:t>修缮项目资金支付率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2B1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1F2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29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DA52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48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3939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A19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942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EF0D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FE0D">
            <w:pPr>
              <w:jc w:val="center"/>
            </w:pPr>
          </w:p>
        </w:tc>
      </w:tr>
      <w:tr w14:paraId="37F2F8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4E7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F07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A6513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E1CEF">
            <w:pPr>
              <w:jc w:val="center"/>
            </w:pPr>
            <w:r>
              <w:rPr>
                <w:rFonts w:ascii="宋体" w:hAnsi="宋体" w:eastAsia="宋体"/>
                <w:sz w:val="16"/>
              </w:rPr>
              <w:t>修缮项目按计划开工时间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8FA0C">
            <w:pPr>
              <w:jc w:val="center"/>
            </w:pPr>
            <w:r>
              <w:rPr>
                <w:rFonts w:ascii="宋体" w:hAnsi="宋体" w:eastAsia="宋体"/>
                <w:sz w:val="16"/>
              </w:rPr>
              <w:t>=2024年9月15日前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736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66F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7C6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F1DE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6DE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9A252">
            <w:pPr>
              <w:jc w:val="center"/>
            </w:pPr>
            <w:r>
              <w:rPr>
                <w:rFonts w:ascii="宋体" w:hAnsi="宋体" w:eastAsia="宋体"/>
                <w:sz w:val="16"/>
              </w:rPr>
              <w:t>=2024年9月10日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9FF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447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517E4">
            <w:pPr>
              <w:jc w:val="center"/>
            </w:pPr>
          </w:p>
        </w:tc>
      </w:tr>
      <w:tr w14:paraId="24A63F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45B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0CE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66D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359C0">
            <w:pPr>
              <w:jc w:val="center"/>
            </w:pPr>
            <w:r>
              <w:rPr>
                <w:rFonts w:ascii="宋体" w:hAnsi="宋体" w:eastAsia="宋体"/>
                <w:sz w:val="16"/>
              </w:rPr>
              <w:t>修缮项目按计划完工时间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603DF">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50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421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12A1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6936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F91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6AF1">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1C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44F8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5FAAC">
            <w:pPr>
              <w:jc w:val="center"/>
            </w:pPr>
          </w:p>
        </w:tc>
      </w:tr>
      <w:tr w14:paraId="623CF4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17D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AA0A9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D3BC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1D167">
            <w:pPr>
              <w:jc w:val="center"/>
            </w:pPr>
            <w:r>
              <w:rPr>
                <w:rFonts w:ascii="宋体" w:hAnsi="宋体" w:eastAsia="宋体"/>
                <w:sz w:val="16"/>
              </w:rPr>
              <w:t>援疆干部支出经费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3AE2">
            <w:pPr>
              <w:jc w:val="center"/>
            </w:pPr>
            <w:r>
              <w:rPr>
                <w:rFonts w:ascii="宋体" w:hAnsi="宋体" w:eastAsia="宋体"/>
                <w:sz w:val="16"/>
              </w:rPr>
              <w:t>&lt;=15.86万元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E5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826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3B57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144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E05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6271E">
            <w:pPr>
              <w:jc w:val="center"/>
            </w:pPr>
            <w:r>
              <w:rPr>
                <w:rFonts w:ascii="宋体" w:hAnsi="宋体" w:eastAsia="宋体"/>
                <w:sz w:val="16"/>
              </w:rPr>
              <w:t>=15.86万元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6D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4B21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02BEF">
            <w:pPr>
              <w:jc w:val="center"/>
            </w:pPr>
            <w:r>
              <w:rPr>
                <w:rFonts w:ascii="宋体" w:hAnsi="宋体" w:eastAsia="宋体"/>
                <w:sz w:val="16"/>
              </w:rPr>
              <w:t>原因：设定指标时未涵盖各基层院援疆干部支出。改进措施：按照本机关职能，结合工作实际和历史数据，制定切实可行的预算。</w:t>
            </w:r>
          </w:p>
        </w:tc>
      </w:tr>
      <w:tr w14:paraId="58772E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865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334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685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D9BF3">
            <w:pPr>
              <w:jc w:val="center"/>
            </w:pPr>
            <w:r>
              <w:rPr>
                <w:rFonts w:ascii="宋体" w:hAnsi="宋体" w:eastAsia="宋体"/>
                <w:sz w:val="16"/>
              </w:rPr>
              <w:t>修缮项目经费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AAA56">
            <w:pPr>
              <w:jc w:val="center"/>
            </w:pPr>
            <w:r>
              <w:rPr>
                <w:rFonts w:ascii="宋体" w:hAnsi="宋体" w:eastAsia="宋体"/>
                <w:sz w:val="16"/>
              </w:rPr>
              <w:t>&lt;=35.77万元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841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6C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CB5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FB4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5F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E0D40">
            <w:pPr>
              <w:jc w:val="center"/>
            </w:pPr>
            <w:r>
              <w:rPr>
                <w:rFonts w:ascii="宋体" w:hAnsi="宋体" w:eastAsia="宋体"/>
                <w:sz w:val="16"/>
              </w:rPr>
              <w:t>=35.76万元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6778D">
            <w:pPr>
              <w:jc w:val="center"/>
            </w:pPr>
            <w:r>
              <w:rPr>
                <w:rFonts w:ascii="宋体" w:hAnsi="宋体" w:eastAsia="宋体"/>
                <w:sz w:val="16"/>
              </w:rPr>
              <w:t>99.97%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F8F8E">
            <w:pPr>
              <w:jc w:val="center"/>
            </w:pPr>
            <w:r>
              <w:rPr>
                <w:rFonts w:ascii="宋体" w:hAnsi="宋体" w:eastAsia="宋体"/>
                <w:sz w:val="16"/>
              </w:rPr>
              <w:t>6.99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538A">
            <w:pPr>
              <w:jc w:val="center"/>
            </w:pPr>
            <w:r>
              <w:rPr>
                <w:rFonts w:ascii="宋体" w:hAnsi="宋体" w:eastAsia="宋体"/>
                <w:sz w:val="16"/>
              </w:rPr>
              <w:t>原因：受市场价格波动影响，价格发生较小变动。改进措施：多方调查当前市场价格，测算出更加精准的数据。</w:t>
            </w:r>
          </w:p>
        </w:tc>
      </w:tr>
      <w:tr w14:paraId="3DE01F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0C3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D09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E4C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F0E86">
            <w:pPr>
              <w:jc w:val="center"/>
            </w:pPr>
            <w:r>
              <w:rPr>
                <w:rFonts w:ascii="宋体" w:hAnsi="宋体" w:eastAsia="宋体"/>
                <w:sz w:val="16"/>
              </w:rPr>
              <w:t>人均运转经费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47499">
            <w:pPr>
              <w:jc w:val="center"/>
            </w:pPr>
            <w:r>
              <w:rPr>
                <w:rFonts w:ascii="宋体" w:hAnsi="宋体" w:eastAsia="宋体"/>
                <w:sz w:val="16"/>
              </w:rPr>
              <w:t>&lt;=2807元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407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6B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CB8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E45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438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7A322">
            <w:pPr>
              <w:jc w:val="center"/>
            </w:pPr>
            <w:r>
              <w:rPr>
                <w:rFonts w:ascii="宋体" w:hAnsi="宋体" w:eastAsia="宋体"/>
                <w:sz w:val="16"/>
              </w:rPr>
              <w:t>=4469元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7B88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9E76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41ACD">
            <w:pPr>
              <w:jc w:val="center"/>
            </w:pPr>
            <w:r>
              <w:rPr>
                <w:rFonts w:ascii="宋体" w:hAnsi="宋体" w:eastAsia="宋体"/>
                <w:sz w:val="16"/>
              </w:rPr>
              <w:t>原因：设定指标时未涵盖各基层院援疆干部支出，导致人均运转经费产生偏差。改进措施：按照本机关职能，结合工作实际和历史数据，制定切实可行的预算。</w:t>
            </w:r>
          </w:p>
        </w:tc>
      </w:tr>
      <w:tr w14:paraId="1EF5CF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C26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B92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3399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2E382">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99B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206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A2B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FE3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59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5E1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77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4CB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845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4855">
            <w:pPr>
              <w:jc w:val="center"/>
            </w:pPr>
          </w:p>
        </w:tc>
      </w:tr>
      <w:tr w14:paraId="796A91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880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4C7A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B762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3EF3D">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EE0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8C7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F1C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58D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D76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9D0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B7CA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01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B5B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0BB11">
            <w:pPr>
              <w:jc w:val="center"/>
            </w:pPr>
          </w:p>
        </w:tc>
      </w:tr>
      <w:tr w14:paraId="56DF45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584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DF1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193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C69F">
            <w:pPr>
              <w:jc w:val="center"/>
            </w:pPr>
            <w:r>
              <w:rPr>
                <w:rFonts w:ascii="宋体" w:hAnsi="宋体" w:eastAsia="宋体"/>
                <w:sz w:val="16"/>
              </w:rPr>
              <w:t>受益群体满意度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E6F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58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39E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303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9986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855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F742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44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96E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E8C3E">
            <w:pPr>
              <w:jc w:val="center"/>
            </w:pPr>
          </w:p>
        </w:tc>
      </w:tr>
      <w:tr w14:paraId="2CAED67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4EECE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7C38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FD78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D290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6A4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18E3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4ECF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2B5D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9950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C09E">
            <w:pPr>
              <w:jc w:val="center"/>
            </w:pPr>
            <w:r>
              <w:rPr>
                <w:rFonts w:ascii="宋体" w:hAnsi="宋体" w:eastAsia="宋体"/>
                <w:sz w:val="16"/>
              </w:rPr>
              <w:t>83.88分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BF70B9"/>
        </w:tc>
      </w:tr>
    </w:tbl>
    <w:p w14:paraId="6F599F05">
      <w:r>
        <w:br w:type="page"/>
      </w:r>
    </w:p>
    <w:p w14:paraId="2581DBA8">
      <w:pPr>
        <w:spacing w:line="640" w:lineRule="exact"/>
        <w:ind w:firstLine="640"/>
        <w:jc w:val="both"/>
        <w:outlineLvl w:val="2"/>
      </w:pPr>
      <w:r>
        <w:rPr>
          <w:rFonts w:ascii="黑体" w:hAnsi="黑体" w:eastAsia="黑体"/>
          <w:sz w:val="32"/>
        </w:rPr>
        <w:t>十二、其他需说明的事项</w:t>
      </w:r>
    </w:p>
    <w:p w14:paraId="3A8F49B2">
      <w:pPr>
        <w:spacing w:line="580" w:lineRule="exact"/>
        <w:ind w:firstLine="640"/>
        <w:jc w:val="both"/>
      </w:pPr>
      <w:r>
        <w:rPr>
          <w:rFonts w:ascii="仿宋_GB2312" w:hAnsi="仿宋_GB2312" w:eastAsia="仿宋_GB2312"/>
          <w:b w:val="0"/>
          <w:sz w:val="32"/>
        </w:rPr>
        <w:t>本年本部门SM项目3个，全年预算数961.73万元，全年执行数961.73万元。</w:t>
      </w:r>
    </w:p>
    <w:p w14:paraId="1B5835DC">
      <w:r>
        <w:br w:type="page"/>
      </w:r>
    </w:p>
    <w:p w14:paraId="1CDE0E5D">
      <w:pPr>
        <w:spacing w:line="240" w:lineRule="auto"/>
        <w:jc w:val="center"/>
        <w:outlineLvl w:val="1"/>
      </w:pPr>
      <w:r>
        <w:rPr>
          <w:rFonts w:ascii="黑体" w:hAnsi="黑体" w:eastAsia="黑体"/>
          <w:sz w:val="32"/>
        </w:rPr>
        <w:t>第三部分 专业名词解释</w:t>
      </w:r>
    </w:p>
    <w:p w14:paraId="78352D9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B3A110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A6D98C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72876A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1D0B60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B6C78F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3AC4B2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CF17F1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42BAE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02674F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0CA74F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98C945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937339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CAFCE3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DA71E15">
      <w:r>
        <w:br w:type="page"/>
      </w:r>
    </w:p>
    <w:p w14:paraId="493DB76E">
      <w:pPr>
        <w:spacing w:line="240" w:lineRule="auto"/>
        <w:jc w:val="center"/>
        <w:outlineLvl w:val="1"/>
      </w:pPr>
      <w:r>
        <w:rPr>
          <w:rFonts w:ascii="黑体" w:hAnsi="黑体" w:eastAsia="黑体"/>
          <w:sz w:val="32"/>
        </w:rPr>
        <w:t>第四部分 部门决算报表（见附表）</w:t>
      </w:r>
    </w:p>
    <w:p w14:paraId="0FADB521">
      <w:pPr>
        <w:spacing w:line="240" w:lineRule="auto"/>
        <w:ind w:firstLine="640"/>
        <w:jc w:val="both"/>
      </w:pPr>
      <w:r>
        <w:rPr>
          <w:rFonts w:ascii="仿宋_GB2312" w:hAnsi="仿宋_GB2312" w:eastAsia="仿宋_GB2312"/>
          <w:b w:val="0"/>
          <w:sz w:val="32"/>
        </w:rPr>
        <w:t>一、《收入支出决算总表》</w:t>
      </w:r>
    </w:p>
    <w:p w14:paraId="15FC1A9F">
      <w:pPr>
        <w:spacing w:line="240" w:lineRule="auto"/>
        <w:ind w:firstLine="640"/>
        <w:jc w:val="both"/>
      </w:pPr>
      <w:r>
        <w:rPr>
          <w:rFonts w:ascii="仿宋_GB2312" w:hAnsi="仿宋_GB2312" w:eastAsia="仿宋_GB2312"/>
          <w:b w:val="0"/>
          <w:sz w:val="32"/>
        </w:rPr>
        <w:t>二、《收入决算表》</w:t>
      </w:r>
    </w:p>
    <w:p w14:paraId="2409599F">
      <w:pPr>
        <w:spacing w:line="240" w:lineRule="auto"/>
        <w:ind w:firstLine="640"/>
        <w:jc w:val="both"/>
      </w:pPr>
      <w:r>
        <w:rPr>
          <w:rFonts w:ascii="仿宋_GB2312" w:hAnsi="仿宋_GB2312" w:eastAsia="仿宋_GB2312"/>
          <w:b w:val="0"/>
          <w:sz w:val="32"/>
        </w:rPr>
        <w:t>三、《支出决算表》</w:t>
      </w:r>
    </w:p>
    <w:p w14:paraId="51EAC2E0">
      <w:pPr>
        <w:spacing w:line="240" w:lineRule="auto"/>
        <w:ind w:firstLine="640"/>
        <w:jc w:val="both"/>
      </w:pPr>
      <w:r>
        <w:rPr>
          <w:rFonts w:ascii="仿宋_GB2312" w:hAnsi="仿宋_GB2312" w:eastAsia="仿宋_GB2312"/>
          <w:b w:val="0"/>
          <w:sz w:val="32"/>
        </w:rPr>
        <w:t>四、《财政拨款收入支出决算总表》</w:t>
      </w:r>
    </w:p>
    <w:p w14:paraId="0119BD89">
      <w:pPr>
        <w:spacing w:line="240" w:lineRule="auto"/>
        <w:ind w:firstLine="640"/>
        <w:jc w:val="both"/>
      </w:pPr>
      <w:r>
        <w:rPr>
          <w:rFonts w:ascii="仿宋_GB2312" w:hAnsi="仿宋_GB2312" w:eastAsia="仿宋_GB2312"/>
          <w:b w:val="0"/>
          <w:sz w:val="32"/>
        </w:rPr>
        <w:t>五、《一般公共预算财政拨款支出决算表》</w:t>
      </w:r>
    </w:p>
    <w:p w14:paraId="18D8B0D7">
      <w:pPr>
        <w:spacing w:line="240" w:lineRule="auto"/>
        <w:ind w:firstLine="640"/>
        <w:jc w:val="both"/>
      </w:pPr>
      <w:r>
        <w:rPr>
          <w:rFonts w:ascii="仿宋_GB2312" w:hAnsi="仿宋_GB2312" w:eastAsia="仿宋_GB2312"/>
          <w:b w:val="0"/>
          <w:sz w:val="32"/>
        </w:rPr>
        <w:t>六、《一般公共预算财政拨款基本支出决算表》</w:t>
      </w:r>
    </w:p>
    <w:p w14:paraId="555DC423">
      <w:pPr>
        <w:spacing w:line="240" w:lineRule="auto"/>
        <w:ind w:firstLine="640"/>
        <w:jc w:val="both"/>
      </w:pPr>
      <w:r>
        <w:rPr>
          <w:rFonts w:ascii="仿宋_GB2312" w:hAnsi="仿宋_GB2312" w:eastAsia="仿宋_GB2312"/>
          <w:b w:val="0"/>
          <w:sz w:val="32"/>
        </w:rPr>
        <w:t>七、《政府性基金预算财政拨款收入支出决算表》</w:t>
      </w:r>
    </w:p>
    <w:p w14:paraId="65FC131A">
      <w:pPr>
        <w:spacing w:line="240" w:lineRule="auto"/>
        <w:ind w:firstLine="640"/>
        <w:jc w:val="both"/>
      </w:pPr>
      <w:r>
        <w:rPr>
          <w:rFonts w:ascii="仿宋_GB2312" w:hAnsi="仿宋_GB2312" w:eastAsia="仿宋_GB2312"/>
          <w:b w:val="0"/>
          <w:sz w:val="32"/>
        </w:rPr>
        <w:t>八、《国有资本经营预算财政拨款收入支出决算表》</w:t>
      </w:r>
    </w:p>
    <w:p w14:paraId="0583B8F3">
      <w:pPr>
        <w:spacing w:line="240" w:lineRule="auto"/>
        <w:ind w:firstLine="640"/>
        <w:jc w:val="both"/>
      </w:pPr>
      <w:r>
        <w:rPr>
          <w:rFonts w:ascii="仿宋_GB2312" w:hAnsi="仿宋_GB2312" w:eastAsia="仿宋_GB2312"/>
          <w:b w:val="0"/>
          <w:sz w:val="32"/>
        </w:rPr>
        <w:t>九、《财政拨款“三公”经费支出决算表》</w:t>
      </w:r>
    </w:p>
    <w:p w14:paraId="23E2464A">
      <w:pPr>
        <w:spacing w:line="240" w:lineRule="auto"/>
        <w:ind w:firstLine="640"/>
        <w:jc w:val="both"/>
      </w:pPr>
    </w:p>
    <w:p w14:paraId="1BDDFCAF">
      <w:pPr>
        <w:spacing w:line="240" w:lineRule="auto"/>
        <w:ind w:firstLine="640"/>
        <w:jc w:val="both"/>
      </w:pPr>
    </w:p>
    <w:p w14:paraId="5463F859">
      <w:pPr>
        <w:spacing w:line="240" w:lineRule="auto"/>
        <w:ind w:firstLine="640"/>
        <w:jc w:val="both"/>
      </w:pPr>
    </w:p>
    <w:p w14:paraId="3AEC66B6">
      <w:pPr>
        <w:spacing w:line="240" w:lineRule="auto"/>
        <w:ind w:firstLine="640"/>
        <w:jc w:val="both"/>
      </w:pPr>
    </w:p>
    <w:p w14:paraId="07E4099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90F2004-4078-48D6-A1C6-548B5DD9F89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72332FA-6E33-4C14-BF45-92FDE440E068}"/>
  </w:font>
  <w:font w:name="仿宋_GB2312">
    <w:panose1 w:val="02010609030101010101"/>
    <w:charset w:val="86"/>
    <w:family w:val="modern"/>
    <w:pitch w:val="default"/>
    <w:sig w:usb0="00000001" w:usb1="080E0000" w:usb2="00000000" w:usb3="00000000" w:csb0="00040000" w:csb1="00000000"/>
    <w:embedRegular r:id="rId3" w:fontKey="{DC1B18A0-A088-4DA4-9A4B-740B1BC644B7}"/>
  </w:font>
  <w:font w:name="楷体_GB2312">
    <w:panose1 w:val="02010609030101010101"/>
    <w:charset w:val="86"/>
    <w:family w:val="auto"/>
    <w:pitch w:val="default"/>
    <w:sig w:usb0="00000001" w:usb1="080E0000" w:usb2="00000000" w:usb3="00000000" w:csb0="00040000" w:csb1="00000000"/>
    <w:embedRegular r:id="rId4" w:fontKey="{E6C87936-53CB-4F2E-829F-268A19F36DE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595D16"/>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5978</Words>
  <Characters>6933</Characters>
  <Lines>0</Lines>
  <Paragraphs>0</Paragraphs>
  <TotalTime>3</TotalTime>
  <ScaleCrop>false</ScaleCrop>
  <LinksUpToDate>false</LinksUpToDate>
  <CharactersWithSpaces>6941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2025-09-11T08:01:39Z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