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C834A87">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新疆巴州库尔勒市人民法院2024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A332C95">
      <w:r>
        <w:br w:type="page"/>
      </w:r>
    </w:p>
    <w:p w14:paraId="7895FC5E">
      <w:pPr>
        <w:spacing w:line="640" w:lineRule="exact"/>
        <w:jc w:val="center"/>
        <w:outlineLvl w:val="1"/>
      </w:pPr>
      <w:r>
        <w:rPr>
          <w:rFonts w:ascii="黑体" w:hAnsi="黑体" w:eastAsia="黑体"/>
          <w:sz w:val="32"/>
        </w:rPr>
        <w:t>第一部分 部门概况</w:t>
      </w:r>
    </w:p>
    <w:p w14:paraId="289236C0">
      <w:pPr>
        <w:spacing w:line="640" w:lineRule="exact"/>
        <w:ind w:firstLine="640"/>
        <w:jc w:val="both"/>
        <w:outlineLvl w:val="2"/>
      </w:pPr>
      <w:r>
        <w:rPr>
          <w:rFonts w:ascii="黑体" w:hAnsi="黑体" w:eastAsia="黑体"/>
          <w:sz w:val="32"/>
        </w:rPr>
        <w:t>一、主要职能</w:t>
      </w:r>
    </w:p>
    <w:p w14:paraId="7084BE97">
      <w:pPr>
        <w:spacing w:line="580" w:lineRule="exact"/>
        <w:ind w:firstLine="640"/>
        <w:jc w:val="both"/>
      </w:pPr>
      <w:r>
        <w:rPr>
          <w:rFonts w:ascii="仿宋_GB2312" w:hAnsi="仿宋_GB2312" w:eastAsia="仿宋_GB2312"/>
          <w:sz w:val="32"/>
        </w:rPr>
        <w:t>（一）审理法律规定由本院管辖、上级人民法院指定管辖的刑事、民商事和行政等第一审案件。</w:t>
      </w:r>
    </w:p>
    <w:p w14:paraId="6AA33B16">
      <w:pPr>
        <w:spacing w:line="580" w:lineRule="exact"/>
        <w:ind w:firstLine="640"/>
        <w:jc w:val="both"/>
      </w:pPr>
      <w:r>
        <w:rPr>
          <w:rFonts w:ascii="仿宋_GB2312" w:hAnsi="仿宋_GB2312" w:eastAsia="仿宋_GB2312"/>
          <w:sz w:val="32"/>
        </w:rPr>
        <w:t>（二）依照法律监督程序，对符合法律规定需要再审的案件，裁定再审；审理上级人民法院指令再审的案件；审理发回重审的案件。</w:t>
      </w:r>
    </w:p>
    <w:p w14:paraId="42BA081E">
      <w:pPr>
        <w:spacing w:line="580" w:lineRule="exact"/>
        <w:ind w:firstLine="640"/>
        <w:jc w:val="both"/>
      </w:pPr>
      <w:r>
        <w:rPr>
          <w:rFonts w:ascii="仿宋_GB2312" w:hAnsi="仿宋_GB2312" w:eastAsia="仿宋_GB2312"/>
          <w:sz w:val="32"/>
        </w:rPr>
        <w:t>（三）依法决定国家赔偿。</w:t>
      </w:r>
    </w:p>
    <w:p w14:paraId="306422EE">
      <w:pPr>
        <w:spacing w:line="580" w:lineRule="exact"/>
        <w:ind w:firstLine="640"/>
        <w:jc w:val="both"/>
      </w:pPr>
      <w:r>
        <w:rPr>
          <w:rFonts w:ascii="仿宋_GB2312" w:hAnsi="仿宋_GB2312" w:eastAsia="仿宋_GB2312"/>
          <w:sz w:val="32"/>
        </w:rPr>
        <w:t>（四）依法行使司法执行权和司法决定权，执行本院已经发生法律效力的判决、裁定、调解书及法律规定由人民法院执行的其他法律文书；执行其他法院委托执行的案件以及法律规定的由基层法院执行的案件。</w:t>
      </w:r>
    </w:p>
    <w:p w14:paraId="22346688">
      <w:pPr>
        <w:spacing w:line="580" w:lineRule="exact"/>
        <w:ind w:firstLine="640"/>
        <w:jc w:val="both"/>
      </w:pPr>
      <w:r>
        <w:rPr>
          <w:rFonts w:ascii="仿宋_GB2312" w:hAnsi="仿宋_GB2312" w:eastAsia="仿宋_GB2312"/>
          <w:sz w:val="32"/>
        </w:rPr>
        <w:t>（五）依法对应受理的民事、商事案件，组织当事人进行诉前调解，化解矛盾纠纷。</w:t>
      </w:r>
    </w:p>
    <w:p w14:paraId="67FC4438">
      <w:pPr>
        <w:spacing w:line="580" w:lineRule="exact"/>
        <w:ind w:firstLine="640"/>
        <w:jc w:val="both"/>
      </w:pPr>
      <w:r>
        <w:rPr>
          <w:rFonts w:ascii="仿宋_GB2312" w:hAnsi="仿宋_GB2312" w:eastAsia="仿宋_GB2312"/>
          <w:sz w:val="32"/>
        </w:rPr>
        <w:t>（六）指导本辖区人民调解委员会的工作。</w:t>
      </w:r>
    </w:p>
    <w:p w14:paraId="5829B3BE">
      <w:pPr>
        <w:spacing w:line="580" w:lineRule="exact"/>
        <w:ind w:firstLine="640"/>
        <w:jc w:val="both"/>
      </w:pPr>
      <w:r>
        <w:rPr>
          <w:rFonts w:ascii="仿宋_GB2312" w:hAnsi="仿宋_GB2312" w:eastAsia="仿宋_GB2312"/>
          <w:sz w:val="32"/>
        </w:rPr>
        <w:t>（七）调查研究审判执行工作中的法律政策问题，参与有关法律、法规、规章、条例等草案的讨论并提出意见；针对案件审理中发现的问题提出司法建议。</w:t>
      </w:r>
    </w:p>
    <w:p w14:paraId="3566CE2C">
      <w:pPr>
        <w:spacing w:line="580" w:lineRule="exact"/>
        <w:ind w:firstLine="640"/>
        <w:jc w:val="both"/>
      </w:pPr>
      <w:r>
        <w:rPr>
          <w:rFonts w:ascii="仿宋_GB2312" w:hAnsi="仿宋_GB2312" w:eastAsia="仿宋_GB2312"/>
          <w:sz w:val="32"/>
        </w:rPr>
        <w:t>（八）负责本院的思想政治、机关党建、组织人事、党风廉政、教育培训等工作，按照管理权限管理本院工作人员。</w:t>
      </w:r>
    </w:p>
    <w:p w14:paraId="76B405AB">
      <w:pPr>
        <w:spacing w:line="580" w:lineRule="exact"/>
        <w:ind w:firstLine="640"/>
        <w:jc w:val="both"/>
      </w:pPr>
      <w:r>
        <w:rPr>
          <w:rFonts w:ascii="仿宋_GB2312" w:hAnsi="仿宋_GB2312" w:eastAsia="仿宋_GB2312"/>
          <w:sz w:val="32"/>
        </w:rPr>
        <w:t>（九）负责本院的司法行政、办公现代化、司法技术等工作，管理本院的有关经费和物资装备。</w:t>
      </w:r>
    </w:p>
    <w:p w14:paraId="5BA70055">
      <w:pPr>
        <w:spacing w:line="580" w:lineRule="exact"/>
        <w:ind w:firstLine="640"/>
        <w:jc w:val="both"/>
      </w:pPr>
      <w:r>
        <w:rPr>
          <w:rFonts w:ascii="仿宋_GB2312" w:hAnsi="仿宋_GB2312" w:eastAsia="仿宋_GB2312"/>
          <w:sz w:val="32"/>
        </w:rPr>
        <w:t>（十）负责本院的司法警察工作。</w:t>
      </w:r>
    </w:p>
    <w:p w14:paraId="5270D7F3">
      <w:pPr>
        <w:spacing w:line="580" w:lineRule="exact"/>
        <w:ind w:firstLine="640"/>
        <w:jc w:val="both"/>
      </w:pPr>
      <w:r>
        <w:rPr>
          <w:rFonts w:ascii="仿宋_GB2312" w:hAnsi="仿宋_GB2312" w:eastAsia="仿宋_GB2312"/>
          <w:sz w:val="32"/>
        </w:rPr>
        <w:t>（十一）负责本院的审务督察、纪检监察业务等内部监督工作。</w:t>
      </w:r>
    </w:p>
    <w:p w14:paraId="4F485CD5">
      <w:pPr>
        <w:spacing w:line="580" w:lineRule="exact"/>
        <w:ind w:firstLine="640"/>
        <w:jc w:val="both"/>
      </w:pPr>
      <w:r>
        <w:rPr>
          <w:rFonts w:ascii="仿宋_GB2312" w:hAnsi="仿宋_GB2312" w:eastAsia="仿宋_GB2312"/>
          <w:sz w:val="32"/>
        </w:rPr>
        <w:t>（十二）全面领导人民法庭工作。</w:t>
      </w:r>
    </w:p>
    <w:p w14:paraId="397A2397">
      <w:pPr>
        <w:spacing w:line="580" w:lineRule="exact"/>
        <w:ind w:firstLine="640"/>
        <w:jc w:val="both"/>
      </w:pPr>
      <w:r>
        <w:rPr>
          <w:rFonts w:ascii="仿宋_GB2312" w:hAnsi="仿宋_GB2312" w:eastAsia="仿宋_GB2312"/>
          <w:sz w:val="32"/>
        </w:rPr>
        <w:t>（十三）做好人大代表、政协委员联络工作，对当地人民代表大会及其常务委员会负责并报告工作。</w:t>
      </w:r>
    </w:p>
    <w:p w14:paraId="492B6BA7">
      <w:pPr>
        <w:spacing w:line="580" w:lineRule="exact"/>
        <w:ind w:firstLine="640"/>
        <w:jc w:val="both"/>
      </w:pPr>
      <w:r>
        <w:rPr>
          <w:rFonts w:ascii="仿宋_GB2312" w:hAnsi="仿宋_GB2312" w:eastAsia="仿宋_GB2312"/>
          <w:sz w:val="32"/>
        </w:rPr>
        <w:t>（十四）完成上级法院和当地党委、人大交办的其他工作。</w:t>
      </w:r>
    </w:p>
    <w:p w14:paraId="0226E6F0">
      <w:pPr>
        <w:spacing w:line="580" w:lineRule="exact"/>
        <w:ind w:firstLine="640"/>
        <w:jc w:val="both"/>
      </w:pPr>
      <w:r>
        <w:rPr>
          <w:rFonts w:ascii="仿宋_GB2312" w:hAnsi="仿宋_GB2312" w:eastAsia="仿宋_GB2312"/>
          <w:sz w:val="32"/>
        </w:rPr>
        <w:t>（十五）承办其他应由本院负责的工作。</w:t>
      </w:r>
    </w:p>
    <w:p w14:paraId="2C6502F1">
      <w:pPr>
        <w:spacing w:line="640" w:lineRule="exact"/>
        <w:ind w:firstLine="640"/>
        <w:jc w:val="both"/>
        <w:outlineLvl w:val="2"/>
      </w:pPr>
      <w:r>
        <w:rPr>
          <w:rFonts w:ascii="黑体" w:hAnsi="黑体" w:eastAsia="黑体"/>
          <w:sz w:val="32"/>
        </w:rPr>
        <w:t>二、机构设置及人员情况</w:t>
      </w:r>
    </w:p>
    <w:p w14:paraId="52022A61">
      <w:pPr>
        <w:spacing w:line="580" w:lineRule="exact"/>
        <w:ind w:firstLine="640"/>
        <w:jc w:val="both"/>
      </w:pPr>
      <w:r>
        <w:rPr>
          <w:rFonts w:ascii="仿宋_GB2312" w:hAnsi="仿宋_GB2312" w:eastAsia="仿宋_GB2312"/>
          <w:sz w:val="32"/>
        </w:rPr>
        <w:t>新疆巴州库尔勒市人民法院2024年度，实有人数212人，其中：在职人员131人，减少2人；离休人员0人，增加0人；退休人员81人,增加11人。</w:t>
      </w:r>
    </w:p>
    <w:p w14:paraId="224B4CF0">
      <w:pPr>
        <w:spacing w:line="580" w:lineRule="exact"/>
        <w:ind w:firstLine="640"/>
        <w:jc w:val="both"/>
      </w:pPr>
      <w:r>
        <w:rPr>
          <w:rFonts w:ascii="仿宋_GB2312" w:hAnsi="仿宋_GB2312" w:eastAsia="仿宋_GB2312"/>
          <w:sz w:val="32"/>
        </w:rPr>
        <w:t>新疆巴州库尔勒市人民法院无下属预算单位，下设14个科室，分别是：立案庭、刑事审判庭、民事审判一庭、民事审判二庭、行政审判庭、执行局、审判管理办公室、政治部、综合办公室、司法警察大队、普惠人民法庭</w:t>
      </w:r>
      <w:r>
        <w:rPr>
          <w:rFonts w:hint="eastAsia" w:ascii="仿宋_GB2312" w:hAnsi="仿宋_GB2312" w:eastAsia="仿宋_GB2312"/>
          <w:sz w:val="32"/>
          <w:lang w:eastAsia="zh-CN"/>
        </w:rPr>
        <w:t>和</w:t>
      </w:r>
      <w:r>
        <w:rPr>
          <w:rFonts w:ascii="仿宋_GB2312" w:hAnsi="仿宋_GB2312" w:eastAsia="仿宋_GB2312"/>
          <w:sz w:val="32"/>
        </w:rPr>
        <w:t>什力克人民法庭、塔什店人民法庭、开发区人民法庭。</w:t>
      </w:r>
    </w:p>
    <w:p w14:paraId="79B93CAA">
      <w:r>
        <w:br w:type="page"/>
      </w:r>
    </w:p>
    <w:p w14:paraId="667C4C55">
      <w:pPr>
        <w:spacing w:line="240" w:lineRule="auto"/>
        <w:jc w:val="center"/>
        <w:outlineLvl w:val="1"/>
      </w:pPr>
      <w:r>
        <w:rPr>
          <w:rFonts w:ascii="黑体" w:hAnsi="黑体" w:eastAsia="黑体"/>
          <w:sz w:val="32"/>
        </w:rPr>
        <w:t>第二部分 部门决算情况说明</w:t>
      </w:r>
    </w:p>
    <w:p w14:paraId="3B2A9551">
      <w:pPr>
        <w:spacing w:line="640" w:lineRule="exact"/>
        <w:ind w:firstLine="640"/>
        <w:jc w:val="both"/>
        <w:outlineLvl w:val="2"/>
      </w:pPr>
      <w:r>
        <w:rPr>
          <w:rFonts w:ascii="黑体" w:hAnsi="黑体" w:eastAsia="黑体"/>
          <w:sz w:val="32"/>
        </w:rPr>
        <w:t>一、收入支出决算总体情况说明</w:t>
      </w:r>
    </w:p>
    <w:p w14:paraId="528D7E1C">
      <w:pPr>
        <w:spacing w:line="580" w:lineRule="exact"/>
        <w:ind w:firstLine="640"/>
        <w:jc w:val="both"/>
      </w:pPr>
      <w:r>
        <w:rPr>
          <w:rFonts w:ascii="仿宋_GB2312" w:hAnsi="仿宋_GB2312" w:eastAsia="仿宋_GB2312"/>
          <w:b/>
          <w:sz w:val="32"/>
        </w:rPr>
        <w:t>2024年度收入总计4,737.38万元，</w:t>
      </w:r>
      <w:r>
        <w:rPr>
          <w:rFonts w:ascii="仿宋_GB2312" w:hAnsi="仿宋_GB2312" w:eastAsia="仿宋_GB2312"/>
          <w:b w:val="0"/>
          <w:sz w:val="32"/>
        </w:rPr>
        <w:t>其中：本年收入合计4,736.87万元，使用非财政拨款结余（含专用结余）0.00万元，年初结转和结余0.51万元。</w:t>
      </w:r>
    </w:p>
    <w:p w14:paraId="21723251">
      <w:pPr>
        <w:spacing w:line="580" w:lineRule="exact"/>
        <w:ind w:firstLine="640"/>
        <w:jc w:val="both"/>
      </w:pPr>
      <w:r>
        <w:rPr>
          <w:rFonts w:ascii="仿宋_GB2312" w:hAnsi="仿宋_GB2312" w:eastAsia="仿宋_GB2312"/>
          <w:b/>
          <w:sz w:val="32"/>
        </w:rPr>
        <w:t>2024年度支出总计4,737.38万元，</w:t>
      </w:r>
      <w:r>
        <w:rPr>
          <w:rFonts w:ascii="仿宋_GB2312" w:hAnsi="仿宋_GB2312" w:eastAsia="仿宋_GB2312"/>
          <w:b w:val="0"/>
          <w:sz w:val="32"/>
        </w:rPr>
        <w:t>其中：本年支出合计4,736.87万元，结余分配0.00万元，年末结转和结余0.51万元。</w:t>
      </w:r>
    </w:p>
    <w:p w14:paraId="25135A2F">
      <w:pPr>
        <w:spacing w:line="580" w:lineRule="exact"/>
        <w:ind w:firstLine="640"/>
        <w:jc w:val="both"/>
      </w:pPr>
      <w:r>
        <w:rPr>
          <w:rFonts w:ascii="仿宋_GB2312" w:hAnsi="仿宋_GB2312" w:eastAsia="仿宋_GB2312"/>
          <w:b w:val="0"/>
          <w:sz w:val="32"/>
        </w:rPr>
        <w:t>收入支出总体与上年相比，减少2,016.49万元，下降29.86%，主要原因是：本年减少解决特殊疑难信访问题项目资金。</w:t>
      </w:r>
    </w:p>
    <w:p w14:paraId="026C6BE0">
      <w:pPr>
        <w:spacing w:line="640" w:lineRule="exact"/>
        <w:ind w:firstLine="640"/>
        <w:jc w:val="both"/>
        <w:outlineLvl w:val="2"/>
      </w:pPr>
      <w:r>
        <w:rPr>
          <w:rFonts w:ascii="黑体" w:hAnsi="黑体" w:eastAsia="黑体"/>
          <w:sz w:val="32"/>
        </w:rPr>
        <w:t>二、收入决算情况说明</w:t>
      </w:r>
    </w:p>
    <w:p w14:paraId="4D0548EF">
      <w:pPr>
        <w:spacing w:line="580" w:lineRule="exact"/>
        <w:ind w:firstLine="640"/>
        <w:jc w:val="both"/>
      </w:pPr>
      <w:r>
        <w:rPr>
          <w:rFonts w:ascii="仿宋_GB2312" w:hAnsi="仿宋_GB2312" w:eastAsia="仿宋_GB2312"/>
          <w:b/>
          <w:sz w:val="32"/>
        </w:rPr>
        <w:t>本年收入4,736.87万元，</w:t>
      </w:r>
      <w:r>
        <w:rPr>
          <w:rFonts w:ascii="仿宋_GB2312" w:hAnsi="仿宋_GB2312" w:eastAsia="仿宋_GB2312"/>
          <w:b w:val="0"/>
          <w:sz w:val="32"/>
        </w:rPr>
        <w:t>其中：财政拨款收入4,736.87万元，占100.00%；上级补助收入0.00万元，占0.00%；事业收入0.00万元，占0.00%；经营收入0.00万元，占0.00%；附属单位上缴收入0.00万元，占0.00%；其他收入0.00万元，占0.00%。</w:t>
      </w:r>
    </w:p>
    <w:p w14:paraId="53E98EF4">
      <w:pPr>
        <w:spacing w:line="640" w:lineRule="exact"/>
        <w:ind w:firstLine="640"/>
        <w:jc w:val="both"/>
        <w:outlineLvl w:val="2"/>
      </w:pPr>
      <w:r>
        <w:rPr>
          <w:rFonts w:ascii="黑体" w:hAnsi="黑体" w:eastAsia="黑体"/>
          <w:sz w:val="32"/>
        </w:rPr>
        <w:t>三、支出决算情况说明</w:t>
      </w:r>
    </w:p>
    <w:p w14:paraId="70E629A6">
      <w:pPr>
        <w:spacing w:line="580" w:lineRule="exact"/>
        <w:ind w:firstLine="640"/>
        <w:jc w:val="both"/>
      </w:pPr>
      <w:r>
        <w:rPr>
          <w:rFonts w:ascii="仿宋_GB2312" w:hAnsi="仿宋_GB2312" w:eastAsia="仿宋_GB2312"/>
          <w:b/>
          <w:sz w:val="32"/>
        </w:rPr>
        <w:t>本年支出4,736.87万元，</w:t>
      </w:r>
      <w:r>
        <w:rPr>
          <w:rFonts w:ascii="仿宋_GB2312" w:hAnsi="仿宋_GB2312" w:eastAsia="仿宋_GB2312"/>
          <w:b w:val="0"/>
          <w:sz w:val="32"/>
        </w:rPr>
        <w:t>其中：基本支出3,633.87万元，占76.71%；项目支出1,103.00万元，占23.29%；上缴上级支出0.00万元，占0.00%；经营支出0.00万元，占0.00%；对附属单位补助支出0.00万元，占0.00%。</w:t>
      </w:r>
    </w:p>
    <w:p w14:paraId="4400569F">
      <w:pPr>
        <w:spacing w:line="640" w:lineRule="exact"/>
        <w:ind w:firstLine="640"/>
        <w:jc w:val="both"/>
        <w:outlineLvl w:val="2"/>
      </w:pPr>
      <w:r>
        <w:rPr>
          <w:rFonts w:ascii="黑体" w:hAnsi="黑体" w:eastAsia="黑体"/>
          <w:sz w:val="32"/>
        </w:rPr>
        <w:t>四、财政拨款收入支出决算总体情况说明</w:t>
      </w:r>
    </w:p>
    <w:p w14:paraId="51D536DA">
      <w:pPr>
        <w:spacing w:line="580" w:lineRule="exact"/>
        <w:ind w:firstLine="640"/>
        <w:jc w:val="both"/>
      </w:pPr>
      <w:r>
        <w:rPr>
          <w:rFonts w:ascii="仿宋_GB2312" w:hAnsi="仿宋_GB2312" w:eastAsia="仿宋_GB2312"/>
          <w:b/>
          <w:sz w:val="32"/>
        </w:rPr>
        <w:t>2024年度财政拨款收入总计4,736.87万元，</w:t>
      </w:r>
      <w:r>
        <w:rPr>
          <w:rFonts w:ascii="仿宋_GB2312" w:hAnsi="仿宋_GB2312" w:eastAsia="仿宋_GB2312"/>
          <w:b w:val="0"/>
          <w:sz w:val="32"/>
        </w:rPr>
        <w:t>其中：年初财政拨款结转和结余0.00万元，本年财政拨款收入4,736.87万元。</w:t>
      </w:r>
      <w:r>
        <w:rPr>
          <w:rFonts w:ascii="仿宋_GB2312" w:hAnsi="仿宋_GB2312" w:eastAsia="仿宋_GB2312"/>
          <w:b/>
          <w:sz w:val="32"/>
        </w:rPr>
        <w:t>财政拨款支出总计4,736.87万元，</w:t>
      </w:r>
      <w:r>
        <w:rPr>
          <w:rFonts w:ascii="仿宋_GB2312" w:hAnsi="仿宋_GB2312" w:eastAsia="仿宋_GB2312"/>
          <w:b w:val="0"/>
          <w:sz w:val="32"/>
        </w:rPr>
        <w:t>其中：年末财政拨款结转和结余0.00万元，本年财政拨款支出4,736.87万元。</w:t>
      </w:r>
    </w:p>
    <w:p w14:paraId="7720C01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减少2,016.49万元，下降29.86%，主要原因是：本年减少解决特殊疑难信访问题项目资金。</w:t>
      </w:r>
      <w:r>
        <w:rPr>
          <w:rFonts w:ascii="仿宋_GB2312" w:hAnsi="仿宋_GB2312" w:eastAsia="仿宋_GB2312"/>
          <w:b/>
          <w:sz w:val="32"/>
        </w:rPr>
        <w:t>与年初预算相比，</w:t>
      </w:r>
      <w:r>
        <w:rPr>
          <w:rFonts w:ascii="仿宋_GB2312" w:hAnsi="仿宋_GB2312" w:eastAsia="仿宋_GB2312"/>
          <w:b w:val="0"/>
          <w:sz w:val="32"/>
        </w:rPr>
        <w:t>年初预算数4,482.59万元，决算数4,736.87万元，预决算差异率5.67%，主要原因是：年中追加第二批专项工作经费，导致预决算存在差异。</w:t>
      </w:r>
    </w:p>
    <w:p w14:paraId="02C9BE5B">
      <w:pPr>
        <w:spacing w:line="640" w:lineRule="exact"/>
        <w:ind w:firstLine="640"/>
        <w:jc w:val="both"/>
        <w:outlineLvl w:val="2"/>
      </w:pPr>
      <w:r>
        <w:rPr>
          <w:rFonts w:ascii="黑体" w:hAnsi="黑体" w:eastAsia="黑体"/>
          <w:sz w:val="32"/>
        </w:rPr>
        <w:t>五、一般公共预算财政拨款支出决算情况说明</w:t>
      </w:r>
    </w:p>
    <w:p w14:paraId="5378CDB1">
      <w:pPr>
        <w:spacing w:line="640" w:lineRule="exact"/>
        <w:ind w:firstLine="640"/>
        <w:jc w:val="both"/>
        <w:outlineLvl w:val="3"/>
      </w:pPr>
      <w:r>
        <w:rPr>
          <w:rFonts w:ascii="楷体_GB2312" w:hAnsi="楷体_GB2312" w:eastAsia="楷体_GB2312"/>
          <w:b/>
          <w:sz w:val="32"/>
        </w:rPr>
        <w:t>（一）一般公共预算财政拨款支出决算总体情况</w:t>
      </w:r>
    </w:p>
    <w:p w14:paraId="1044808D">
      <w:pPr>
        <w:spacing w:line="580" w:lineRule="exact"/>
        <w:ind w:firstLine="640"/>
        <w:jc w:val="both"/>
      </w:pPr>
      <w:r>
        <w:rPr>
          <w:rFonts w:ascii="仿宋_GB2312" w:hAnsi="仿宋_GB2312" w:eastAsia="仿宋_GB2312"/>
          <w:b/>
          <w:sz w:val="32"/>
        </w:rPr>
        <w:t>2024年度一般公共预算财政拨款支出4,736.87万元，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减少2,016.49万元，下降29.86%，主要原因是：本年减少解决特殊疑难信访问题项目资金。</w:t>
      </w:r>
      <w:r>
        <w:rPr>
          <w:rFonts w:ascii="仿宋_GB2312" w:hAnsi="仿宋_GB2312" w:eastAsia="仿宋_GB2312"/>
          <w:b/>
          <w:sz w:val="32"/>
        </w:rPr>
        <w:t>与年初预算相比,</w:t>
      </w:r>
      <w:r>
        <w:rPr>
          <w:rFonts w:ascii="仿宋_GB2312" w:hAnsi="仿宋_GB2312" w:eastAsia="仿宋_GB2312"/>
          <w:b w:val="0"/>
          <w:sz w:val="32"/>
        </w:rPr>
        <w:t>年初预算数4,482.59万元，决算数4,736.87万元，预决算差异率5.67%，主要原因是：年中追加第二批专项工作经费，导致预决算存在差异。</w:t>
      </w:r>
    </w:p>
    <w:p w14:paraId="06D21968">
      <w:pPr>
        <w:spacing w:line="640" w:lineRule="exact"/>
        <w:ind w:firstLine="640"/>
        <w:jc w:val="both"/>
        <w:outlineLvl w:val="3"/>
      </w:pPr>
      <w:r>
        <w:rPr>
          <w:rFonts w:ascii="楷体_GB2312" w:hAnsi="楷体_GB2312" w:eastAsia="楷体_GB2312"/>
          <w:b/>
          <w:sz w:val="32"/>
        </w:rPr>
        <w:t>（二）一般公共预算财政拨款支出决算结构情况</w:t>
      </w:r>
    </w:p>
    <w:p w14:paraId="547B4B78">
      <w:pPr>
        <w:spacing w:line="580" w:lineRule="exact"/>
        <w:ind w:firstLine="640"/>
        <w:jc w:val="both"/>
      </w:pPr>
      <w:r>
        <w:rPr>
          <w:rFonts w:ascii="仿宋_GB2312" w:hAnsi="仿宋_GB2312" w:eastAsia="仿宋_GB2312"/>
          <w:b w:val="0"/>
          <w:sz w:val="32"/>
        </w:rPr>
        <w:t>1.公共安全支出(类)3899.98万元,占82.33%。</w:t>
      </w:r>
    </w:p>
    <w:p w14:paraId="5BA12A81">
      <w:pPr>
        <w:spacing w:line="580" w:lineRule="exact"/>
        <w:ind w:firstLine="640"/>
        <w:jc w:val="both"/>
      </w:pPr>
      <w:r>
        <w:rPr>
          <w:rFonts w:ascii="仿宋_GB2312" w:hAnsi="仿宋_GB2312" w:eastAsia="仿宋_GB2312"/>
          <w:b w:val="0"/>
          <w:sz w:val="32"/>
        </w:rPr>
        <w:t>2.教育支出(类)9.3万元,占0.20%。</w:t>
      </w:r>
    </w:p>
    <w:p w14:paraId="0004AF40">
      <w:pPr>
        <w:spacing w:line="580" w:lineRule="exact"/>
        <w:ind w:firstLine="640"/>
        <w:jc w:val="both"/>
      </w:pPr>
      <w:r>
        <w:rPr>
          <w:rFonts w:ascii="仿宋_GB2312" w:hAnsi="仿宋_GB2312" w:eastAsia="仿宋_GB2312"/>
          <w:b w:val="0"/>
          <w:sz w:val="32"/>
        </w:rPr>
        <w:t>3.社会保障和就业支出(类)459.71万元,占9.70%。</w:t>
      </w:r>
    </w:p>
    <w:p w14:paraId="65E4B90B">
      <w:pPr>
        <w:spacing w:line="580" w:lineRule="exact"/>
        <w:ind w:firstLine="640"/>
        <w:jc w:val="both"/>
      </w:pPr>
      <w:r>
        <w:rPr>
          <w:rFonts w:ascii="仿宋_GB2312" w:hAnsi="仿宋_GB2312" w:eastAsia="仿宋_GB2312"/>
          <w:b w:val="0"/>
          <w:sz w:val="32"/>
        </w:rPr>
        <w:t>4.卫生健康支出(类)149.31万元,占3.15%。</w:t>
      </w:r>
    </w:p>
    <w:p w14:paraId="3833C11F">
      <w:pPr>
        <w:spacing w:line="580" w:lineRule="exact"/>
        <w:ind w:firstLine="640"/>
        <w:jc w:val="both"/>
      </w:pPr>
      <w:r>
        <w:rPr>
          <w:rFonts w:ascii="仿宋_GB2312" w:hAnsi="仿宋_GB2312" w:eastAsia="仿宋_GB2312"/>
          <w:b w:val="0"/>
          <w:sz w:val="32"/>
        </w:rPr>
        <w:t>5.住房保障支出(类)218.57万元,占4.61%。</w:t>
      </w:r>
    </w:p>
    <w:p w14:paraId="6DAB021E">
      <w:pPr>
        <w:spacing w:line="640" w:lineRule="exact"/>
        <w:ind w:firstLine="640"/>
        <w:jc w:val="both"/>
        <w:outlineLvl w:val="3"/>
      </w:pPr>
      <w:r>
        <w:rPr>
          <w:rFonts w:ascii="楷体_GB2312" w:hAnsi="楷体_GB2312" w:eastAsia="楷体_GB2312"/>
          <w:b/>
          <w:sz w:val="32"/>
        </w:rPr>
        <w:t>（三）一般公共预算财政拨款支出决算具体情况</w:t>
      </w:r>
    </w:p>
    <w:p w14:paraId="59F59243">
      <w:pPr>
        <w:spacing w:line="580" w:lineRule="exact"/>
        <w:ind w:firstLine="640"/>
        <w:jc w:val="both"/>
      </w:pPr>
      <w:r>
        <w:rPr>
          <w:rFonts w:ascii="仿宋_GB2312" w:hAnsi="仿宋_GB2312" w:eastAsia="仿宋_GB2312"/>
          <w:b w:val="0"/>
          <w:sz w:val="32"/>
        </w:rPr>
        <w:t>1.公共安全支出(类)法院(款)行政运行(项):支出决算数为2796.98万元，比上年决算减少47.69万元，下降1.68%,主要原因是：本年在职人员减少，相应人员经费较上年减少。</w:t>
      </w:r>
    </w:p>
    <w:p w14:paraId="4D591AF8">
      <w:pPr>
        <w:spacing w:line="580" w:lineRule="exact"/>
        <w:ind w:firstLine="640"/>
        <w:jc w:val="both"/>
      </w:pPr>
      <w:r>
        <w:rPr>
          <w:rFonts w:ascii="仿宋_GB2312" w:hAnsi="仿宋_GB2312" w:eastAsia="仿宋_GB2312"/>
          <w:b w:val="0"/>
          <w:sz w:val="32"/>
        </w:rPr>
        <w:t>2.公共安全支出(类)法院(款)一般行政管理事务(项):支出决算数为197万元，比上年决算减少24.20万元，下降10.94%,主要原因是：本年减少国家赔偿金项目经费。</w:t>
      </w:r>
    </w:p>
    <w:p w14:paraId="7DD3D887">
      <w:pPr>
        <w:spacing w:line="580" w:lineRule="exact"/>
        <w:ind w:firstLine="640"/>
        <w:jc w:val="both"/>
      </w:pPr>
      <w:r>
        <w:rPr>
          <w:rFonts w:ascii="仿宋_GB2312" w:hAnsi="仿宋_GB2312" w:eastAsia="仿宋_GB2312"/>
          <w:b w:val="0"/>
          <w:sz w:val="32"/>
        </w:rPr>
        <w:t>3.公共安全支出(类)法院(款)案件执行(项):支出决算数为0.00万元，比上年决算减少2,223.70万元，下降100.00%,主要原因是：本年减少解决特殊疑难信访问题项目资金。</w:t>
      </w:r>
    </w:p>
    <w:p w14:paraId="77CD4669">
      <w:pPr>
        <w:spacing w:line="580" w:lineRule="exact"/>
        <w:ind w:firstLine="640"/>
        <w:jc w:val="both"/>
      </w:pPr>
      <w:r>
        <w:rPr>
          <w:rFonts w:ascii="仿宋_GB2312" w:hAnsi="仿宋_GB2312" w:eastAsia="仿宋_GB2312"/>
          <w:b w:val="0"/>
          <w:sz w:val="32"/>
        </w:rPr>
        <w:t>4.公共安全支出(类)法院(款)其他法院支出(项):支出决算数为906万元，比上年决算增加176.90万元，增长24.26%,主要原因是：本年专项工作经费增加。</w:t>
      </w:r>
    </w:p>
    <w:p w14:paraId="73CCAD8A">
      <w:pPr>
        <w:spacing w:line="580" w:lineRule="exact"/>
        <w:ind w:firstLine="640"/>
        <w:jc w:val="both"/>
      </w:pPr>
      <w:r>
        <w:rPr>
          <w:rFonts w:ascii="仿宋_GB2312" w:hAnsi="仿宋_GB2312" w:eastAsia="仿宋_GB2312"/>
          <w:b w:val="0"/>
          <w:sz w:val="32"/>
        </w:rPr>
        <w:t>5.教育支出(类)进修及培训(款)培训支出(项):支出决算数为9.3万元，比上年决算增加0.75万元，增长8.77%,主要原因是：本年培训工作增加，培训次数增加，导致培训费增加。</w:t>
      </w:r>
    </w:p>
    <w:p w14:paraId="596FA10E">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6.社会保障和就业支出(类)行政事业单位养老支出(款)行政单位离退休(项):支出决算数为58.01万元，比上年决算增加12.06万元，增长26.25%,主要原因是：本年退休人员增加，退休费支出增加。</w:t>
      </w:r>
    </w:p>
    <w:p w14:paraId="7FC497E3">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233.04万元，比上年决算增加8.62万元，增长3.84%,主要原因是：本年在职人员工资基数调增，养老缴费基数上涨，相应支出增加。</w:t>
      </w:r>
    </w:p>
    <w:p w14:paraId="6C196772">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8.社会保障和就业支出(类)行政事业单位养老支出(款)机关事业单位职业年金缴费支出(项):支出决算数为115.51万元，比上年决算增加62.88万元，增长119.48%,主要原因是：本年新增退休人员，职业年金缴费支出增加。</w:t>
      </w:r>
    </w:p>
    <w:p w14:paraId="001C543C">
      <w:pPr>
        <w:spacing w:line="580" w:lineRule="exact"/>
        <w:ind w:firstLine="640"/>
        <w:jc w:val="both"/>
      </w:pPr>
      <w:r>
        <w:rPr>
          <w:rFonts w:ascii="仿宋_GB2312" w:hAnsi="仿宋_GB2312" w:eastAsia="仿宋_GB2312"/>
          <w:b w:val="0"/>
          <w:sz w:val="32"/>
        </w:rPr>
        <w:t>9.社会保障和就业支出(类)抚恤(款)死亡抚恤(项):支出决算数为53.16万元，比上年决算减少27.90万元，下降34.42%,主要原因是：本年新增死亡人员较上年减少，死亡抚恤支出较上年减少。</w:t>
      </w:r>
    </w:p>
    <w:p w14:paraId="1CD9FC5D">
      <w:pPr>
        <w:spacing w:line="580" w:lineRule="exact"/>
        <w:ind w:firstLine="640"/>
        <w:jc w:val="both"/>
      </w:pPr>
      <w:r>
        <w:rPr>
          <w:rFonts w:ascii="仿宋_GB2312" w:hAnsi="仿宋_GB2312" w:eastAsia="仿宋_GB2312"/>
          <w:b w:val="0"/>
          <w:sz w:val="32"/>
        </w:rPr>
        <w:t>10.卫生健康支出(类)行政事业单位医疗(款)行政单位医疗(项):支出决算数为101.95万元，比上年决算增加3.66万元，增长3.72%,主要原因是：本年在职人员工资基数调增，医疗缴费基数上涨，相应支出增加。</w:t>
      </w:r>
    </w:p>
    <w:p w14:paraId="19474BC4">
      <w:pPr>
        <w:spacing w:line="580" w:lineRule="exact"/>
        <w:ind w:firstLine="640"/>
        <w:jc w:val="both"/>
      </w:pPr>
      <w:r>
        <w:rPr>
          <w:rFonts w:ascii="仿宋_GB2312" w:hAnsi="仿宋_GB2312" w:eastAsia="仿宋_GB2312"/>
          <w:b w:val="0"/>
          <w:sz w:val="32"/>
        </w:rPr>
        <w:t>11.卫生健康支出(类)行政事业单位医疗(款)公务员医疗补助(项):支出决算数为43.69万元，比上年决算增加1.56万元，增长3.70%,主要原因是：本年在职人员工资基数调增，医疗缴费基数上涨，相应支出增加。</w:t>
      </w:r>
    </w:p>
    <w:p w14:paraId="5CDD364E">
      <w:pPr>
        <w:spacing w:line="580" w:lineRule="exact"/>
        <w:ind w:firstLine="640"/>
        <w:jc w:val="both"/>
      </w:pPr>
      <w:r>
        <w:rPr>
          <w:rFonts w:ascii="仿宋_GB2312" w:hAnsi="仿宋_GB2312" w:eastAsia="仿宋_GB2312"/>
          <w:b w:val="0"/>
          <w:sz w:val="32"/>
        </w:rPr>
        <w:t>12.卫生健康支出(类)行政事业单位医疗(款)其他行政事业单位医疗支出(项):支出决算数为3.66万元，比上年决算减少1.27万元，下降25.76%,主要原因是：本年在职人员减少，其他行政事业单位医疗支出较上年减少。</w:t>
      </w:r>
    </w:p>
    <w:p w14:paraId="35AE8022">
      <w:pPr>
        <w:spacing w:line="580" w:lineRule="exact"/>
        <w:ind w:firstLine="640"/>
        <w:jc w:val="both"/>
      </w:pPr>
      <w:r>
        <w:rPr>
          <w:rFonts w:ascii="仿宋_GB2312" w:hAnsi="仿宋_GB2312" w:eastAsia="仿宋_GB2312"/>
          <w:b w:val="0"/>
          <w:sz w:val="32"/>
        </w:rPr>
        <w:t>13.住房保障支出(类)住房改革支出(款)住房公积金(项):支出决算数为218.57万元，比上年决算增加41.83万元，增长23.67%,主要原因是：本年在职人员工资基数调增，公积金缴费基数上涨，相应支出增加。</w:t>
      </w:r>
    </w:p>
    <w:p w14:paraId="4B0E0349">
      <w:pPr>
        <w:spacing w:line="640" w:lineRule="exact"/>
        <w:ind w:firstLine="640"/>
        <w:jc w:val="both"/>
        <w:outlineLvl w:val="2"/>
      </w:pPr>
      <w:r>
        <w:rPr>
          <w:rFonts w:ascii="黑体" w:hAnsi="黑体" w:eastAsia="黑体"/>
          <w:sz w:val="32"/>
        </w:rPr>
        <w:t>六、一般公共预算财政拨款基本支出决算情况说明</w:t>
      </w:r>
    </w:p>
    <w:p w14:paraId="26210274">
      <w:pPr>
        <w:spacing w:line="580" w:lineRule="exact"/>
        <w:ind w:firstLine="640"/>
        <w:jc w:val="both"/>
      </w:pPr>
      <w:r>
        <w:rPr>
          <w:rFonts w:ascii="仿宋_GB2312" w:hAnsi="仿宋_GB2312" w:eastAsia="仿宋_GB2312"/>
          <w:b w:val="0"/>
          <w:sz w:val="32"/>
        </w:rPr>
        <w:t>2024年度一般公共预算财政拨款基本支出3,633.87万元，其中：</w:t>
      </w:r>
      <w:r>
        <w:rPr>
          <w:rFonts w:ascii="仿宋_GB2312" w:hAnsi="仿宋_GB2312" w:eastAsia="仿宋_GB2312"/>
          <w:b/>
          <w:sz w:val="32"/>
        </w:rPr>
        <w:t>人员经费3,318.85万元，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医疗费、其他工资福利支出、退休费、抚恤金、生活补助、奖励金。</w:t>
      </w:r>
    </w:p>
    <w:p w14:paraId="6EC45A29">
      <w:pPr>
        <w:spacing w:line="580" w:lineRule="exact"/>
        <w:ind w:firstLine="640"/>
        <w:jc w:val="both"/>
      </w:pPr>
      <w:r>
        <w:rPr>
          <w:rFonts w:ascii="仿宋_GB2312" w:hAnsi="仿宋_GB2312" w:eastAsia="仿宋_GB2312"/>
          <w:b/>
          <w:sz w:val="32"/>
        </w:rPr>
        <w:t>公用经费315.02万元，</w:t>
      </w:r>
      <w:r>
        <w:rPr>
          <w:rFonts w:ascii="仿宋_GB2312" w:hAnsi="仿宋_GB2312" w:eastAsia="仿宋_GB2312"/>
          <w:b w:val="0"/>
          <w:sz w:val="32"/>
        </w:rPr>
        <w:t>包括：办公费、水费、电费、取暖费、物业管理费、培训费、劳务费、工会经费、福利费、公务用车运行维护费、其他商品和服务支出。</w:t>
      </w:r>
    </w:p>
    <w:p w14:paraId="7B435A49">
      <w:pPr>
        <w:spacing w:line="640" w:lineRule="exact"/>
        <w:ind w:firstLine="640"/>
        <w:jc w:val="both"/>
        <w:outlineLvl w:val="2"/>
      </w:pPr>
      <w:r>
        <w:rPr>
          <w:rFonts w:ascii="黑体" w:hAnsi="黑体" w:eastAsia="黑体"/>
          <w:sz w:val="32"/>
        </w:rPr>
        <w:t>七、政府性基金预算财政拨款收入支出决算情况说明</w:t>
      </w:r>
    </w:p>
    <w:p w14:paraId="175E26BD">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27ED8997">
      <w:pPr>
        <w:spacing w:line="640" w:lineRule="exact"/>
        <w:ind w:firstLine="640"/>
        <w:jc w:val="both"/>
        <w:outlineLvl w:val="2"/>
      </w:pPr>
      <w:r>
        <w:rPr>
          <w:rFonts w:ascii="黑体" w:hAnsi="黑体" w:eastAsia="黑体"/>
          <w:sz w:val="32"/>
        </w:rPr>
        <w:t>八、国有资本经营预算财政拨款收入支出决算情况说明</w:t>
      </w:r>
    </w:p>
    <w:p w14:paraId="4DB1348C">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704470DD">
      <w:pPr>
        <w:spacing w:line="640" w:lineRule="exact"/>
        <w:ind w:firstLine="640"/>
        <w:jc w:val="both"/>
        <w:outlineLvl w:val="2"/>
      </w:pPr>
      <w:r>
        <w:rPr>
          <w:rFonts w:ascii="黑体" w:hAnsi="黑体" w:eastAsia="黑体"/>
          <w:sz w:val="32"/>
        </w:rPr>
        <w:t>九、财政拨款“三公”经费支出决算情况说明</w:t>
      </w:r>
    </w:p>
    <w:p w14:paraId="0368D5F9">
      <w:pPr>
        <w:spacing w:line="580" w:lineRule="exact"/>
        <w:ind w:firstLine="640"/>
        <w:jc w:val="both"/>
      </w:pPr>
      <w:r>
        <w:rPr>
          <w:rFonts w:ascii="仿宋_GB2312" w:hAnsi="仿宋_GB2312" w:eastAsia="仿宋_GB2312"/>
          <w:b/>
          <w:sz w:val="32"/>
        </w:rPr>
        <w:t>2024年度财政拨款“三公”经费支出48.00万元，</w:t>
      </w:r>
      <w:r>
        <w:rPr>
          <w:rFonts w:ascii="仿宋_GB2312" w:hAnsi="仿宋_GB2312" w:eastAsia="仿宋_GB2312"/>
          <w:b w:val="0"/>
          <w:sz w:val="32"/>
        </w:rPr>
        <w:t>比上年减少25.20万元，下降34.43%，主要原因是：上年购买执法执勤用车2辆，本年未购买，导致公务用车购置及运行维护费支出较上年减少。其中：因公出国（境）费支出0.00万元，占0.00%，比上年增加0.00万元，增长0.00%，主要原因是：2023年与2024年均未安排因公出国（境）费支出。公务用车购置及运行维护费支出48.00万元，占100.00%，比上年减少25.20万元，下降34.43%，主要原因是：上年购买执法执勤用车2辆，本年未购买，导致公务用车购置及运行维护费支出较上年减少。公务接待费支出0.00万元，占0.00%，比上年增加0.00万元，增长0.00%，主要原因是：2023年与2024年均未安排公务接待费支出。</w:t>
      </w:r>
    </w:p>
    <w:p w14:paraId="54CBCCE4">
      <w:pPr>
        <w:spacing w:line="580" w:lineRule="exact"/>
        <w:ind w:firstLine="640"/>
        <w:jc w:val="both"/>
      </w:pPr>
      <w:r>
        <w:rPr>
          <w:rFonts w:ascii="仿宋_GB2312" w:hAnsi="仿宋_GB2312" w:eastAsia="仿宋_GB2312"/>
          <w:b/>
          <w:sz w:val="32"/>
        </w:rPr>
        <w:t>具体情况如下：</w:t>
      </w:r>
    </w:p>
    <w:p w14:paraId="39695813">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3BFC28CF">
      <w:pPr>
        <w:spacing w:line="580" w:lineRule="exact"/>
        <w:ind w:firstLine="640"/>
        <w:jc w:val="both"/>
      </w:pPr>
      <w:r>
        <w:rPr>
          <w:rFonts w:ascii="仿宋_GB2312" w:hAnsi="仿宋_GB2312" w:eastAsia="仿宋_GB2312"/>
          <w:b w:val="0"/>
          <w:sz w:val="32"/>
        </w:rPr>
        <w:t>公务用车购置及运行维护费48.00万元，其中：公务用车购置费0.00万元，公务用车运行维护费48.00万元。公务用车运行维护费开支内容包括车辆加油费、保险费、过路费、维修费、审验费等。公务用车购置数0辆，公务用车保有量27辆。国有资产占用情况中固定资产车辆27辆，与公务用车保有量差异原因是：本部门固定资产车辆与公务用车保有量一致无差异。</w:t>
      </w:r>
    </w:p>
    <w:p w14:paraId="6431091A">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5537299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48.00万元，决算数48.00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48.00万元，决算数48.00万元，预决算差异率0.00%，主要原因是：严格按照预算执行，预决算无差异。公务接待费全年预算数0.00万元，决算数0.00万元，预决算差异率0.00%，主要原因是：本部门无公务接待费。</w:t>
      </w:r>
    </w:p>
    <w:p w14:paraId="2CA8FA55">
      <w:pPr>
        <w:spacing w:line="640" w:lineRule="exact"/>
        <w:ind w:firstLine="640"/>
        <w:jc w:val="both"/>
        <w:outlineLvl w:val="2"/>
      </w:pPr>
      <w:r>
        <w:rPr>
          <w:rFonts w:ascii="黑体" w:hAnsi="黑体" w:eastAsia="黑体"/>
          <w:sz w:val="32"/>
        </w:rPr>
        <w:t>十、其他重要事项的情况说明</w:t>
      </w:r>
    </w:p>
    <w:p w14:paraId="1228E622">
      <w:pPr>
        <w:spacing w:line="640" w:lineRule="exact"/>
        <w:ind w:firstLine="640"/>
        <w:jc w:val="both"/>
        <w:outlineLvl w:val="3"/>
      </w:pPr>
      <w:r>
        <w:rPr>
          <w:rFonts w:ascii="楷体_GB2312" w:hAnsi="楷体_GB2312" w:eastAsia="楷体_GB2312"/>
          <w:b/>
          <w:sz w:val="32"/>
        </w:rPr>
        <w:t>（一）机关运行经费及公用经费支出情况</w:t>
      </w:r>
    </w:p>
    <w:p w14:paraId="1462B22E">
      <w:pPr>
        <w:spacing w:line="580" w:lineRule="exact"/>
        <w:ind w:firstLine="640"/>
        <w:jc w:val="both"/>
      </w:pPr>
      <w:r>
        <w:rPr>
          <w:rFonts w:ascii="仿宋_GB2312" w:hAnsi="仿宋_GB2312" w:eastAsia="仿宋_GB2312"/>
          <w:b w:val="0"/>
          <w:sz w:val="32"/>
        </w:rPr>
        <w:t>2024年度新疆巴州库尔勒市人民法院（行政单位和参照公务员法管理事业单位）机关运行经费支出315.02万元，比上年减少16.00万元，下降4.83%，主要原因是：本年减少物业管理费、维修费。</w:t>
      </w:r>
    </w:p>
    <w:p w14:paraId="7F3B4D23">
      <w:pPr>
        <w:spacing w:line="640" w:lineRule="exact"/>
        <w:ind w:firstLine="640"/>
        <w:jc w:val="both"/>
        <w:outlineLvl w:val="3"/>
      </w:pPr>
      <w:r>
        <w:rPr>
          <w:rFonts w:ascii="楷体_GB2312" w:hAnsi="楷体_GB2312" w:eastAsia="楷体_GB2312"/>
          <w:b/>
          <w:sz w:val="32"/>
        </w:rPr>
        <w:t>（二）政府采购情况</w:t>
      </w:r>
    </w:p>
    <w:p w14:paraId="12F67F8D">
      <w:pPr>
        <w:spacing w:line="580" w:lineRule="exact"/>
        <w:ind w:firstLine="640"/>
        <w:jc w:val="both"/>
      </w:pPr>
      <w:r>
        <w:rPr>
          <w:rFonts w:ascii="仿宋_GB2312" w:hAnsi="仿宋_GB2312" w:eastAsia="仿宋_GB2312"/>
          <w:b w:val="0"/>
          <w:sz w:val="32"/>
        </w:rPr>
        <w:t>2024年度政府采购支出总额594.56万元，其中：政府采购货物支出97.71万元、政府采购工程支出25.82万元、政府采购服务支出471.04万元。</w:t>
      </w:r>
    </w:p>
    <w:p w14:paraId="4D403826">
      <w:pPr>
        <w:spacing w:line="580" w:lineRule="exact"/>
        <w:ind w:firstLine="640"/>
        <w:jc w:val="both"/>
      </w:pPr>
      <w:r>
        <w:rPr>
          <w:rFonts w:ascii="仿宋_GB2312" w:hAnsi="仿宋_GB2312" w:eastAsia="仿宋_GB2312"/>
          <w:b w:val="0"/>
          <w:sz w:val="32"/>
        </w:rPr>
        <w:t>授予中小企业合同金额534.95万元，占政府采购支出总额的89.97%，其中：授予小微企业合同金额501.19万元，占政府采购支出总额的84.30%。</w:t>
      </w:r>
    </w:p>
    <w:p w14:paraId="7CC53772">
      <w:pPr>
        <w:spacing w:line="640" w:lineRule="exact"/>
        <w:ind w:firstLine="640"/>
        <w:jc w:val="both"/>
        <w:outlineLvl w:val="3"/>
      </w:pPr>
      <w:r>
        <w:rPr>
          <w:rFonts w:ascii="楷体_GB2312" w:hAnsi="楷体_GB2312" w:eastAsia="楷体_GB2312"/>
          <w:b/>
          <w:sz w:val="32"/>
        </w:rPr>
        <w:t>（三）国有资产占用情况说明</w:t>
      </w:r>
    </w:p>
    <w:p w14:paraId="3A5EA267">
      <w:pPr>
        <w:spacing w:line="580" w:lineRule="exact"/>
        <w:ind w:firstLine="640"/>
        <w:jc w:val="both"/>
      </w:pPr>
      <w:r>
        <w:rPr>
          <w:rFonts w:ascii="仿宋_GB2312" w:hAnsi="仿宋_GB2312" w:eastAsia="仿宋_GB2312"/>
          <w:b w:val="0"/>
          <w:sz w:val="32"/>
        </w:rPr>
        <w:t>截至2024年12月31日，房屋23,459.09平方米，价值9,370.75万元。车辆27辆，价值379.70万元，其中：副部（省）级及以上领导用车0辆、主要负责人用车0辆、机要通信用车0辆、应急保障用车0辆、执法执勤用车27辆、特种专业技术用车0辆、离退休干部服务用车0辆、其他用车0辆，其他用车主要是：本部门无其他用车。单价100万元（含）以上设备（不含车辆）0台（套）。</w:t>
      </w:r>
    </w:p>
    <w:p w14:paraId="5C0D79DA">
      <w:pPr>
        <w:spacing w:line="640" w:lineRule="exact"/>
        <w:ind w:firstLine="640"/>
        <w:jc w:val="both"/>
        <w:outlineLvl w:val="2"/>
      </w:pPr>
      <w:r>
        <w:rPr>
          <w:rFonts w:ascii="黑体" w:hAnsi="黑体" w:eastAsia="黑体"/>
          <w:sz w:val="32"/>
        </w:rPr>
        <w:t>十一、预算绩效的情况说明</w:t>
      </w:r>
    </w:p>
    <w:p w14:paraId="78500670">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根据预算绩效管理要求，本部门2024年度预算绩效管理形成整体支出绩效自评表1个，全年预算总额4,737.38万元，实际执行总额4,736.87万元；预算绩效评价项目</w:t>
      </w:r>
      <w:r>
        <w:rPr>
          <w:rFonts w:hint="eastAsia" w:ascii="仿宋_GB2312" w:hAnsi="仿宋_GB2312" w:eastAsia="仿宋_GB2312"/>
          <w:b w:val="0"/>
          <w:sz w:val="32"/>
          <w:lang w:val="en-US" w:eastAsia="zh-CN"/>
        </w:rPr>
        <w:t>4</w:t>
      </w:r>
      <w:r>
        <w:rPr>
          <w:rFonts w:ascii="仿宋_GB2312" w:hAnsi="仿宋_GB2312" w:eastAsia="仿宋_GB2312"/>
          <w:b w:val="0"/>
          <w:sz w:val="32"/>
        </w:rPr>
        <w:t>个，全年预算数</w:t>
      </w:r>
      <w:r>
        <w:rPr>
          <w:rFonts w:hint="eastAsia" w:ascii="仿宋_GB2312" w:hAnsi="仿宋_GB2312" w:eastAsia="仿宋_GB2312"/>
          <w:b w:val="0"/>
          <w:sz w:val="32"/>
        </w:rPr>
        <w:t>1</w:t>
      </w:r>
      <w:r>
        <w:rPr>
          <w:rFonts w:hint="eastAsia" w:ascii="仿宋_GB2312" w:hAnsi="仿宋_GB2312" w:eastAsia="仿宋_GB2312"/>
          <w:b w:val="0"/>
          <w:sz w:val="32"/>
          <w:lang w:val="en-US" w:eastAsia="zh-CN"/>
        </w:rPr>
        <w:t>,103.00</w:t>
      </w:r>
      <w:r>
        <w:rPr>
          <w:rFonts w:ascii="仿宋_GB2312" w:hAnsi="仿宋_GB2312" w:eastAsia="仿宋_GB2312"/>
          <w:b w:val="0"/>
          <w:sz w:val="32"/>
        </w:rPr>
        <w:t>万元，全年执行数</w:t>
      </w:r>
      <w:r>
        <w:rPr>
          <w:rFonts w:hint="eastAsia" w:ascii="仿宋_GB2312" w:hAnsi="仿宋_GB2312" w:eastAsia="仿宋_GB2312"/>
          <w:b w:val="0"/>
          <w:sz w:val="32"/>
        </w:rPr>
        <w:t>1</w:t>
      </w:r>
      <w:r>
        <w:rPr>
          <w:rFonts w:hint="eastAsia" w:ascii="仿宋_GB2312" w:hAnsi="仿宋_GB2312" w:eastAsia="仿宋_GB2312"/>
          <w:b w:val="0"/>
          <w:sz w:val="32"/>
          <w:lang w:val="en-US" w:eastAsia="zh-CN"/>
        </w:rPr>
        <w:t>,103.00</w:t>
      </w:r>
      <w:r>
        <w:rPr>
          <w:rFonts w:ascii="仿宋_GB2312" w:hAnsi="仿宋_GB2312" w:eastAsia="仿宋_GB2312"/>
          <w:b w:val="0"/>
          <w:sz w:val="32"/>
        </w:rPr>
        <w:t>万元。预算绩效管理取得的成效：一是本部门以绩效目标实现为导向，加强制度建设，提升预算执行质量，预算绩效管理取得一定成效。预算绩效管理取得的成效，科学制定目标，促进绩效目标顺利实现。二是自落实预算绩效管理工作以来，本部门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部门整体支出绩效自评表，项目支出绩效自评表。</w:t>
      </w:r>
    </w:p>
    <w:p w14:paraId="01E0A595">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1E731B2">
        <w:tblPrEx>
          <w:tblCellMar>
            <w:top w:w="0" w:type="dxa"/>
            <w:left w:w="108" w:type="dxa"/>
            <w:bottom w:w="0" w:type="dxa"/>
            <w:right w:w="108" w:type="dxa"/>
          </w:tblCellMar>
        </w:tblPrEx>
        <w:tc>
          <w:tcPr>
            <w:tcW w:w="8840" w:type="dxa"/>
            <w:gridSpan w:val="8"/>
            <w:vAlign w:val="center"/>
          </w:tcPr>
          <w:p w14:paraId="20187F00">
            <w:pPr>
              <w:jc w:val="center"/>
            </w:pPr>
            <w:r>
              <w:rPr>
                <w:rFonts w:ascii="宋体" w:hAnsi="宋体" w:eastAsia="宋体"/>
                <w:sz w:val="24"/>
              </w:rPr>
              <w:t>部门整体支出绩效自评表</w:t>
            </w:r>
          </w:p>
        </w:tc>
      </w:tr>
      <w:tr w14:paraId="7A4E9686">
        <w:tblPrEx>
          <w:tblCellMar>
            <w:top w:w="0" w:type="dxa"/>
            <w:left w:w="108" w:type="dxa"/>
            <w:bottom w:w="0" w:type="dxa"/>
            <w:right w:w="108" w:type="dxa"/>
          </w:tblCellMar>
        </w:tblPrEx>
        <w:tc>
          <w:tcPr>
            <w:tcW w:w="8840" w:type="dxa"/>
            <w:gridSpan w:val="8"/>
            <w:vAlign w:val="center"/>
          </w:tcPr>
          <w:p w14:paraId="356A2CF0">
            <w:pPr>
              <w:jc w:val="center"/>
            </w:pPr>
            <w:r>
              <w:rPr>
                <w:rFonts w:ascii="宋体" w:hAnsi="宋体" w:eastAsia="宋体"/>
                <w:sz w:val="24"/>
              </w:rPr>
              <w:t>（2024年度）</w:t>
            </w:r>
          </w:p>
        </w:tc>
      </w:tr>
      <w:tr w14:paraId="7E27F68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2C431C">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2EAAEB">
            <w:pPr>
              <w:jc w:val="center"/>
            </w:pPr>
            <w:r>
              <w:rPr>
                <w:rFonts w:ascii="宋体" w:hAnsi="宋体" w:eastAsia="宋体"/>
                <w:sz w:val="16"/>
              </w:rPr>
              <w:t>新疆巴州库尔勒市人民法院</w:t>
            </w:r>
          </w:p>
        </w:tc>
      </w:tr>
      <w:tr w14:paraId="3FF3FEB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617C1">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329D82">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8F9C4B">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DB9575">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8C060C">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D8FB4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EF6387">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922CAC">
            <w:pPr>
              <w:jc w:val="center"/>
            </w:pPr>
            <w:r>
              <w:rPr>
                <w:rFonts w:ascii="宋体" w:hAnsi="宋体" w:eastAsia="宋体"/>
                <w:sz w:val="16"/>
              </w:rPr>
              <w:t>得分</w:t>
            </w:r>
          </w:p>
        </w:tc>
      </w:tr>
      <w:tr w14:paraId="70C0094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7A950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2BD8E6">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A93E8E">
            <w:pPr>
              <w:jc w:val="center"/>
            </w:pPr>
            <w:r>
              <w:rPr>
                <w:rFonts w:ascii="宋体" w:hAnsi="宋体" w:eastAsia="宋体"/>
                <w:sz w:val="16"/>
              </w:rPr>
              <w:t>4,482.59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99EC33">
            <w:pPr>
              <w:jc w:val="center"/>
            </w:pPr>
            <w:r>
              <w:rPr>
                <w:rFonts w:ascii="宋体" w:hAnsi="宋体" w:eastAsia="宋体"/>
                <w:sz w:val="16"/>
              </w:rPr>
              <w:t>4,737.38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41E744">
            <w:pPr>
              <w:jc w:val="center"/>
            </w:pPr>
            <w:r>
              <w:rPr>
                <w:rFonts w:ascii="宋体" w:hAnsi="宋体" w:eastAsia="宋体"/>
                <w:sz w:val="16"/>
              </w:rPr>
              <w:t>4,736.87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564BD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7D94F0">
            <w:pPr>
              <w:jc w:val="center"/>
            </w:pPr>
            <w:r>
              <w:rPr>
                <w:rFonts w:ascii="宋体" w:hAnsi="宋体" w:eastAsia="宋体"/>
                <w:sz w:val="16"/>
              </w:rPr>
              <w:t>99.99%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D67CC1">
            <w:pPr>
              <w:jc w:val="center"/>
            </w:pPr>
            <w:r>
              <w:rPr>
                <w:rFonts w:ascii="宋体" w:hAnsi="宋体" w:eastAsia="宋体"/>
                <w:sz w:val="16"/>
              </w:rPr>
              <w:t>9.99</w:t>
            </w:r>
          </w:p>
        </w:tc>
      </w:tr>
      <w:tr w14:paraId="7CA4353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51826B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514CB0">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591D74">
            <w:pPr>
              <w:jc w:val="center"/>
            </w:pPr>
            <w:r>
              <w:rPr>
                <w:rFonts w:ascii="宋体" w:hAnsi="宋体" w:eastAsia="宋体"/>
                <w:sz w:val="16"/>
              </w:rPr>
              <w:t>747.00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9228DB">
            <w:pPr>
              <w:jc w:val="center"/>
            </w:pPr>
            <w:r>
              <w:rPr>
                <w:rFonts w:ascii="宋体" w:hAnsi="宋体" w:eastAsia="宋体"/>
                <w:sz w:val="16"/>
              </w:rPr>
              <w:t>901.00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284F86">
            <w:pPr>
              <w:jc w:val="center"/>
            </w:pPr>
            <w:r>
              <w:rPr>
                <w:rFonts w:ascii="宋体" w:hAnsi="宋体" w:eastAsia="宋体"/>
                <w:sz w:val="16"/>
              </w:rPr>
              <w:t>901.00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D396D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AF1E6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E15A4F">
            <w:pPr>
              <w:jc w:val="center"/>
            </w:pPr>
            <w:r>
              <w:rPr>
                <w:rFonts w:ascii="宋体" w:hAnsi="宋体" w:eastAsia="宋体"/>
                <w:sz w:val="16"/>
              </w:rPr>
              <w:t>-</w:t>
            </w:r>
          </w:p>
        </w:tc>
      </w:tr>
      <w:tr w14:paraId="4712521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146418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7CE996">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66A5AF">
            <w:pPr>
              <w:jc w:val="center"/>
            </w:pPr>
            <w:r>
              <w:rPr>
                <w:rFonts w:ascii="宋体" w:hAnsi="宋体" w:eastAsia="宋体"/>
                <w:sz w:val="16"/>
              </w:rPr>
              <w:t>3,735.59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04F2C8">
            <w:pPr>
              <w:jc w:val="center"/>
            </w:pPr>
            <w:r>
              <w:rPr>
                <w:rFonts w:ascii="宋体" w:hAnsi="宋体" w:eastAsia="宋体"/>
                <w:sz w:val="16"/>
              </w:rPr>
              <w:t>3,836.38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43A88E">
            <w:pPr>
              <w:jc w:val="center"/>
            </w:pPr>
            <w:r>
              <w:rPr>
                <w:rFonts w:ascii="宋体" w:hAnsi="宋体" w:eastAsia="宋体"/>
                <w:sz w:val="16"/>
              </w:rPr>
              <w:t>3,835.87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F264F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ABB02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4DBBBA">
            <w:pPr>
              <w:jc w:val="center"/>
            </w:pPr>
            <w:r>
              <w:rPr>
                <w:rFonts w:ascii="宋体" w:hAnsi="宋体" w:eastAsia="宋体"/>
                <w:sz w:val="16"/>
              </w:rPr>
              <w:t>-</w:t>
            </w:r>
          </w:p>
        </w:tc>
      </w:tr>
      <w:tr w14:paraId="12B9BB1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63BFAE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2B0065">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02A60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F0D43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CA65A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73CF5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C7CCC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67B067">
            <w:pPr>
              <w:jc w:val="center"/>
            </w:pPr>
            <w:r>
              <w:rPr>
                <w:rFonts w:ascii="宋体" w:hAnsi="宋体" w:eastAsia="宋体"/>
                <w:sz w:val="16"/>
              </w:rPr>
              <w:t>-</w:t>
            </w:r>
          </w:p>
        </w:tc>
      </w:tr>
      <w:tr w14:paraId="18F2728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B389CF">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9AD720">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C70584">
            <w:pPr>
              <w:jc w:val="center"/>
            </w:pPr>
            <w:r>
              <w:rPr>
                <w:rFonts w:ascii="宋体" w:hAnsi="宋体" w:eastAsia="宋体"/>
                <w:sz w:val="16"/>
              </w:rPr>
              <w:t>实际完成情况</w:t>
            </w:r>
          </w:p>
        </w:tc>
      </w:tr>
      <w:tr w14:paraId="715DE37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D619B0"/>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8063F5">
            <w:pPr>
              <w:jc w:val="both"/>
            </w:pPr>
            <w:r>
              <w:rPr>
                <w:rFonts w:ascii="宋体" w:hAnsi="宋体" w:eastAsia="宋体"/>
                <w:sz w:val="16"/>
              </w:rPr>
              <w:t>按照“十四五”规划部署，紧紧围绕促进新疆社会</w:t>
            </w:r>
            <w:bookmarkStart w:id="0" w:name="_GoBack"/>
            <w:r>
              <w:rPr>
                <w:rFonts w:ascii="宋体" w:hAnsi="宋体" w:eastAsia="宋体"/>
                <w:sz w:val="16"/>
              </w:rPr>
              <w:t>稳定</w:t>
            </w:r>
            <w:bookmarkEnd w:id="0"/>
            <w:r>
              <w:rPr>
                <w:rFonts w:ascii="宋体" w:hAnsi="宋体" w:eastAsia="宋体"/>
                <w:sz w:val="16"/>
              </w:rPr>
              <w:t>和长治久安的总目标，充分发挥法院的审判执行工作职能，全面提升审判执行工作质效，保障法院审判执行工作的顺利开展。全面提升法官队伍整体职业素养，打造忠诚担当爱岗敬业的法院队伍，保障维护案件审判执行的公平正义，提升法官队伍职业素养，推进司法体制改革进程。坚持司法为民,公正司法，为库尔勒市经济社会发展提供坚强有力的司法服务和保障。保障我院依法审理刑事、民商事、执行各类案件。提高人民满意度，保障司法审判的各项工作顺利进行。</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7A46EC">
            <w:pPr>
              <w:jc w:val="both"/>
            </w:pPr>
            <w:r>
              <w:rPr>
                <w:rFonts w:ascii="宋体" w:hAnsi="宋体" w:eastAsia="宋体"/>
                <w:sz w:val="16"/>
              </w:rPr>
              <w:t>库尔勒市人民法院坚持以习近平新时代中国特色社会主义思想为指导，在市委坚强领导、市人大及其常委会的有力监督下，在市政府、政协和社会各界的大力关心支持下，深入学习贯彻党的二十大精神，完整准确全面贯彻落实习近平法治思想和新时代党的治疆方略。牢固树立“以人民为中心”的司法理念，紧紧围绕市委中心工作，忠实履行宪法法律赋予的职责，依法维护社会稳定、服务保障乡村振兴和经济高质量发展，努力实现让人民群众在每一个司法案件中感受到公平正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2024年，库尔勒市人民法院受理案件28257件，同比上升9.08%，审、执结20609件，结案率99.60%。</w:t>
            </w:r>
          </w:p>
        </w:tc>
      </w:tr>
      <w:tr w14:paraId="246289E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90A0B2">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A875BE">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8DE4C1">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C264F3">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007731">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9B05C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B51933">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ADB982">
            <w:pPr>
              <w:jc w:val="center"/>
            </w:pPr>
            <w:r>
              <w:rPr>
                <w:rFonts w:ascii="宋体" w:hAnsi="宋体" w:eastAsia="宋体"/>
                <w:sz w:val="16"/>
              </w:rPr>
              <w:t>得分</w:t>
            </w:r>
          </w:p>
        </w:tc>
      </w:tr>
      <w:tr w14:paraId="6F84D43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5449D4">
            <w:pPr>
              <w:jc w:val="center"/>
            </w:pPr>
            <w:r>
              <w:rPr>
                <w:rFonts w:ascii="宋体" w:hAnsi="宋体" w:eastAsia="宋体"/>
                <w:sz w:val="16"/>
              </w:rPr>
              <w:t>履职效能</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12B2D2">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82563E">
            <w:pPr>
              <w:jc w:val="center"/>
            </w:pPr>
            <w:r>
              <w:rPr>
                <w:rFonts w:ascii="宋体" w:hAnsi="宋体" w:eastAsia="宋体"/>
                <w:sz w:val="16"/>
              </w:rPr>
              <w:t>受理案件数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7466E1">
            <w:pPr>
              <w:jc w:val="center"/>
            </w:pPr>
            <w:r>
              <w:rPr>
                <w:rFonts w:ascii="宋体" w:hAnsi="宋体" w:eastAsia="宋体"/>
                <w:sz w:val="16"/>
              </w:rPr>
              <w:t>&gt;=20000件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6F16F7">
            <w:pPr>
              <w:jc w:val="center"/>
            </w:pPr>
            <w:r>
              <w:rPr>
                <w:rFonts w:ascii="宋体" w:hAnsi="宋体" w:eastAsia="宋体"/>
                <w:sz w:val="16"/>
              </w:rPr>
              <w:t>库尔勒市人民法院工作报告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29478E">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09A31E">
            <w:pPr>
              <w:jc w:val="center"/>
            </w:pPr>
            <w:r>
              <w:rPr>
                <w:rFonts w:ascii="宋体" w:hAnsi="宋体" w:eastAsia="宋体"/>
                <w:sz w:val="16"/>
              </w:rPr>
              <w:t>28254件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3817B8">
            <w:pPr>
              <w:jc w:val="center"/>
            </w:pPr>
            <w:r>
              <w:rPr>
                <w:rFonts w:ascii="宋体" w:hAnsi="宋体" w:eastAsia="宋体"/>
                <w:sz w:val="16"/>
              </w:rPr>
              <w:t>30</w:t>
            </w:r>
          </w:p>
        </w:tc>
      </w:tr>
      <w:tr w14:paraId="44D3B67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49C758F"/>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0F0953">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573B2D">
            <w:pPr>
              <w:jc w:val="center"/>
            </w:pPr>
            <w:r>
              <w:rPr>
                <w:rFonts w:ascii="宋体" w:hAnsi="宋体" w:eastAsia="宋体"/>
                <w:sz w:val="16"/>
              </w:rPr>
              <w:t>一审服判息诉率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5C4A41">
            <w:pPr>
              <w:jc w:val="center"/>
            </w:pPr>
            <w:r>
              <w:rPr>
                <w:rFonts w:ascii="宋体" w:hAnsi="宋体" w:eastAsia="宋体"/>
                <w:sz w:val="16"/>
              </w:rPr>
              <w:t>&gt;=80%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DB1888">
            <w:pPr>
              <w:jc w:val="center"/>
            </w:pPr>
            <w:r>
              <w:rPr>
                <w:rFonts w:ascii="宋体" w:hAnsi="宋体" w:eastAsia="宋体"/>
                <w:sz w:val="16"/>
              </w:rPr>
              <w:t>库尔勒市人民法院工作报告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FAD5F3">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E25770">
            <w:pPr>
              <w:jc w:val="center"/>
            </w:pPr>
            <w:r>
              <w:rPr>
                <w:rFonts w:ascii="宋体" w:hAnsi="宋体" w:eastAsia="宋体"/>
                <w:sz w:val="16"/>
              </w:rPr>
              <w:t>87.77%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4C75F8">
            <w:pPr>
              <w:jc w:val="center"/>
            </w:pPr>
            <w:r>
              <w:rPr>
                <w:rFonts w:ascii="宋体" w:hAnsi="宋体" w:eastAsia="宋体"/>
                <w:sz w:val="16"/>
              </w:rPr>
              <w:t>30</w:t>
            </w:r>
          </w:p>
        </w:tc>
      </w:tr>
      <w:tr w14:paraId="66A0304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674B2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8F200F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4B7DD3">
            <w:pPr>
              <w:jc w:val="center"/>
            </w:pPr>
            <w:r>
              <w:rPr>
                <w:rFonts w:ascii="宋体" w:hAnsi="宋体" w:eastAsia="宋体"/>
                <w:sz w:val="16"/>
              </w:rPr>
              <w:t>法定审限期内结案率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27F48E">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67AA6D">
            <w:pPr>
              <w:jc w:val="center"/>
            </w:pPr>
            <w:r>
              <w:rPr>
                <w:rFonts w:ascii="宋体" w:hAnsi="宋体" w:eastAsia="宋体"/>
                <w:sz w:val="16"/>
              </w:rPr>
              <w:t>库尔勒市人民法院工作报告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F2E9A8">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0CDECB">
            <w:pPr>
              <w:jc w:val="center"/>
            </w:pPr>
            <w:r>
              <w:rPr>
                <w:rFonts w:ascii="宋体" w:hAnsi="宋体" w:eastAsia="宋体"/>
                <w:sz w:val="16"/>
              </w:rPr>
              <w:t>99.60%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346005">
            <w:pPr>
              <w:jc w:val="center"/>
            </w:pPr>
            <w:r>
              <w:rPr>
                <w:rFonts w:ascii="宋体" w:hAnsi="宋体" w:eastAsia="宋体"/>
                <w:sz w:val="16"/>
              </w:rPr>
              <w:t>20</w:t>
            </w:r>
          </w:p>
        </w:tc>
      </w:tr>
      <w:tr w14:paraId="41260C7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48C761">
            <w:pPr>
              <w:jc w:val="center"/>
            </w:pPr>
            <w:r>
              <w:rPr>
                <w:rFonts w:ascii="宋体" w:hAnsi="宋体" w:eastAsia="宋体"/>
                <w:sz w:val="16"/>
              </w:rPr>
              <w:t>服务对象满意度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57ADBD">
            <w:pPr>
              <w:jc w:val="center"/>
            </w:pPr>
            <w:r>
              <w:rPr>
                <w:rFonts w:ascii="宋体" w:hAnsi="宋体" w:eastAsia="宋体"/>
                <w:sz w:val="16"/>
              </w:rPr>
              <w:t>满意度指标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ADE0FD">
            <w:pPr>
              <w:jc w:val="center"/>
            </w:pPr>
            <w:r>
              <w:rPr>
                <w:rFonts w:ascii="宋体" w:hAnsi="宋体" w:eastAsia="宋体"/>
                <w:sz w:val="16"/>
              </w:rPr>
              <w:t>案件当事人满意度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D90651">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3F7246">
            <w:pPr>
              <w:jc w:val="center"/>
            </w:pPr>
            <w:r>
              <w:rPr>
                <w:rFonts w:ascii="宋体" w:hAnsi="宋体" w:eastAsia="宋体"/>
                <w:sz w:val="16"/>
              </w:rPr>
              <w:t>库尔勒市人民法院工作报告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B4AC6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9AB1A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C94571">
            <w:pPr>
              <w:jc w:val="center"/>
            </w:pPr>
            <w:r>
              <w:rPr>
                <w:rFonts w:ascii="宋体" w:hAnsi="宋体" w:eastAsia="宋体"/>
                <w:sz w:val="16"/>
              </w:rPr>
              <w:t>10</w:t>
            </w:r>
          </w:p>
        </w:tc>
      </w:tr>
    </w:tbl>
    <w:p w14:paraId="79080187">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744"/>
        <w:gridCol w:w="520"/>
        <w:gridCol w:w="632"/>
        <w:gridCol w:w="632"/>
        <w:gridCol w:w="632"/>
        <w:gridCol w:w="632"/>
        <w:gridCol w:w="632"/>
        <w:gridCol w:w="632"/>
        <w:gridCol w:w="632"/>
        <w:gridCol w:w="696"/>
        <w:gridCol w:w="632"/>
      </w:tblGrid>
      <w:tr w14:paraId="4CFB13C5">
        <w:tblPrEx>
          <w:tblCellMar>
            <w:top w:w="0" w:type="dxa"/>
            <w:left w:w="108" w:type="dxa"/>
            <w:bottom w:w="0" w:type="dxa"/>
            <w:right w:w="108" w:type="dxa"/>
          </w:tblCellMar>
        </w:tblPrEx>
        <w:tc>
          <w:tcPr>
            <w:tcW w:w="8912" w:type="dxa"/>
            <w:gridSpan w:val="14"/>
            <w:vAlign w:val="center"/>
          </w:tcPr>
          <w:p w14:paraId="7A0104B2">
            <w:pPr>
              <w:jc w:val="center"/>
            </w:pPr>
            <w:r>
              <w:rPr>
                <w:rFonts w:ascii="宋体" w:hAnsi="宋体" w:eastAsia="宋体"/>
                <w:sz w:val="24"/>
              </w:rPr>
              <w:t>项目支出绩效自评表</w:t>
            </w:r>
          </w:p>
        </w:tc>
      </w:tr>
      <w:tr w14:paraId="48457FEB">
        <w:tblPrEx>
          <w:tblCellMar>
            <w:top w:w="0" w:type="dxa"/>
            <w:left w:w="108" w:type="dxa"/>
            <w:bottom w:w="0" w:type="dxa"/>
            <w:right w:w="108" w:type="dxa"/>
          </w:tblCellMar>
        </w:tblPrEx>
        <w:tc>
          <w:tcPr>
            <w:tcW w:w="8912" w:type="dxa"/>
            <w:gridSpan w:val="14"/>
            <w:vAlign w:val="center"/>
          </w:tcPr>
          <w:p w14:paraId="0654937F">
            <w:pPr>
              <w:jc w:val="center"/>
            </w:pPr>
            <w:r>
              <w:rPr>
                <w:rFonts w:ascii="宋体" w:hAnsi="宋体" w:eastAsia="宋体"/>
                <w:sz w:val="24"/>
              </w:rPr>
              <w:t>(2024年度)</w:t>
            </w:r>
          </w:p>
        </w:tc>
      </w:tr>
      <w:tr w14:paraId="4114AC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5BC41">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511E82">
            <w:pPr>
              <w:jc w:val="center"/>
            </w:pPr>
            <w:r>
              <w:rPr>
                <w:rFonts w:ascii="宋体" w:hAnsi="宋体" w:eastAsia="宋体"/>
                <w:sz w:val="16"/>
              </w:rPr>
              <w:t>审判执行辅助工作</w:t>
            </w:r>
          </w:p>
        </w:tc>
      </w:tr>
      <w:tr w14:paraId="307D99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8644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D2550F">
            <w:pPr>
              <w:jc w:val="center"/>
            </w:pPr>
            <w:r>
              <w:rPr>
                <w:rFonts w:ascii="宋体" w:hAnsi="宋体" w:eastAsia="宋体"/>
                <w:sz w:val="16"/>
              </w:rPr>
              <w:t>新疆巴州库尔勒市人民法院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513F2">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76D2C2">
            <w:pPr>
              <w:jc w:val="center"/>
            </w:pPr>
            <w:r>
              <w:rPr>
                <w:rFonts w:ascii="宋体" w:hAnsi="宋体" w:eastAsia="宋体"/>
                <w:sz w:val="16"/>
              </w:rPr>
              <w:t>新疆巴州库尔勒市人民法院</w:t>
            </w:r>
          </w:p>
        </w:tc>
      </w:tr>
      <w:tr w14:paraId="36CF0A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464D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E04A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0ECD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9740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9EEF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4846B">
            <w:pPr>
              <w:jc w:val="center"/>
            </w:pPr>
            <w:r>
              <w:rPr>
                <w:rFonts w:ascii="宋体" w:hAnsi="宋体" w:eastAsia="宋体"/>
                <w:sz w:val="16"/>
              </w:rPr>
              <w:t>分值权重</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0810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ABD8C">
            <w:pPr>
              <w:jc w:val="center"/>
            </w:pPr>
            <w:r>
              <w:rPr>
                <w:rFonts w:ascii="宋体" w:hAnsi="宋体" w:eastAsia="宋体"/>
                <w:sz w:val="16"/>
              </w:rPr>
              <w:t>得分</w:t>
            </w:r>
          </w:p>
        </w:tc>
      </w:tr>
      <w:tr w14:paraId="330763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CA43C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A90A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4A2E7">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89FE9">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27FF0">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005A0">
            <w:pPr>
              <w:jc w:val="center"/>
            </w:pPr>
            <w:r>
              <w:rPr>
                <w:rFonts w:ascii="宋体" w:hAnsi="宋体" w:eastAsia="宋体"/>
                <w:sz w:val="16"/>
              </w:rPr>
              <w:t>10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155C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2937E">
            <w:pPr>
              <w:jc w:val="center"/>
            </w:pPr>
            <w:r>
              <w:rPr>
                <w:rFonts w:ascii="宋体" w:hAnsi="宋体" w:eastAsia="宋体"/>
                <w:sz w:val="16"/>
              </w:rPr>
              <w:t>10.00</w:t>
            </w:r>
          </w:p>
        </w:tc>
      </w:tr>
      <w:tr w14:paraId="30713B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9DA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3D02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98CBF">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FE1EB">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8D2C2">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32E89">
            <w:pPr>
              <w:jc w:val="center"/>
            </w:pPr>
            <w:r>
              <w:rPr>
                <w:rFonts w:ascii="宋体" w:hAnsi="宋体" w:eastAsia="宋体"/>
                <w:sz w:val="16"/>
              </w:rPr>
              <w:t>-</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404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D80C9">
            <w:pPr>
              <w:jc w:val="center"/>
            </w:pPr>
            <w:r>
              <w:rPr>
                <w:rFonts w:ascii="宋体" w:hAnsi="宋体" w:eastAsia="宋体"/>
                <w:sz w:val="16"/>
              </w:rPr>
              <w:t>-</w:t>
            </w:r>
          </w:p>
        </w:tc>
      </w:tr>
      <w:tr w14:paraId="540EBB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CCD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7168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612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8F9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277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70FC0">
            <w:pPr>
              <w:jc w:val="center"/>
            </w:pPr>
            <w:r>
              <w:rPr>
                <w:rFonts w:ascii="宋体" w:hAnsi="宋体" w:eastAsia="宋体"/>
                <w:sz w:val="16"/>
              </w:rPr>
              <w:t>-</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485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2C46">
            <w:pPr>
              <w:jc w:val="center"/>
            </w:pPr>
            <w:r>
              <w:rPr>
                <w:rFonts w:ascii="宋体" w:hAnsi="宋体" w:eastAsia="宋体"/>
                <w:sz w:val="16"/>
              </w:rPr>
              <w:t>-</w:t>
            </w:r>
          </w:p>
        </w:tc>
      </w:tr>
      <w:tr w14:paraId="463BE0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98360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2AAE24">
            <w:pPr>
              <w:jc w:val="center"/>
            </w:pPr>
            <w:r>
              <w:rPr>
                <w:rFonts w:ascii="宋体" w:hAnsi="宋体" w:eastAsia="宋体"/>
                <w:sz w:val="16"/>
              </w:rPr>
              <w:t>总体目标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FDFB8C">
            <w:pPr>
              <w:jc w:val="center"/>
            </w:pPr>
            <w:r>
              <w:rPr>
                <w:rFonts w:ascii="宋体" w:hAnsi="宋体" w:eastAsia="宋体"/>
                <w:sz w:val="16"/>
              </w:rPr>
              <w:t>总体目标完成情况</w:t>
            </w:r>
          </w:p>
        </w:tc>
      </w:tr>
      <w:tr w14:paraId="1AEE2A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CACB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31E127">
            <w:pPr>
              <w:jc w:val="both"/>
            </w:pPr>
            <w:r>
              <w:rPr>
                <w:rFonts w:ascii="宋体" w:hAnsi="宋体" w:eastAsia="宋体"/>
                <w:sz w:val="16"/>
              </w:rPr>
              <w:t>履行审判执行工作职能，依法受理、审、执案件，努力让人民群众在每一个司法案件中感受到公平公正，保障</w:t>
            </w:r>
            <w:r>
              <w:rPr>
                <w:rFonts w:hint="eastAsia" w:ascii="宋体" w:hAnsi="宋体"/>
                <w:sz w:val="16"/>
                <w:lang w:eastAsia="zh-CN"/>
              </w:rPr>
              <w:t>法院</w:t>
            </w:r>
            <w:r>
              <w:rPr>
                <w:rFonts w:ascii="宋体" w:hAnsi="宋体" w:eastAsia="宋体"/>
                <w:sz w:val="16"/>
              </w:rPr>
              <w:t>审判执行中心工作顺利开展，购买档案管理服务第三方提供服务人数14人、文书送达服务第三方提供服务人数12人，充分发挥资金效益，以维护社会稳定、惩治犯罪和化解矛盾。</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F008F4">
            <w:pPr>
              <w:jc w:val="both"/>
            </w:pPr>
            <w:r>
              <w:rPr>
                <w:rFonts w:ascii="宋体" w:hAnsi="宋体" w:eastAsia="宋体"/>
                <w:sz w:val="16"/>
              </w:rPr>
              <w:t>截至2024年年底，资金全部按照年度预期目标完成使用：购买了1次档案管理服务，第三方提供档案管理服务人数为14人；购买了1次送达服务，第三方提供送达服务人数为12人。严格把控档案管理服务质量合格率和送达服务合格率的同时确保资金支付及时，切实提高了法院工作的社会</w:t>
            </w:r>
            <w:r>
              <w:rPr>
                <w:rFonts w:hint="eastAsia" w:ascii="宋体" w:hAnsi="宋体"/>
                <w:sz w:val="16"/>
                <w:lang w:eastAsia="zh-CN"/>
              </w:rPr>
              <w:t>影响力</w:t>
            </w:r>
            <w:r>
              <w:rPr>
                <w:rFonts w:ascii="宋体" w:hAnsi="宋体" w:eastAsia="宋体"/>
                <w:sz w:val="16"/>
              </w:rPr>
              <w:t>，依法推进了法院各项工作，让人民群众在每一个司法案件中感受到了公平公正，有效提高了案件当事人满意度。保障了法院</w:t>
            </w:r>
            <w:r>
              <w:rPr>
                <w:rFonts w:hint="eastAsia" w:ascii="宋体" w:hAnsi="宋体"/>
                <w:sz w:val="16"/>
                <w:lang w:eastAsia="zh-CN"/>
              </w:rPr>
              <w:t>依法</w:t>
            </w:r>
            <w:r>
              <w:rPr>
                <w:rFonts w:ascii="宋体" w:hAnsi="宋体" w:eastAsia="宋体"/>
                <w:sz w:val="16"/>
              </w:rPr>
              <w:t>审判执行中心工作顺利开展。</w:t>
            </w:r>
          </w:p>
        </w:tc>
      </w:tr>
      <w:tr w14:paraId="457B2B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644A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3599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B159C">
            <w:pPr>
              <w:jc w:val="center"/>
            </w:pPr>
            <w:r>
              <w:rPr>
                <w:rFonts w:ascii="宋体" w:hAnsi="宋体" w:eastAsia="宋体"/>
                <w:sz w:val="16"/>
              </w:rPr>
              <w:t>二级指标</w:t>
            </w:r>
          </w:p>
        </w:tc>
        <w:tc>
          <w:tcPr>
            <w:tcW w:w="744" w:type="dxa"/>
            <w:tcBorders>
              <w:top w:val="single" w:color="auto" w:sz="10" w:space="0"/>
              <w:left w:val="single" w:color="auto" w:sz="10" w:space="0"/>
              <w:bottom w:val="single" w:color="auto" w:sz="10" w:space="0"/>
              <w:right w:val="single" w:color="auto" w:sz="10" w:space="0"/>
              <w:insideV w:val="single" w:sz="10" w:space="0"/>
            </w:tcBorders>
            <w:vAlign w:val="center"/>
          </w:tcPr>
          <w:p w14:paraId="392001A7">
            <w:pPr>
              <w:jc w:val="center"/>
            </w:pPr>
            <w:r>
              <w:rPr>
                <w:rFonts w:ascii="宋体" w:hAnsi="宋体" w:eastAsia="宋体"/>
                <w:sz w:val="16"/>
              </w:rPr>
              <w:t>三级指标</w:t>
            </w:r>
          </w:p>
        </w:tc>
        <w:tc>
          <w:tcPr>
            <w:tcW w:w="520" w:type="dxa"/>
            <w:tcBorders>
              <w:top w:val="single" w:color="auto" w:sz="10" w:space="0"/>
              <w:left w:val="single" w:color="auto" w:sz="10" w:space="0"/>
              <w:bottom w:val="single" w:color="auto" w:sz="10" w:space="0"/>
              <w:right w:val="single" w:color="auto" w:sz="10" w:space="0"/>
              <w:insideV w:val="single" w:sz="10" w:space="0"/>
            </w:tcBorders>
            <w:vAlign w:val="center"/>
          </w:tcPr>
          <w:p w14:paraId="597A240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AA1C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6AA2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0CD4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CA7F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882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4962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E8C63">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2F9D4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F4A34">
            <w:pPr>
              <w:jc w:val="center"/>
            </w:pPr>
            <w:r>
              <w:rPr>
                <w:rFonts w:ascii="宋体" w:hAnsi="宋体" w:eastAsia="宋体"/>
                <w:sz w:val="16"/>
              </w:rPr>
              <w:t>偏差原因分析及改进措施</w:t>
            </w:r>
          </w:p>
        </w:tc>
      </w:tr>
      <w:tr w14:paraId="24D919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30C2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5971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0114E3">
            <w:pPr>
              <w:jc w:val="center"/>
            </w:pPr>
            <w:r>
              <w:rPr>
                <w:rFonts w:ascii="宋体" w:hAnsi="宋体" w:eastAsia="宋体"/>
                <w:sz w:val="16"/>
              </w:rPr>
              <w:t>数量指标</w:t>
            </w:r>
          </w:p>
        </w:tc>
        <w:tc>
          <w:tcPr>
            <w:tcW w:w="744" w:type="dxa"/>
            <w:tcBorders>
              <w:top w:val="single" w:color="auto" w:sz="10" w:space="0"/>
              <w:left w:val="single" w:color="auto" w:sz="10" w:space="0"/>
              <w:bottom w:val="single" w:color="auto" w:sz="10" w:space="0"/>
              <w:right w:val="single" w:color="auto" w:sz="10" w:space="0"/>
              <w:insideV w:val="single" w:sz="10" w:space="0"/>
            </w:tcBorders>
            <w:vAlign w:val="center"/>
          </w:tcPr>
          <w:p w14:paraId="65501B46">
            <w:pPr>
              <w:jc w:val="center"/>
            </w:pPr>
            <w:r>
              <w:rPr>
                <w:rFonts w:ascii="宋体" w:hAnsi="宋体" w:eastAsia="宋体"/>
                <w:sz w:val="16"/>
              </w:rPr>
              <w:t>第三方提供档案管理服务人数</w:t>
            </w:r>
          </w:p>
        </w:tc>
        <w:tc>
          <w:tcPr>
            <w:tcW w:w="520" w:type="dxa"/>
            <w:tcBorders>
              <w:top w:val="single" w:color="auto" w:sz="10" w:space="0"/>
              <w:left w:val="single" w:color="auto" w:sz="10" w:space="0"/>
              <w:bottom w:val="single" w:color="auto" w:sz="10" w:space="0"/>
              <w:right w:val="single" w:color="auto" w:sz="10" w:space="0"/>
              <w:insideV w:val="single" w:sz="10" w:space="0"/>
            </w:tcBorders>
            <w:vAlign w:val="center"/>
          </w:tcPr>
          <w:p w14:paraId="5282BCE5">
            <w:pPr>
              <w:jc w:val="center"/>
            </w:pPr>
            <w:r>
              <w:rPr>
                <w:rFonts w:ascii="宋体" w:hAnsi="宋体" w:eastAsia="宋体"/>
                <w:sz w:val="16"/>
              </w:rPr>
              <w:t>&gt;=14人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67C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958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EF2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481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1B7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5BA18">
            <w:pPr>
              <w:jc w:val="center"/>
            </w:pPr>
            <w:r>
              <w:rPr>
                <w:rFonts w:ascii="宋体" w:hAnsi="宋体" w:eastAsia="宋体"/>
                <w:sz w:val="16"/>
              </w:rPr>
              <w: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C1ED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A67D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21A07">
            <w:pPr>
              <w:jc w:val="center"/>
            </w:pPr>
          </w:p>
        </w:tc>
      </w:tr>
      <w:tr w14:paraId="25F586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FE3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823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9F656"/>
        </w:tc>
        <w:tc>
          <w:tcPr>
            <w:tcW w:w="744" w:type="dxa"/>
            <w:tcBorders>
              <w:top w:val="single" w:color="auto" w:sz="10" w:space="0"/>
              <w:left w:val="single" w:color="auto" w:sz="10" w:space="0"/>
              <w:bottom w:val="single" w:color="auto" w:sz="10" w:space="0"/>
              <w:right w:val="single" w:color="auto" w:sz="10" w:space="0"/>
              <w:insideV w:val="single" w:sz="10" w:space="0"/>
            </w:tcBorders>
            <w:vAlign w:val="center"/>
          </w:tcPr>
          <w:p w14:paraId="3D6672FD">
            <w:pPr>
              <w:jc w:val="center"/>
            </w:pPr>
            <w:r>
              <w:rPr>
                <w:rFonts w:ascii="宋体" w:hAnsi="宋体" w:eastAsia="宋体"/>
                <w:sz w:val="16"/>
              </w:rPr>
              <w:t>第三方提供档案管理服务人数</w:t>
            </w:r>
          </w:p>
        </w:tc>
        <w:tc>
          <w:tcPr>
            <w:tcW w:w="520" w:type="dxa"/>
            <w:tcBorders>
              <w:top w:val="single" w:color="auto" w:sz="10" w:space="0"/>
              <w:left w:val="single" w:color="auto" w:sz="10" w:space="0"/>
              <w:bottom w:val="single" w:color="auto" w:sz="10" w:space="0"/>
              <w:right w:val="single" w:color="auto" w:sz="10" w:space="0"/>
              <w:insideV w:val="single" w:sz="10" w:space="0"/>
            </w:tcBorders>
            <w:vAlign w:val="center"/>
          </w:tcPr>
          <w:p w14:paraId="713B557C">
            <w:pPr>
              <w:jc w:val="center"/>
            </w:pPr>
            <w:r>
              <w:rPr>
                <w:rFonts w:ascii="宋体" w:hAnsi="宋体" w:eastAsia="宋体"/>
                <w:sz w:val="16"/>
              </w:rPr>
              <w:t>&gt;=14人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933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9EF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32B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36A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C6C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42076">
            <w:pPr>
              <w:jc w:val="center"/>
            </w:pPr>
            <w:r>
              <w:rPr>
                <w:rFonts w:ascii="宋体" w:hAnsi="宋体" w:eastAsia="宋体"/>
                <w:sz w:val="16"/>
              </w:rPr>
              <w: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A0B3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C87C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398BE">
            <w:pPr>
              <w:jc w:val="center"/>
            </w:pPr>
          </w:p>
        </w:tc>
      </w:tr>
      <w:tr w14:paraId="170B55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E9C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534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C16B2"/>
        </w:tc>
        <w:tc>
          <w:tcPr>
            <w:tcW w:w="744" w:type="dxa"/>
            <w:tcBorders>
              <w:top w:val="single" w:color="auto" w:sz="10" w:space="0"/>
              <w:left w:val="single" w:color="auto" w:sz="10" w:space="0"/>
              <w:bottom w:val="single" w:color="auto" w:sz="10" w:space="0"/>
              <w:right w:val="single" w:color="auto" w:sz="10" w:space="0"/>
              <w:insideV w:val="single" w:sz="10" w:space="0"/>
            </w:tcBorders>
            <w:vAlign w:val="center"/>
          </w:tcPr>
          <w:p w14:paraId="186C3316">
            <w:pPr>
              <w:jc w:val="center"/>
            </w:pPr>
            <w:r>
              <w:rPr>
                <w:rFonts w:ascii="宋体" w:hAnsi="宋体" w:eastAsia="宋体"/>
                <w:sz w:val="16"/>
              </w:rPr>
              <w:t>第三方提供文书送达服务人数</w:t>
            </w:r>
          </w:p>
        </w:tc>
        <w:tc>
          <w:tcPr>
            <w:tcW w:w="520" w:type="dxa"/>
            <w:tcBorders>
              <w:top w:val="single" w:color="auto" w:sz="10" w:space="0"/>
              <w:left w:val="single" w:color="auto" w:sz="10" w:space="0"/>
              <w:bottom w:val="single" w:color="auto" w:sz="10" w:space="0"/>
              <w:right w:val="single" w:color="auto" w:sz="10" w:space="0"/>
              <w:insideV w:val="single" w:sz="10" w:space="0"/>
            </w:tcBorders>
            <w:vAlign w:val="center"/>
          </w:tcPr>
          <w:p w14:paraId="690A8C75">
            <w:pPr>
              <w:jc w:val="center"/>
            </w:pPr>
            <w:r>
              <w:rPr>
                <w:rFonts w:ascii="宋体" w:hAnsi="宋体" w:eastAsia="宋体"/>
                <w:sz w:val="16"/>
              </w:rPr>
              <w:t>&gt;=12人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D57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3F3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22E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CF3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194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AC83D">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5348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90EF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49064">
            <w:pPr>
              <w:jc w:val="center"/>
            </w:pPr>
          </w:p>
        </w:tc>
      </w:tr>
      <w:tr w14:paraId="1898C4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BFF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32B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CD4FA"/>
        </w:tc>
        <w:tc>
          <w:tcPr>
            <w:tcW w:w="744" w:type="dxa"/>
            <w:tcBorders>
              <w:top w:val="single" w:color="auto" w:sz="10" w:space="0"/>
              <w:left w:val="single" w:color="auto" w:sz="10" w:space="0"/>
              <w:bottom w:val="single" w:color="auto" w:sz="10" w:space="0"/>
              <w:right w:val="single" w:color="auto" w:sz="10" w:space="0"/>
              <w:insideV w:val="single" w:sz="10" w:space="0"/>
            </w:tcBorders>
            <w:vAlign w:val="center"/>
          </w:tcPr>
          <w:p w14:paraId="69DB3A5E">
            <w:pPr>
              <w:jc w:val="center"/>
            </w:pPr>
            <w:r>
              <w:rPr>
                <w:rFonts w:ascii="宋体" w:hAnsi="宋体" w:eastAsia="宋体"/>
                <w:sz w:val="16"/>
              </w:rPr>
              <w:t>第三方提供文书送达服务人数</w:t>
            </w:r>
          </w:p>
        </w:tc>
        <w:tc>
          <w:tcPr>
            <w:tcW w:w="520" w:type="dxa"/>
            <w:tcBorders>
              <w:top w:val="single" w:color="auto" w:sz="10" w:space="0"/>
              <w:left w:val="single" w:color="auto" w:sz="10" w:space="0"/>
              <w:bottom w:val="single" w:color="auto" w:sz="10" w:space="0"/>
              <w:right w:val="single" w:color="auto" w:sz="10" w:space="0"/>
              <w:insideV w:val="single" w:sz="10" w:space="0"/>
            </w:tcBorders>
            <w:vAlign w:val="center"/>
          </w:tcPr>
          <w:p w14:paraId="53247A0F">
            <w:pPr>
              <w:jc w:val="center"/>
            </w:pPr>
            <w:r>
              <w:rPr>
                <w:rFonts w:ascii="宋体" w:hAnsi="宋体" w:eastAsia="宋体"/>
                <w:sz w:val="16"/>
              </w:rPr>
              <w:t>&gt;=12人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7FD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04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1EA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F04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281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D1517">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92CC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1B35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B2A0E">
            <w:pPr>
              <w:jc w:val="center"/>
            </w:pPr>
          </w:p>
        </w:tc>
      </w:tr>
      <w:tr w14:paraId="4F4190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E8F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D36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10C348">
            <w:pPr>
              <w:jc w:val="center"/>
            </w:pPr>
            <w:r>
              <w:rPr>
                <w:rFonts w:ascii="宋体" w:hAnsi="宋体" w:eastAsia="宋体"/>
                <w:sz w:val="16"/>
              </w:rPr>
              <w:t>质量指标</w:t>
            </w:r>
          </w:p>
        </w:tc>
        <w:tc>
          <w:tcPr>
            <w:tcW w:w="744" w:type="dxa"/>
            <w:tcBorders>
              <w:top w:val="single" w:color="auto" w:sz="10" w:space="0"/>
              <w:left w:val="single" w:color="auto" w:sz="10" w:space="0"/>
              <w:bottom w:val="single" w:color="auto" w:sz="10" w:space="0"/>
              <w:right w:val="single" w:color="auto" w:sz="10" w:space="0"/>
              <w:insideV w:val="single" w:sz="10" w:space="0"/>
            </w:tcBorders>
            <w:vAlign w:val="center"/>
          </w:tcPr>
          <w:p w14:paraId="03501D84">
            <w:pPr>
              <w:jc w:val="center"/>
            </w:pPr>
            <w:r>
              <w:rPr>
                <w:rFonts w:ascii="宋体" w:hAnsi="宋体" w:eastAsia="宋体"/>
                <w:sz w:val="16"/>
              </w:rPr>
              <w:t>档案管理服务质量合格率</w:t>
            </w:r>
          </w:p>
        </w:tc>
        <w:tc>
          <w:tcPr>
            <w:tcW w:w="520" w:type="dxa"/>
            <w:tcBorders>
              <w:top w:val="single" w:color="auto" w:sz="10" w:space="0"/>
              <w:left w:val="single" w:color="auto" w:sz="10" w:space="0"/>
              <w:bottom w:val="single" w:color="auto" w:sz="10" w:space="0"/>
              <w:right w:val="single" w:color="auto" w:sz="10" w:space="0"/>
              <w:insideV w:val="single" w:sz="10" w:space="0"/>
            </w:tcBorders>
            <w:vAlign w:val="center"/>
          </w:tcPr>
          <w:p w14:paraId="1566A07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502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A84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B20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995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12B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AA123">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1995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C7EA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3B188">
            <w:pPr>
              <w:jc w:val="center"/>
            </w:pPr>
          </w:p>
        </w:tc>
      </w:tr>
      <w:tr w14:paraId="35660D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5FF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04C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A47DE"/>
        </w:tc>
        <w:tc>
          <w:tcPr>
            <w:tcW w:w="744" w:type="dxa"/>
            <w:tcBorders>
              <w:top w:val="single" w:color="auto" w:sz="10" w:space="0"/>
              <w:left w:val="single" w:color="auto" w:sz="10" w:space="0"/>
              <w:bottom w:val="single" w:color="auto" w:sz="10" w:space="0"/>
              <w:right w:val="single" w:color="auto" w:sz="10" w:space="0"/>
              <w:insideV w:val="single" w:sz="10" w:space="0"/>
            </w:tcBorders>
            <w:vAlign w:val="center"/>
          </w:tcPr>
          <w:p w14:paraId="26BC478D">
            <w:pPr>
              <w:jc w:val="center"/>
            </w:pPr>
            <w:r>
              <w:rPr>
                <w:rFonts w:ascii="宋体" w:hAnsi="宋体" w:eastAsia="宋体"/>
                <w:sz w:val="16"/>
              </w:rPr>
              <w:t>档案管理服务质量合格率</w:t>
            </w:r>
          </w:p>
        </w:tc>
        <w:tc>
          <w:tcPr>
            <w:tcW w:w="520" w:type="dxa"/>
            <w:tcBorders>
              <w:top w:val="single" w:color="auto" w:sz="10" w:space="0"/>
              <w:left w:val="single" w:color="auto" w:sz="10" w:space="0"/>
              <w:bottom w:val="single" w:color="auto" w:sz="10" w:space="0"/>
              <w:right w:val="single" w:color="auto" w:sz="10" w:space="0"/>
              <w:insideV w:val="single" w:sz="10" w:space="0"/>
            </w:tcBorders>
            <w:vAlign w:val="center"/>
          </w:tcPr>
          <w:p w14:paraId="7CBEE2D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EAF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E29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BF9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900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7F0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3BA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8D32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B77E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CBA91">
            <w:pPr>
              <w:jc w:val="center"/>
            </w:pPr>
          </w:p>
        </w:tc>
      </w:tr>
      <w:tr w14:paraId="483D0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DCB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610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30373"/>
        </w:tc>
        <w:tc>
          <w:tcPr>
            <w:tcW w:w="744" w:type="dxa"/>
            <w:tcBorders>
              <w:top w:val="single" w:color="auto" w:sz="10" w:space="0"/>
              <w:left w:val="single" w:color="auto" w:sz="10" w:space="0"/>
              <w:bottom w:val="single" w:color="auto" w:sz="10" w:space="0"/>
              <w:right w:val="single" w:color="auto" w:sz="10" w:space="0"/>
              <w:insideV w:val="single" w:sz="10" w:space="0"/>
            </w:tcBorders>
            <w:vAlign w:val="center"/>
          </w:tcPr>
          <w:p w14:paraId="75D31DF6">
            <w:pPr>
              <w:jc w:val="center"/>
            </w:pPr>
            <w:r>
              <w:rPr>
                <w:rFonts w:ascii="宋体" w:hAnsi="宋体" w:eastAsia="宋体"/>
                <w:sz w:val="16"/>
              </w:rPr>
              <w:t>文书送达服务质量合格率</w:t>
            </w:r>
          </w:p>
        </w:tc>
        <w:tc>
          <w:tcPr>
            <w:tcW w:w="520" w:type="dxa"/>
            <w:tcBorders>
              <w:top w:val="single" w:color="auto" w:sz="10" w:space="0"/>
              <w:left w:val="single" w:color="auto" w:sz="10" w:space="0"/>
              <w:bottom w:val="single" w:color="auto" w:sz="10" w:space="0"/>
              <w:right w:val="single" w:color="auto" w:sz="10" w:space="0"/>
              <w:insideV w:val="single" w:sz="10" w:space="0"/>
            </w:tcBorders>
            <w:vAlign w:val="center"/>
          </w:tcPr>
          <w:p w14:paraId="394F40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2FB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E96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83C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297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C39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75872">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903D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93FB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1A2ED">
            <w:pPr>
              <w:jc w:val="center"/>
            </w:pPr>
          </w:p>
        </w:tc>
      </w:tr>
      <w:tr w14:paraId="30B5ED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6ED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56F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2E923"/>
        </w:tc>
        <w:tc>
          <w:tcPr>
            <w:tcW w:w="744" w:type="dxa"/>
            <w:tcBorders>
              <w:top w:val="single" w:color="auto" w:sz="10" w:space="0"/>
              <w:left w:val="single" w:color="auto" w:sz="10" w:space="0"/>
              <w:bottom w:val="single" w:color="auto" w:sz="10" w:space="0"/>
              <w:right w:val="single" w:color="auto" w:sz="10" w:space="0"/>
              <w:insideV w:val="single" w:sz="10" w:space="0"/>
            </w:tcBorders>
            <w:vAlign w:val="center"/>
          </w:tcPr>
          <w:p w14:paraId="7F6246CB">
            <w:pPr>
              <w:jc w:val="center"/>
            </w:pPr>
            <w:r>
              <w:rPr>
                <w:rFonts w:ascii="宋体" w:hAnsi="宋体" w:eastAsia="宋体"/>
                <w:sz w:val="16"/>
              </w:rPr>
              <w:t>文书送达服务质量合格率</w:t>
            </w:r>
          </w:p>
        </w:tc>
        <w:tc>
          <w:tcPr>
            <w:tcW w:w="520" w:type="dxa"/>
            <w:tcBorders>
              <w:top w:val="single" w:color="auto" w:sz="10" w:space="0"/>
              <w:left w:val="single" w:color="auto" w:sz="10" w:space="0"/>
              <w:bottom w:val="single" w:color="auto" w:sz="10" w:space="0"/>
              <w:right w:val="single" w:color="auto" w:sz="10" w:space="0"/>
              <w:insideV w:val="single" w:sz="10" w:space="0"/>
            </w:tcBorders>
            <w:vAlign w:val="center"/>
          </w:tcPr>
          <w:p w14:paraId="54CF4DC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DB4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10B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CE7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1CE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F84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02F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E79C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80CB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46CCE">
            <w:pPr>
              <w:jc w:val="center"/>
            </w:pPr>
          </w:p>
        </w:tc>
      </w:tr>
      <w:tr w14:paraId="3B481B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B10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79C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3B6A5">
            <w:pPr>
              <w:jc w:val="center"/>
            </w:pPr>
            <w:r>
              <w:rPr>
                <w:rFonts w:ascii="宋体" w:hAnsi="宋体" w:eastAsia="宋体"/>
                <w:sz w:val="16"/>
              </w:rPr>
              <w:t>时效指标</w:t>
            </w:r>
          </w:p>
        </w:tc>
        <w:tc>
          <w:tcPr>
            <w:tcW w:w="744" w:type="dxa"/>
            <w:tcBorders>
              <w:top w:val="single" w:color="auto" w:sz="10" w:space="0"/>
              <w:left w:val="single" w:color="auto" w:sz="10" w:space="0"/>
              <w:bottom w:val="single" w:color="auto" w:sz="10" w:space="0"/>
              <w:right w:val="single" w:color="auto" w:sz="10" w:space="0"/>
              <w:insideV w:val="single" w:sz="10" w:space="0"/>
            </w:tcBorders>
            <w:vAlign w:val="center"/>
          </w:tcPr>
          <w:p w14:paraId="595A4DFA">
            <w:pPr>
              <w:jc w:val="center"/>
            </w:pPr>
            <w:r>
              <w:rPr>
                <w:rFonts w:ascii="宋体" w:hAnsi="宋体" w:eastAsia="宋体"/>
                <w:sz w:val="16"/>
              </w:rPr>
              <w:t>档案管理服务资金支付及时率</w:t>
            </w:r>
          </w:p>
        </w:tc>
        <w:tc>
          <w:tcPr>
            <w:tcW w:w="520" w:type="dxa"/>
            <w:tcBorders>
              <w:top w:val="single" w:color="auto" w:sz="10" w:space="0"/>
              <w:left w:val="single" w:color="auto" w:sz="10" w:space="0"/>
              <w:bottom w:val="single" w:color="auto" w:sz="10" w:space="0"/>
              <w:right w:val="single" w:color="auto" w:sz="10" w:space="0"/>
              <w:insideV w:val="single" w:sz="10" w:space="0"/>
            </w:tcBorders>
            <w:vAlign w:val="center"/>
          </w:tcPr>
          <w:p w14:paraId="48FF87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AEB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91F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545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23F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CFC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271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5BA5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E5A2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A7EEF">
            <w:pPr>
              <w:jc w:val="center"/>
            </w:pPr>
          </w:p>
        </w:tc>
      </w:tr>
      <w:tr w14:paraId="77C69D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299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04D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234FC"/>
        </w:tc>
        <w:tc>
          <w:tcPr>
            <w:tcW w:w="744" w:type="dxa"/>
            <w:tcBorders>
              <w:top w:val="single" w:color="auto" w:sz="10" w:space="0"/>
              <w:left w:val="single" w:color="auto" w:sz="10" w:space="0"/>
              <w:bottom w:val="single" w:color="auto" w:sz="10" w:space="0"/>
              <w:right w:val="single" w:color="auto" w:sz="10" w:space="0"/>
              <w:insideV w:val="single" w:sz="10" w:space="0"/>
            </w:tcBorders>
            <w:vAlign w:val="center"/>
          </w:tcPr>
          <w:p w14:paraId="60E6A920">
            <w:pPr>
              <w:jc w:val="center"/>
            </w:pPr>
            <w:r>
              <w:rPr>
                <w:rFonts w:ascii="宋体" w:hAnsi="宋体" w:eastAsia="宋体"/>
                <w:sz w:val="16"/>
              </w:rPr>
              <w:t>档案管理服务资金支付及时率</w:t>
            </w:r>
          </w:p>
        </w:tc>
        <w:tc>
          <w:tcPr>
            <w:tcW w:w="520" w:type="dxa"/>
            <w:tcBorders>
              <w:top w:val="single" w:color="auto" w:sz="10" w:space="0"/>
              <w:left w:val="single" w:color="auto" w:sz="10" w:space="0"/>
              <w:bottom w:val="single" w:color="auto" w:sz="10" w:space="0"/>
              <w:right w:val="single" w:color="auto" w:sz="10" w:space="0"/>
              <w:insideV w:val="single" w:sz="10" w:space="0"/>
            </w:tcBorders>
            <w:vAlign w:val="center"/>
          </w:tcPr>
          <w:p w14:paraId="7AE02F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6D2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1B9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C84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77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6CF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8CD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DC33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8AA9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E3EE4">
            <w:pPr>
              <w:jc w:val="center"/>
            </w:pPr>
          </w:p>
        </w:tc>
      </w:tr>
      <w:tr w14:paraId="5E1A24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0FB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46F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C1E38"/>
        </w:tc>
        <w:tc>
          <w:tcPr>
            <w:tcW w:w="744" w:type="dxa"/>
            <w:tcBorders>
              <w:top w:val="single" w:color="auto" w:sz="10" w:space="0"/>
              <w:left w:val="single" w:color="auto" w:sz="10" w:space="0"/>
              <w:bottom w:val="single" w:color="auto" w:sz="10" w:space="0"/>
              <w:right w:val="single" w:color="auto" w:sz="10" w:space="0"/>
              <w:insideV w:val="single" w:sz="10" w:space="0"/>
            </w:tcBorders>
            <w:vAlign w:val="center"/>
          </w:tcPr>
          <w:p w14:paraId="435AD76F">
            <w:pPr>
              <w:jc w:val="center"/>
            </w:pPr>
            <w:r>
              <w:rPr>
                <w:rFonts w:ascii="宋体" w:hAnsi="宋体" w:eastAsia="宋体"/>
                <w:sz w:val="16"/>
              </w:rPr>
              <w:t>文书送达服务资金支付及时率</w:t>
            </w:r>
          </w:p>
        </w:tc>
        <w:tc>
          <w:tcPr>
            <w:tcW w:w="520" w:type="dxa"/>
            <w:tcBorders>
              <w:top w:val="single" w:color="auto" w:sz="10" w:space="0"/>
              <w:left w:val="single" w:color="auto" w:sz="10" w:space="0"/>
              <w:bottom w:val="single" w:color="auto" w:sz="10" w:space="0"/>
              <w:right w:val="single" w:color="auto" w:sz="10" w:space="0"/>
              <w:insideV w:val="single" w:sz="10" w:space="0"/>
            </w:tcBorders>
            <w:vAlign w:val="center"/>
          </w:tcPr>
          <w:p w14:paraId="2C7518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C42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7EE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DBB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42F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2A2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0C2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56C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409D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E9994">
            <w:pPr>
              <w:jc w:val="center"/>
            </w:pPr>
          </w:p>
        </w:tc>
      </w:tr>
      <w:tr w14:paraId="61DAB0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9C3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229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CA76F"/>
        </w:tc>
        <w:tc>
          <w:tcPr>
            <w:tcW w:w="744" w:type="dxa"/>
            <w:tcBorders>
              <w:top w:val="single" w:color="auto" w:sz="10" w:space="0"/>
              <w:left w:val="single" w:color="auto" w:sz="10" w:space="0"/>
              <w:bottom w:val="single" w:color="auto" w:sz="10" w:space="0"/>
              <w:right w:val="single" w:color="auto" w:sz="10" w:space="0"/>
              <w:insideV w:val="single" w:sz="10" w:space="0"/>
            </w:tcBorders>
            <w:vAlign w:val="center"/>
          </w:tcPr>
          <w:p w14:paraId="351D6430">
            <w:pPr>
              <w:jc w:val="center"/>
            </w:pPr>
            <w:r>
              <w:rPr>
                <w:rFonts w:ascii="宋体" w:hAnsi="宋体" w:eastAsia="宋体"/>
                <w:sz w:val="16"/>
              </w:rPr>
              <w:t>文书送达服务资金支付及时率</w:t>
            </w:r>
          </w:p>
        </w:tc>
        <w:tc>
          <w:tcPr>
            <w:tcW w:w="520" w:type="dxa"/>
            <w:tcBorders>
              <w:top w:val="single" w:color="auto" w:sz="10" w:space="0"/>
              <w:left w:val="single" w:color="auto" w:sz="10" w:space="0"/>
              <w:bottom w:val="single" w:color="auto" w:sz="10" w:space="0"/>
              <w:right w:val="single" w:color="auto" w:sz="10" w:space="0"/>
              <w:insideV w:val="single" w:sz="10" w:space="0"/>
            </w:tcBorders>
            <w:vAlign w:val="center"/>
          </w:tcPr>
          <w:p w14:paraId="5886C4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DD1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32D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FD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FF3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3AE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5FD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6AA1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1711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819CE">
            <w:pPr>
              <w:jc w:val="center"/>
            </w:pPr>
          </w:p>
        </w:tc>
      </w:tr>
      <w:tr w14:paraId="48C6F5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7E3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CABF6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228257">
            <w:pPr>
              <w:jc w:val="center"/>
            </w:pPr>
            <w:r>
              <w:rPr>
                <w:rFonts w:ascii="宋体" w:hAnsi="宋体" w:eastAsia="宋体"/>
                <w:sz w:val="16"/>
              </w:rPr>
              <w:t>经济成本指标</w:t>
            </w:r>
          </w:p>
        </w:tc>
        <w:tc>
          <w:tcPr>
            <w:tcW w:w="744" w:type="dxa"/>
            <w:tcBorders>
              <w:top w:val="single" w:color="auto" w:sz="10" w:space="0"/>
              <w:left w:val="single" w:color="auto" w:sz="10" w:space="0"/>
              <w:bottom w:val="single" w:color="auto" w:sz="10" w:space="0"/>
              <w:right w:val="single" w:color="auto" w:sz="10" w:space="0"/>
              <w:insideV w:val="single" w:sz="10" w:space="0"/>
            </w:tcBorders>
            <w:vAlign w:val="center"/>
          </w:tcPr>
          <w:p w14:paraId="2F428A62">
            <w:pPr>
              <w:jc w:val="center"/>
            </w:pPr>
            <w:r>
              <w:rPr>
                <w:rFonts w:ascii="宋体" w:hAnsi="宋体" w:eastAsia="宋体"/>
                <w:sz w:val="16"/>
              </w:rPr>
              <w:t>档案管理服务投入成本</w:t>
            </w:r>
          </w:p>
        </w:tc>
        <w:tc>
          <w:tcPr>
            <w:tcW w:w="520" w:type="dxa"/>
            <w:tcBorders>
              <w:top w:val="single" w:color="auto" w:sz="10" w:space="0"/>
              <w:left w:val="single" w:color="auto" w:sz="10" w:space="0"/>
              <w:bottom w:val="single" w:color="auto" w:sz="10" w:space="0"/>
              <w:right w:val="single" w:color="auto" w:sz="10" w:space="0"/>
              <w:insideV w:val="single" w:sz="10" w:space="0"/>
            </w:tcBorders>
            <w:vAlign w:val="center"/>
          </w:tcPr>
          <w:p w14:paraId="59FD5DCD">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A47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102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C1C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D2B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485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DE8A4">
            <w:pPr>
              <w:jc w:val="center"/>
            </w:pPr>
            <w:r>
              <w:rPr>
                <w:rFonts w:ascii="宋体" w:hAnsi="宋体" w:eastAsia="宋体"/>
                <w:sz w:val="16"/>
              </w:rPr>
              <w: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4028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4856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DD17E">
            <w:pPr>
              <w:jc w:val="center"/>
            </w:pPr>
          </w:p>
        </w:tc>
      </w:tr>
      <w:tr w14:paraId="2E98A9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301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1AB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E7EBD"/>
        </w:tc>
        <w:tc>
          <w:tcPr>
            <w:tcW w:w="744" w:type="dxa"/>
            <w:tcBorders>
              <w:top w:val="single" w:color="auto" w:sz="10" w:space="0"/>
              <w:left w:val="single" w:color="auto" w:sz="10" w:space="0"/>
              <w:bottom w:val="single" w:color="auto" w:sz="10" w:space="0"/>
              <w:right w:val="single" w:color="auto" w:sz="10" w:space="0"/>
              <w:insideV w:val="single" w:sz="10" w:space="0"/>
            </w:tcBorders>
            <w:vAlign w:val="center"/>
          </w:tcPr>
          <w:p w14:paraId="7965495F">
            <w:pPr>
              <w:jc w:val="center"/>
            </w:pPr>
            <w:r>
              <w:rPr>
                <w:rFonts w:ascii="宋体" w:hAnsi="宋体" w:eastAsia="宋体"/>
                <w:sz w:val="16"/>
              </w:rPr>
              <w:t>档案管理服务投入成本</w:t>
            </w:r>
          </w:p>
        </w:tc>
        <w:tc>
          <w:tcPr>
            <w:tcW w:w="520" w:type="dxa"/>
            <w:tcBorders>
              <w:top w:val="single" w:color="auto" w:sz="10" w:space="0"/>
              <w:left w:val="single" w:color="auto" w:sz="10" w:space="0"/>
              <w:bottom w:val="single" w:color="auto" w:sz="10" w:space="0"/>
              <w:right w:val="single" w:color="auto" w:sz="10" w:space="0"/>
              <w:insideV w:val="single" w:sz="10" w:space="0"/>
            </w:tcBorders>
            <w:vAlign w:val="center"/>
          </w:tcPr>
          <w:p w14:paraId="65F78DC7">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260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198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F7C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9A4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17B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EE9DC">
            <w:pPr>
              <w:jc w:val="center"/>
            </w:pPr>
            <w:r>
              <w:rPr>
                <w:rFonts w:ascii="宋体" w:hAnsi="宋体" w:eastAsia="宋体"/>
                <w:sz w:val="16"/>
              </w:rPr>
              <w: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1F79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8693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41159">
            <w:pPr>
              <w:jc w:val="center"/>
            </w:pPr>
          </w:p>
        </w:tc>
      </w:tr>
      <w:tr w14:paraId="3972A8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2CF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75D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FBBA9"/>
        </w:tc>
        <w:tc>
          <w:tcPr>
            <w:tcW w:w="744" w:type="dxa"/>
            <w:tcBorders>
              <w:top w:val="single" w:color="auto" w:sz="10" w:space="0"/>
              <w:left w:val="single" w:color="auto" w:sz="10" w:space="0"/>
              <w:bottom w:val="single" w:color="auto" w:sz="10" w:space="0"/>
              <w:right w:val="single" w:color="auto" w:sz="10" w:space="0"/>
              <w:insideV w:val="single" w:sz="10" w:space="0"/>
            </w:tcBorders>
            <w:vAlign w:val="center"/>
          </w:tcPr>
          <w:p w14:paraId="7F92CA6C">
            <w:pPr>
              <w:jc w:val="center"/>
            </w:pPr>
            <w:r>
              <w:rPr>
                <w:rFonts w:ascii="宋体" w:hAnsi="宋体" w:eastAsia="宋体"/>
                <w:sz w:val="16"/>
              </w:rPr>
              <w:t>文书送达服务投入成本</w:t>
            </w:r>
          </w:p>
        </w:tc>
        <w:tc>
          <w:tcPr>
            <w:tcW w:w="520" w:type="dxa"/>
            <w:tcBorders>
              <w:top w:val="single" w:color="auto" w:sz="10" w:space="0"/>
              <w:left w:val="single" w:color="auto" w:sz="10" w:space="0"/>
              <w:bottom w:val="single" w:color="auto" w:sz="10" w:space="0"/>
              <w:right w:val="single" w:color="auto" w:sz="10" w:space="0"/>
              <w:insideV w:val="single" w:sz="10" w:space="0"/>
            </w:tcBorders>
            <w:vAlign w:val="center"/>
          </w:tcPr>
          <w:p w14:paraId="150BA605">
            <w:pPr>
              <w:jc w:val="center"/>
            </w:pPr>
            <w:r>
              <w:rPr>
                <w:rFonts w:ascii="宋体" w:hAnsi="宋体" w:eastAsia="宋体"/>
                <w:sz w:val="16"/>
              </w:rPr>
              <w:t>&lt;=70万元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273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A7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698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C66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7F5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2EA4C">
            <w:pPr>
              <w:jc w:val="center"/>
            </w:pPr>
            <w:r>
              <w:rPr>
                <w:rFonts w:ascii="宋体" w:hAnsi="宋体" w:eastAsia="宋体"/>
                <w:sz w:val="16"/>
              </w:rPr>
              <w: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F36F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5B3A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EF76B">
            <w:pPr>
              <w:jc w:val="center"/>
            </w:pPr>
          </w:p>
        </w:tc>
      </w:tr>
      <w:tr w14:paraId="4468FD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4A9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4EB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E5A45"/>
        </w:tc>
        <w:tc>
          <w:tcPr>
            <w:tcW w:w="744" w:type="dxa"/>
            <w:tcBorders>
              <w:top w:val="single" w:color="auto" w:sz="10" w:space="0"/>
              <w:left w:val="single" w:color="auto" w:sz="10" w:space="0"/>
              <w:bottom w:val="single" w:color="auto" w:sz="10" w:space="0"/>
              <w:right w:val="single" w:color="auto" w:sz="10" w:space="0"/>
              <w:insideV w:val="single" w:sz="10" w:space="0"/>
            </w:tcBorders>
            <w:vAlign w:val="center"/>
          </w:tcPr>
          <w:p w14:paraId="0212249F">
            <w:pPr>
              <w:jc w:val="center"/>
            </w:pPr>
            <w:r>
              <w:rPr>
                <w:rFonts w:ascii="宋体" w:hAnsi="宋体" w:eastAsia="宋体"/>
                <w:sz w:val="16"/>
              </w:rPr>
              <w:t>文书送达服务投入成本</w:t>
            </w:r>
          </w:p>
        </w:tc>
        <w:tc>
          <w:tcPr>
            <w:tcW w:w="520" w:type="dxa"/>
            <w:tcBorders>
              <w:top w:val="single" w:color="auto" w:sz="10" w:space="0"/>
              <w:left w:val="single" w:color="auto" w:sz="10" w:space="0"/>
              <w:bottom w:val="single" w:color="auto" w:sz="10" w:space="0"/>
              <w:right w:val="single" w:color="auto" w:sz="10" w:space="0"/>
              <w:insideV w:val="single" w:sz="10" w:space="0"/>
            </w:tcBorders>
            <w:vAlign w:val="center"/>
          </w:tcPr>
          <w:p w14:paraId="2FCAA95D">
            <w:pPr>
              <w:jc w:val="center"/>
            </w:pPr>
            <w:r>
              <w:rPr>
                <w:rFonts w:ascii="宋体" w:hAnsi="宋体" w:eastAsia="宋体"/>
                <w:sz w:val="16"/>
              </w:rPr>
              <w:t>&lt;=70万元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0FC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02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12E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963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EE8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2DF62">
            <w:pPr>
              <w:jc w:val="center"/>
            </w:pPr>
            <w:r>
              <w:rPr>
                <w:rFonts w:ascii="宋体" w:hAnsi="宋体" w:eastAsia="宋体"/>
                <w:sz w:val="16"/>
              </w:rPr>
              <w: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CF9B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4B2D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41BD6">
            <w:pPr>
              <w:jc w:val="center"/>
            </w:pPr>
          </w:p>
        </w:tc>
      </w:tr>
      <w:tr w14:paraId="464948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62C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359D5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F4BF9">
            <w:pPr>
              <w:jc w:val="center"/>
            </w:pPr>
            <w:r>
              <w:rPr>
                <w:rFonts w:ascii="宋体" w:hAnsi="宋体" w:eastAsia="宋体"/>
                <w:sz w:val="16"/>
              </w:rPr>
              <w:t>社会效益指标</w:t>
            </w:r>
          </w:p>
        </w:tc>
        <w:tc>
          <w:tcPr>
            <w:tcW w:w="744" w:type="dxa"/>
            <w:tcBorders>
              <w:top w:val="single" w:color="auto" w:sz="10" w:space="0"/>
              <w:left w:val="single" w:color="auto" w:sz="10" w:space="0"/>
              <w:bottom w:val="single" w:color="auto" w:sz="10" w:space="0"/>
              <w:right w:val="single" w:color="auto" w:sz="10" w:space="0"/>
              <w:insideV w:val="single" w:sz="10" w:space="0"/>
            </w:tcBorders>
            <w:vAlign w:val="center"/>
          </w:tcPr>
          <w:p w14:paraId="19B9182F">
            <w:pPr>
              <w:jc w:val="center"/>
            </w:pPr>
            <w:r>
              <w:rPr>
                <w:rFonts w:ascii="宋体" w:hAnsi="宋体" w:eastAsia="宋体"/>
                <w:sz w:val="16"/>
              </w:rPr>
              <w:t>提高法院工作的社会影响力</w:t>
            </w:r>
          </w:p>
        </w:tc>
        <w:tc>
          <w:tcPr>
            <w:tcW w:w="520" w:type="dxa"/>
            <w:tcBorders>
              <w:top w:val="single" w:color="auto" w:sz="10" w:space="0"/>
              <w:left w:val="single" w:color="auto" w:sz="10" w:space="0"/>
              <w:bottom w:val="single" w:color="auto" w:sz="10" w:space="0"/>
              <w:right w:val="single" w:color="auto" w:sz="10" w:space="0"/>
              <w:insideV w:val="single" w:sz="10" w:space="0"/>
            </w:tcBorders>
            <w:vAlign w:val="center"/>
          </w:tcPr>
          <w:p w14:paraId="5BB02459">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B9D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FBB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08E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ED0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015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2A22F">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2630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19F73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27654">
            <w:pPr>
              <w:jc w:val="center"/>
            </w:pPr>
          </w:p>
        </w:tc>
      </w:tr>
      <w:tr w14:paraId="60AFFB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05E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50C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9EC76"/>
        </w:tc>
        <w:tc>
          <w:tcPr>
            <w:tcW w:w="744" w:type="dxa"/>
            <w:tcBorders>
              <w:top w:val="single" w:color="auto" w:sz="10" w:space="0"/>
              <w:left w:val="single" w:color="auto" w:sz="10" w:space="0"/>
              <w:bottom w:val="single" w:color="auto" w:sz="10" w:space="0"/>
              <w:right w:val="single" w:color="auto" w:sz="10" w:space="0"/>
              <w:insideV w:val="single" w:sz="10" w:space="0"/>
            </w:tcBorders>
            <w:vAlign w:val="center"/>
          </w:tcPr>
          <w:p w14:paraId="694D0CED">
            <w:pPr>
              <w:jc w:val="center"/>
            </w:pPr>
            <w:r>
              <w:rPr>
                <w:rFonts w:ascii="宋体" w:hAnsi="宋体" w:eastAsia="宋体"/>
                <w:sz w:val="16"/>
              </w:rPr>
              <w:t>提高法院工作的社会影响力</w:t>
            </w:r>
          </w:p>
        </w:tc>
        <w:tc>
          <w:tcPr>
            <w:tcW w:w="520" w:type="dxa"/>
            <w:tcBorders>
              <w:top w:val="single" w:color="auto" w:sz="10" w:space="0"/>
              <w:left w:val="single" w:color="auto" w:sz="10" w:space="0"/>
              <w:bottom w:val="single" w:color="auto" w:sz="10" w:space="0"/>
              <w:right w:val="single" w:color="auto" w:sz="10" w:space="0"/>
              <w:insideV w:val="single" w:sz="10" w:space="0"/>
            </w:tcBorders>
            <w:vAlign w:val="center"/>
          </w:tcPr>
          <w:p w14:paraId="11D80AE2">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E61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485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3BE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E6D2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C65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ACB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99DF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A6E0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68670">
            <w:pPr>
              <w:jc w:val="center"/>
            </w:pPr>
          </w:p>
        </w:tc>
      </w:tr>
      <w:tr w14:paraId="40AF10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CD5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F8C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691BF"/>
        </w:tc>
        <w:tc>
          <w:tcPr>
            <w:tcW w:w="744" w:type="dxa"/>
            <w:tcBorders>
              <w:top w:val="single" w:color="auto" w:sz="10" w:space="0"/>
              <w:left w:val="single" w:color="auto" w:sz="10" w:space="0"/>
              <w:bottom w:val="single" w:color="auto" w:sz="10" w:space="0"/>
              <w:right w:val="single" w:color="auto" w:sz="10" w:space="0"/>
              <w:insideV w:val="single" w:sz="10" w:space="0"/>
            </w:tcBorders>
            <w:vAlign w:val="center"/>
          </w:tcPr>
          <w:p w14:paraId="43C2E80B">
            <w:pPr>
              <w:jc w:val="center"/>
            </w:pPr>
            <w:r>
              <w:rPr>
                <w:rFonts w:ascii="宋体" w:hAnsi="宋体" w:eastAsia="宋体"/>
                <w:sz w:val="16"/>
              </w:rPr>
              <w:t>依法推进法院各项工作</w:t>
            </w:r>
          </w:p>
        </w:tc>
        <w:tc>
          <w:tcPr>
            <w:tcW w:w="520" w:type="dxa"/>
            <w:tcBorders>
              <w:top w:val="single" w:color="auto" w:sz="10" w:space="0"/>
              <w:left w:val="single" w:color="auto" w:sz="10" w:space="0"/>
              <w:bottom w:val="single" w:color="auto" w:sz="10" w:space="0"/>
              <w:right w:val="single" w:color="auto" w:sz="10" w:space="0"/>
              <w:insideV w:val="single" w:sz="10" w:space="0"/>
            </w:tcBorders>
            <w:vAlign w:val="center"/>
          </w:tcPr>
          <w:p w14:paraId="3441491A">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DA0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6A4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1B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E53D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77C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E4DF1">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AC08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390F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8C870">
            <w:pPr>
              <w:jc w:val="center"/>
            </w:pPr>
          </w:p>
        </w:tc>
      </w:tr>
      <w:tr w14:paraId="10644E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96C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F66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1E80D"/>
        </w:tc>
        <w:tc>
          <w:tcPr>
            <w:tcW w:w="744" w:type="dxa"/>
            <w:tcBorders>
              <w:top w:val="single" w:color="auto" w:sz="10" w:space="0"/>
              <w:left w:val="single" w:color="auto" w:sz="10" w:space="0"/>
              <w:bottom w:val="single" w:color="auto" w:sz="10" w:space="0"/>
              <w:right w:val="single" w:color="auto" w:sz="10" w:space="0"/>
              <w:insideV w:val="single" w:sz="10" w:space="0"/>
            </w:tcBorders>
            <w:vAlign w:val="center"/>
          </w:tcPr>
          <w:p w14:paraId="38BFDBDB">
            <w:pPr>
              <w:jc w:val="center"/>
            </w:pPr>
            <w:r>
              <w:rPr>
                <w:rFonts w:ascii="宋体" w:hAnsi="宋体" w:eastAsia="宋体"/>
                <w:sz w:val="16"/>
              </w:rPr>
              <w:t>依法推进法院各项工作</w:t>
            </w:r>
          </w:p>
        </w:tc>
        <w:tc>
          <w:tcPr>
            <w:tcW w:w="520" w:type="dxa"/>
            <w:tcBorders>
              <w:top w:val="single" w:color="auto" w:sz="10" w:space="0"/>
              <w:left w:val="single" w:color="auto" w:sz="10" w:space="0"/>
              <w:bottom w:val="single" w:color="auto" w:sz="10" w:space="0"/>
              <w:right w:val="single" w:color="auto" w:sz="10" w:space="0"/>
              <w:insideV w:val="single" w:sz="10" w:space="0"/>
            </w:tcBorders>
            <w:vAlign w:val="center"/>
          </w:tcPr>
          <w:p w14:paraId="5605F9FD">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6FF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C4A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44C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D4A6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B59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2780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B243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0BAD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0FB26">
            <w:pPr>
              <w:jc w:val="center"/>
            </w:pPr>
          </w:p>
        </w:tc>
      </w:tr>
      <w:tr w14:paraId="5243A5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BBB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402F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600B0C">
            <w:pPr>
              <w:jc w:val="center"/>
            </w:pPr>
            <w:r>
              <w:rPr>
                <w:rFonts w:ascii="宋体" w:hAnsi="宋体" w:eastAsia="宋体"/>
                <w:sz w:val="16"/>
              </w:rPr>
              <w:t>满意度指标</w:t>
            </w:r>
          </w:p>
        </w:tc>
        <w:tc>
          <w:tcPr>
            <w:tcW w:w="744" w:type="dxa"/>
            <w:tcBorders>
              <w:top w:val="single" w:color="auto" w:sz="10" w:space="0"/>
              <w:left w:val="single" w:color="auto" w:sz="10" w:space="0"/>
              <w:bottom w:val="single" w:color="auto" w:sz="10" w:space="0"/>
              <w:right w:val="single" w:color="auto" w:sz="10" w:space="0"/>
              <w:insideV w:val="single" w:sz="10" w:space="0"/>
            </w:tcBorders>
            <w:vAlign w:val="center"/>
          </w:tcPr>
          <w:p w14:paraId="5DD577B8">
            <w:pPr>
              <w:jc w:val="center"/>
            </w:pPr>
            <w:r>
              <w:rPr>
                <w:rFonts w:ascii="宋体" w:hAnsi="宋体" w:eastAsia="宋体"/>
                <w:sz w:val="16"/>
              </w:rPr>
              <w:t>案件当事人满意度</w:t>
            </w:r>
          </w:p>
        </w:tc>
        <w:tc>
          <w:tcPr>
            <w:tcW w:w="520" w:type="dxa"/>
            <w:tcBorders>
              <w:top w:val="single" w:color="auto" w:sz="10" w:space="0"/>
              <w:left w:val="single" w:color="auto" w:sz="10" w:space="0"/>
              <w:bottom w:val="single" w:color="auto" w:sz="10" w:space="0"/>
              <w:right w:val="single" w:color="auto" w:sz="10" w:space="0"/>
              <w:insideV w:val="single" w:sz="10" w:space="0"/>
            </w:tcBorders>
            <w:vAlign w:val="center"/>
          </w:tcPr>
          <w:p w14:paraId="2B3CE30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C38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BAA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B95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3A1F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EA1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D87EE">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6AA0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675D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FDB61">
            <w:pPr>
              <w:jc w:val="center"/>
            </w:pPr>
          </w:p>
        </w:tc>
      </w:tr>
      <w:tr w14:paraId="382EBD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9CE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028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94454"/>
        </w:tc>
        <w:tc>
          <w:tcPr>
            <w:tcW w:w="744" w:type="dxa"/>
            <w:tcBorders>
              <w:top w:val="single" w:color="auto" w:sz="10" w:space="0"/>
              <w:left w:val="single" w:color="auto" w:sz="10" w:space="0"/>
              <w:bottom w:val="single" w:color="auto" w:sz="10" w:space="0"/>
              <w:right w:val="single" w:color="auto" w:sz="10" w:space="0"/>
              <w:insideV w:val="single" w:sz="10" w:space="0"/>
            </w:tcBorders>
            <w:vAlign w:val="center"/>
          </w:tcPr>
          <w:p w14:paraId="37E0C11E">
            <w:pPr>
              <w:jc w:val="center"/>
            </w:pPr>
            <w:r>
              <w:rPr>
                <w:rFonts w:ascii="宋体" w:hAnsi="宋体" w:eastAsia="宋体"/>
                <w:sz w:val="16"/>
              </w:rPr>
              <w:t>案件当事人满意度</w:t>
            </w:r>
          </w:p>
        </w:tc>
        <w:tc>
          <w:tcPr>
            <w:tcW w:w="520" w:type="dxa"/>
            <w:tcBorders>
              <w:top w:val="single" w:color="auto" w:sz="10" w:space="0"/>
              <w:left w:val="single" w:color="auto" w:sz="10" w:space="0"/>
              <w:bottom w:val="single" w:color="auto" w:sz="10" w:space="0"/>
              <w:right w:val="single" w:color="auto" w:sz="10" w:space="0"/>
              <w:insideV w:val="single" w:sz="10" w:space="0"/>
            </w:tcBorders>
            <w:vAlign w:val="center"/>
          </w:tcPr>
          <w:p w14:paraId="2EB8BC9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482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E1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3D0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659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D1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72E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C6A0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380B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8C404">
            <w:pPr>
              <w:jc w:val="center"/>
            </w:pPr>
          </w:p>
        </w:tc>
      </w:tr>
      <w:tr w14:paraId="00B1675D">
        <w:tblPrEx>
          <w:tblCellMar>
            <w:top w:w="0" w:type="dxa"/>
            <w:left w:w="108" w:type="dxa"/>
            <w:bottom w:w="0" w:type="dxa"/>
            <w:right w:w="108" w:type="dxa"/>
          </w:tblCellMar>
        </w:tblPrEx>
        <w:tc>
          <w:tcPr>
            <w:tcW w:w="264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A6125D">
            <w:pPr>
              <w:jc w:val="center"/>
            </w:pPr>
            <w:r>
              <w:rPr>
                <w:rFonts w:ascii="宋体" w:hAnsi="宋体" w:eastAsia="宋体"/>
                <w:sz w:val="16"/>
              </w:rPr>
              <w:t>总分</w:t>
            </w:r>
          </w:p>
        </w:tc>
        <w:tc>
          <w:tcPr>
            <w:tcW w:w="520" w:type="dxa"/>
            <w:tcBorders>
              <w:top w:val="single" w:color="auto" w:sz="10" w:space="0"/>
              <w:left w:val="single" w:color="auto" w:sz="10" w:space="0"/>
              <w:bottom w:val="single" w:color="auto" w:sz="10" w:space="0"/>
              <w:right w:val="single" w:color="auto" w:sz="10" w:space="0"/>
              <w:insideV w:val="single" w:sz="10" w:space="0"/>
            </w:tcBorders>
          </w:tcPr>
          <w:p w14:paraId="1E5388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507E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556A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69B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ED18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37FB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0397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E0FFE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98035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36711A"/>
        </w:tc>
      </w:tr>
    </w:tbl>
    <w:p w14:paraId="2D1B25A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19BFBAF3">
        <w:tblPrEx>
          <w:tblCellMar>
            <w:top w:w="0" w:type="dxa"/>
            <w:left w:w="108" w:type="dxa"/>
            <w:bottom w:w="0" w:type="dxa"/>
            <w:right w:w="108" w:type="dxa"/>
          </w:tblCellMar>
        </w:tblPrEx>
        <w:tc>
          <w:tcPr>
            <w:tcW w:w="8848" w:type="dxa"/>
            <w:gridSpan w:val="14"/>
            <w:vAlign w:val="center"/>
          </w:tcPr>
          <w:p w14:paraId="6D92EF34">
            <w:pPr>
              <w:jc w:val="center"/>
            </w:pPr>
            <w:r>
              <w:rPr>
                <w:rFonts w:ascii="宋体" w:hAnsi="宋体" w:eastAsia="宋体"/>
                <w:sz w:val="24"/>
              </w:rPr>
              <w:t>项目支出绩效自评表</w:t>
            </w:r>
          </w:p>
        </w:tc>
      </w:tr>
      <w:tr w14:paraId="78A85D19">
        <w:tblPrEx>
          <w:tblCellMar>
            <w:top w:w="0" w:type="dxa"/>
            <w:left w:w="108" w:type="dxa"/>
            <w:bottom w:w="0" w:type="dxa"/>
            <w:right w:w="108" w:type="dxa"/>
          </w:tblCellMar>
        </w:tblPrEx>
        <w:tc>
          <w:tcPr>
            <w:tcW w:w="8848" w:type="dxa"/>
            <w:gridSpan w:val="14"/>
            <w:vAlign w:val="center"/>
          </w:tcPr>
          <w:p w14:paraId="2F510561">
            <w:pPr>
              <w:jc w:val="center"/>
            </w:pPr>
            <w:r>
              <w:rPr>
                <w:rFonts w:ascii="宋体" w:hAnsi="宋体" w:eastAsia="宋体"/>
                <w:sz w:val="24"/>
              </w:rPr>
              <w:t>(2024年度)</w:t>
            </w:r>
          </w:p>
        </w:tc>
      </w:tr>
      <w:tr w14:paraId="4E8158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3FED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FA559D">
            <w:pPr>
              <w:jc w:val="center"/>
            </w:pPr>
            <w:r>
              <w:rPr>
                <w:rFonts w:ascii="宋体" w:hAnsi="宋体" w:eastAsia="宋体"/>
                <w:sz w:val="16"/>
              </w:rPr>
              <w:t>库尔勒市人民法院2024年</w:t>
            </w:r>
            <w:r>
              <w:rPr>
                <w:rFonts w:hint="eastAsia" w:ascii="宋体" w:hAnsi="宋体"/>
                <w:sz w:val="16"/>
                <w:lang w:eastAsia="zh-CN"/>
              </w:rPr>
              <w:t>为民办实事</w:t>
            </w:r>
            <w:r>
              <w:rPr>
                <w:rFonts w:ascii="宋体" w:hAnsi="宋体" w:eastAsia="宋体"/>
                <w:sz w:val="16"/>
              </w:rPr>
              <w:t>工作队经费</w:t>
            </w:r>
          </w:p>
        </w:tc>
      </w:tr>
      <w:tr w14:paraId="5AAAF6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BDB9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5FE3D6">
            <w:pPr>
              <w:jc w:val="center"/>
            </w:pPr>
            <w:r>
              <w:rPr>
                <w:rFonts w:ascii="宋体" w:hAnsi="宋体" w:eastAsia="宋体"/>
                <w:sz w:val="16"/>
              </w:rPr>
              <w:t>新疆巴州库尔勒市人民法院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BCA4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710771">
            <w:pPr>
              <w:jc w:val="center"/>
            </w:pPr>
            <w:r>
              <w:rPr>
                <w:rFonts w:ascii="宋体" w:hAnsi="宋体" w:eastAsia="宋体"/>
                <w:sz w:val="16"/>
              </w:rPr>
              <w:t>新疆巴州库尔勒市人民法院</w:t>
            </w:r>
          </w:p>
        </w:tc>
      </w:tr>
      <w:tr w14:paraId="17B750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8749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379F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3E27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88F8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25AA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5277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93B2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51EA">
            <w:pPr>
              <w:jc w:val="center"/>
            </w:pPr>
            <w:r>
              <w:rPr>
                <w:rFonts w:ascii="宋体" w:hAnsi="宋体" w:eastAsia="宋体"/>
                <w:sz w:val="16"/>
              </w:rPr>
              <w:t>得分</w:t>
            </w:r>
          </w:p>
        </w:tc>
      </w:tr>
      <w:tr w14:paraId="2A935F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060F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7226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E112E">
            <w:pPr>
              <w:jc w:val="center"/>
            </w:pPr>
            <w:r>
              <w:rPr>
                <w:rFonts w:ascii="宋体" w:hAnsi="宋体" w:eastAsia="宋体"/>
                <w:sz w:val="16"/>
              </w:rPr>
              <w:t>47.00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41D87">
            <w:pPr>
              <w:jc w:val="center"/>
            </w:pPr>
            <w:r>
              <w:rPr>
                <w:rFonts w:ascii="宋体" w:hAnsi="宋体" w:eastAsia="宋体"/>
                <w:sz w:val="16"/>
              </w:rPr>
              <w:t>47.00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877AD">
            <w:pPr>
              <w:jc w:val="center"/>
            </w:pPr>
            <w:r>
              <w:rPr>
                <w:rFonts w:ascii="宋体" w:hAnsi="宋体" w:eastAsia="宋体"/>
                <w:sz w:val="16"/>
              </w:rPr>
              <w:t>47.00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524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0F8E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4405F">
            <w:pPr>
              <w:jc w:val="center"/>
            </w:pPr>
            <w:r>
              <w:rPr>
                <w:rFonts w:ascii="宋体" w:hAnsi="宋体" w:eastAsia="宋体"/>
                <w:sz w:val="16"/>
              </w:rPr>
              <w:t>10.00</w:t>
            </w:r>
          </w:p>
        </w:tc>
      </w:tr>
      <w:tr w14:paraId="036A3A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512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729C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D44E2">
            <w:pPr>
              <w:jc w:val="center"/>
            </w:pPr>
            <w:r>
              <w:rPr>
                <w:rFonts w:ascii="宋体" w:hAnsi="宋体" w:eastAsia="宋体"/>
                <w:sz w:val="16"/>
              </w:rPr>
              <w:t>47.00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F4679">
            <w:pPr>
              <w:jc w:val="center"/>
            </w:pPr>
            <w:r>
              <w:rPr>
                <w:rFonts w:ascii="宋体" w:hAnsi="宋体" w:eastAsia="宋体"/>
                <w:sz w:val="16"/>
              </w:rPr>
              <w:t>47.00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6CFC6">
            <w:pPr>
              <w:jc w:val="center"/>
            </w:pPr>
            <w:r>
              <w:rPr>
                <w:rFonts w:ascii="宋体" w:hAnsi="宋体" w:eastAsia="宋体"/>
                <w:sz w:val="16"/>
              </w:rPr>
              <w:t>47.00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794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831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9EE17">
            <w:pPr>
              <w:jc w:val="center"/>
            </w:pPr>
            <w:r>
              <w:rPr>
                <w:rFonts w:ascii="宋体" w:hAnsi="宋体" w:eastAsia="宋体"/>
                <w:sz w:val="16"/>
              </w:rPr>
              <w:t>-</w:t>
            </w:r>
          </w:p>
        </w:tc>
      </w:tr>
      <w:tr w14:paraId="45E695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FDC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F98A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B98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C42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333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B1E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CD8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00AC4">
            <w:pPr>
              <w:jc w:val="center"/>
            </w:pPr>
            <w:r>
              <w:rPr>
                <w:rFonts w:ascii="宋体" w:hAnsi="宋体" w:eastAsia="宋体"/>
                <w:sz w:val="16"/>
              </w:rPr>
              <w:t>-</w:t>
            </w:r>
          </w:p>
        </w:tc>
      </w:tr>
      <w:tr w14:paraId="3AA269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81268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2C77B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9567DD">
            <w:pPr>
              <w:jc w:val="center"/>
            </w:pPr>
            <w:r>
              <w:rPr>
                <w:rFonts w:ascii="宋体" w:hAnsi="宋体" w:eastAsia="宋体"/>
                <w:sz w:val="16"/>
              </w:rPr>
              <w:t>总体目标完成情况</w:t>
            </w:r>
          </w:p>
        </w:tc>
      </w:tr>
      <w:tr w14:paraId="43B2D2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8AE3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25FE63">
            <w:pPr>
              <w:jc w:val="both"/>
            </w:pPr>
            <w:r>
              <w:rPr>
                <w:rFonts w:ascii="宋体" w:hAnsi="宋体" w:eastAsia="宋体"/>
                <w:sz w:val="16"/>
              </w:rPr>
              <w:t>根据《关于拨付2024年自治区</w:t>
            </w:r>
            <w:r>
              <w:rPr>
                <w:rFonts w:hint="eastAsia" w:ascii="宋体" w:hAnsi="宋体"/>
                <w:sz w:val="16"/>
                <w:lang w:eastAsia="zh-CN"/>
              </w:rPr>
              <w:t>为民办实事</w:t>
            </w:r>
            <w:r>
              <w:rPr>
                <w:rFonts w:ascii="宋体" w:hAnsi="宋体" w:eastAsia="宋体"/>
                <w:sz w:val="16"/>
              </w:rPr>
              <w:t>工作专项经费的通知》（巴财预</w:t>
            </w:r>
            <w:r>
              <w:rPr>
                <w:rFonts w:hint="eastAsia" w:ascii="宋体" w:hAnsi="宋体"/>
                <w:sz w:val="16"/>
                <w:lang w:eastAsia="zh-CN"/>
              </w:rPr>
              <w:t>〔2024〕16号</w:t>
            </w:r>
            <w:r>
              <w:rPr>
                <w:rFonts w:ascii="宋体" w:hAnsi="宋体" w:eastAsia="宋体"/>
                <w:sz w:val="16"/>
              </w:rPr>
              <w:t>）文件精神，我院派14名干警前往三个社区开展</w:t>
            </w:r>
            <w:r>
              <w:rPr>
                <w:rFonts w:hint="eastAsia" w:ascii="宋体" w:hAnsi="宋体"/>
                <w:sz w:val="16"/>
                <w:lang w:eastAsia="zh-CN"/>
              </w:rPr>
              <w:t>为民办实事</w:t>
            </w:r>
            <w:r>
              <w:rPr>
                <w:rFonts w:ascii="宋体" w:hAnsi="宋体" w:eastAsia="宋体"/>
                <w:sz w:val="16"/>
              </w:rPr>
              <w:t>工作，其中第一书记1人。保障3个社区工作队经费47万元，并合理合规使用为民办实事经费和第一书记为民办实事经费，确保为民办实事经费使用的安全性、规范性和实效性。达到提高组织各项慰问和文体活动效率；提高居民文化生活水平；方便顺利开展“民族团结一家亲”、团结关爱户、独居老人、村干部联谊等各项活动，从而提升群众获得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4F082A">
            <w:pPr>
              <w:jc w:val="both"/>
            </w:pPr>
            <w:r>
              <w:rPr>
                <w:rFonts w:ascii="宋体" w:hAnsi="宋体" w:eastAsia="宋体"/>
                <w:sz w:val="16"/>
              </w:rPr>
              <w:t>我院派第一书记人数1人、工作队数量3个、工作队人数14人前往阳光社区、团结社区、萨依巴格社区完成了</w:t>
            </w:r>
            <w:r>
              <w:rPr>
                <w:rFonts w:hint="eastAsia" w:ascii="宋体" w:hAnsi="宋体"/>
                <w:sz w:val="16"/>
                <w:lang w:eastAsia="zh-CN"/>
              </w:rPr>
              <w:t>为民办实事</w:t>
            </w:r>
            <w:r>
              <w:rPr>
                <w:rFonts w:ascii="宋体" w:hAnsi="宋体" w:eastAsia="宋体"/>
                <w:sz w:val="16"/>
              </w:rPr>
              <w:t>工作。项目实施过程中合理合规使用了为民办实事经费，确保为民办实事经费使用的安全性、规范性和时效性，确保3个工作队共14名工作人员补助发放，工作经费落实到实处，组织开展各项慰问和文化活动，提高了村民文化生活水平。加快资金支付进度，保障项目按期完成，提高了为民办实事力度，提升了群众获得感。</w:t>
            </w:r>
          </w:p>
        </w:tc>
      </w:tr>
      <w:tr w14:paraId="41D47B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53CF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041B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564A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89C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1563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D985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840A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F491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9A9E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6B59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D7F8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00B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369A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DBBBC">
            <w:pPr>
              <w:jc w:val="center"/>
            </w:pPr>
            <w:r>
              <w:rPr>
                <w:rFonts w:ascii="宋体" w:hAnsi="宋体" w:eastAsia="宋体"/>
                <w:sz w:val="16"/>
              </w:rPr>
              <w:t>偏差原因分析及改进措施</w:t>
            </w:r>
          </w:p>
        </w:tc>
      </w:tr>
      <w:tr w14:paraId="4DD168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0F0F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36DE6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3A40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E2351">
            <w:pPr>
              <w:jc w:val="center"/>
            </w:pPr>
            <w:r>
              <w:rPr>
                <w:rFonts w:ascii="宋体" w:hAnsi="宋体" w:eastAsia="宋体"/>
                <w:sz w:val="16"/>
              </w:rPr>
              <w:t>派驻工作队数量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577A8">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BC2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289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96E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D15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CBA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50055">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8A4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9CC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CDFA2">
            <w:pPr>
              <w:jc w:val="center"/>
            </w:pPr>
          </w:p>
        </w:tc>
      </w:tr>
      <w:tr w14:paraId="522032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D7E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52D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FC9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9E6F0">
            <w:pPr>
              <w:jc w:val="center"/>
            </w:pPr>
            <w:r>
              <w:rPr>
                <w:rFonts w:ascii="宋体" w:hAnsi="宋体" w:eastAsia="宋体"/>
                <w:sz w:val="16"/>
              </w:rPr>
              <w:t>派驻工作队人员数量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632FA">
            <w:pPr>
              <w:jc w:val="center"/>
            </w:pPr>
            <w:r>
              <w:rPr>
                <w:rFonts w:ascii="宋体" w:hAnsi="宋体" w:eastAsia="宋体"/>
                <w:sz w:val="16"/>
              </w:rPr>
              <w:t>&gt;=14人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1FB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3C8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8C4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EDF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41F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6F6FC">
            <w:pPr>
              <w:jc w:val="center"/>
            </w:pPr>
            <w:r>
              <w:rPr>
                <w:rFonts w:ascii="宋体" w:hAnsi="宋体" w:eastAsia="宋体"/>
                <w:sz w:val="16"/>
              </w:rPr>
              <w: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A4D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F4B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82156">
            <w:pPr>
              <w:jc w:val="center"/>
            </w:pPr>
          </w:p>
        </w:tc>
      </w:tr>
      <w:tr w14:paraId="7E4428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A8E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DC8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AD8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53DD">
            <w:pPr>
              <w:jc w:val="center"/>
            </w:pPr>
            <w:r>
              <w:rPr>
                <w:rFonts w:ascii="宋体" w:hAnsi="宋体" w:eastAsia="宋体"/>
                <w:sz w:val="16"/>
              </w:rPr>
              <w:t>派驻第一书记人数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4310D">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3DD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BC4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ABC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D56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DC4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841B6">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E3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38F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8EFF0">
            <w:pPr>
              <w:jc w:val="center"/>
            </w:pPr>
          </w:p>
        </w:tc>
      </w:tr>
      <w:tr w14:paraId="49D845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C09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C35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1AA8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A6D44">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A24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9F5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A0E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C02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DD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4F5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03E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6D8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AC8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D2E55">
            <w:pPr>
              <w:jc w:val="center"/>
            </w:pPr>
          </w:p>
        </w:tc>
      </w:tr>
      <w:tr w14:paraId="725466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A02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460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1BEB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9BBCE">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EE0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030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7D4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E4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57D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D80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32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FA7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89D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8C407">
            <w:pPr>
              <w:jc w:val="center"/>
            </w:pPr>
          </w:p>
        </w:tc>
      </w:tr>
      <w:tr w14:paraId="10216E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75C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8A35C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4E6CF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E1D06">
            <w:pPr>
              <w:jc w:val="center"/>
            </w:pPr>
            <w:r>
              <w:rPr>
                <w:rFonts w:ascii="宋体" w:hAnsi="宋体" w:eastAsia="宋体"/>
                <w:sz w:val="16"/>
              </w:rPr>
              <w:t>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67FBC">
            <w:pPr>
              <w:jc w:val="center"/>
            </w:pPr>
            <w:r>
              <w:rPr>
                <w:rFonts w:ascii="宋体" w:hAnsi="宋体" w:eastAsia="宋体"/>
                <w:sz w:val="16"/>
              </w:rPr>
              <w:t>&lt;=15万元/社区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E2A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4FC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000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290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F20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0D5F3">
            <w:pPr>
              <w:jc w:val="center"/>
            </w:pPr>
            <w:r>
              <w:rPr>
                <w:rFonts w:ascii="宋体" w:hAnsi="宋体" w:eastAsia="宋体"/>
                <w:sz w:val="16"/>
              </w:rPr>
              <w:t>=15万元/社区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951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4B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5EC05">
            <w:pPr>
              <w:jc w:val="center"/>
            </w:pPr>
          </w:p>
        </w:tc>
      </w:tr>
      <w:tr w14:paraId="016C2E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F11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D14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7EB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E4C20">
            <w:pPr>
              <w:jc w:val="center"/>
            </w:pP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954B7">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059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C68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532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9F5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163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511CB">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F18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D00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6DECA">
            <w:pPr>
              <w:jc w:val="center"/>
            </w:pPr>
          </w:p>
        </w:tc>
      </w:tr>
      <w:tr w14:paraId="5D7FB3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6C9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329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FEE3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31582">
            <w:pPr>
              <w:jc w:val="center"/>
            </w:pPr>
            <w:r>
              <w:rPr>
                <w:rFonts w:ascii="宋体" w:hAnsi="宋体" w:eastAsia="宋体"/>
                <w:sz w:val="16"/>
              </w:rPr>
              <w:t>居民文化生活水平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B6E6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053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90F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045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FDC0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F7D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B50E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846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1E52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203EC">
            <w:pPr>
              <w:jc w:val="center"/>
            </w:pPr>
          </w:p>
        </w:tc>
      </w:tr>
      <w:tr w14:paraId="23D6AF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844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086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367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817E2">
            <w:pPr>
              <w:jc w:val="center"/>
            </w:pPr>
            <w:r>
              <w:rPr>
                <w:rFonts w:ascii="宋体" w:hAnsi="宋体" w:eastAsia="宋体"/>
                <w:sz w:val="16"/>
              </w:rPr>
              <w:t>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9945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B20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236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76C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9A8D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7B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18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06B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C66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A59EE">
            <w:pPr>
              <w:jc w:val="center"/>
            </w:pPr>
          </w:p>
        </w:tc>
      </w:tr>
      <w:tr w14:paraId="259F2D8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B7CD7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7191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0764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E3FB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7E6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6C2C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826E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56C3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B567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FCD7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ADFD0B"/>
        </w:tc>
      </w:tr>
    </w:tbl>
    <w:p w14:paraId="24EC07CC">
      <w:r>
        <w:br w:type="page"/>
      </w:r>
    </w:p>
    <w:p w14:paraId="3DDDE2CD">
      <w:r>
        <w:br w:type="page"/>
      </w:r>
    </w:p>
    <w:p w14:paraId="6A7C37AF">
      <w:pPr>
        <w:spacing w:line="640" w:lineRule="exact"/>
        <w:ind w:firstLine="640"/>
        <w:jc w:val="both"/>
        <w:outlineLvl w:val="2"/>
      </w:pPr>
      <w:r>
        <w:rPr>
          <w:rFonts w:ascii="黑体" w:hAnsi="黑体" w:eastAsia="黑体"/>
          <w:sz w:val="32"/>
        </w:rPr>
        <w:t>十二、其他需说明的事项</w:t>
      </w:r>
    </w:p>
    <w:p w14:paraId="24BA6F03">
      <w:pPr>
        <w:spacing w:line="580" w:lineRule="exact"/>
        <w:ind w:firstLine="640"/>
        <w:jc w:val="both"/>
      </w:pPr>
      <w:r>
        <w:rPr>
          <w:rFonts w:ascii="仿宋_GB2312" w:hAnsi="仿宋_GB2312" w:eastAsia="仿宋_GB2312"/>
          <w:b w:val="0"/>
          <w:sz w:val="32"/>
        </w:rPr>
        <w:t>本年本部门SM项目2个，全年预算数906万元，全年执行数906万元。</w:t>
      </w:r>
    </w:p>
    <w:p w14:paraId="4062B70B">
      <w:r>
        <w:br w:type="page"/>
      </w:r>
    </w:p>
    <w:p w14:paraId="256E3CEA">
      <w:pPr>
        <w:spacing w:line="240" w:lineRule="auto"/>
        <w:jc w:val="center"/>
        <w:outlineLvl w:val="1"/>
      </w:pPr>
      <w:r>
        <w:rPr>
          <w:rFonts w:ascii="黑体" w:hAnsi="黑体" w:eastAsia="黑体"/>
          <w:sz w:val="32"/>
        </w:rPr>
        <w:t>第三部分 专业名词解释</w:t>
      </w:r>
    </w:p>
    <w:p w14:paraId="44E034F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8CBE93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049EE5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1630C0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910137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A81AC3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110098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B2C332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3CEB37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BACB1E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4353E2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C63ED5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9AB040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D1459E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35008FA">
      <w:r>
        <w:br w:type="page"/>
      </w:r>
    </w:p>
    <w:p w14:paraId="4EDAFDD8">
      <w:pPr>
        <w:spacing w:line="240" w:lineRule="auto"/>
        <w:jc w:val="center"/>
        <w:outlineLvl w:val="1"/>
      </w:pPr>
      <w:r>
        <w:rPr>
          <w:rFonts w:ascii="黑体" w:hAnsi="黑体" w:eastAsia="黑体"/>
          <w:sz w:val="32"/>
        </w:rPr>
        <w:t>第四部分 部门决算报表（见附表）</w:t>
      </w:r>
    </w:p>
    <w:p w14:paraId="037E14C2">
      <w:pPr>
        <w:spacing w:line="240" w:lineRule="auto"/>
        <w:ind w:firstLine="640"/>
        <w:jc w:val="both"/>
      </w:pPr>
      <w:r>
        <w:rPr>
          <w:rFonts w:ascii="仿宋_GB2312" w:hAnsi="仿宋_GB2312" w:eastAsia="仿宋_GB2312"/>
          <w:b w:val="0"/>
          <w:sz w:val="32"/>
        </w:rPr>
        <w:t>一、《收入支出决算总表》</w:t>
      </w:r>
    </w:p>
    <w:p w14:paraId="3CD2EFFF">
      <w:pPr>
        <w:spacing w:line="240" w:lineRule="auto"/>
        <w:ind w:firstLine="640"/>
        <w:jc w:val="both"/>
      </w:pPr>
      <w:r>
        <w:rPr>
          <w:rFonts w:ascii="仿宋_GB2312" w:hAnsi="仿宋_GB2312" w:eastAsia="仿宋_GB2312"/>
          <w:b w:val="0"/>
          <w:sz w:val="32"/>
        </w:rPr>
        <w:t>二、《收入决算表》</w:t>
      </w:r>
    </w:p>
    <w:p w14:paraId="08A6EC6B">
      <w:pPr>
        <w:spacing w:line="240" w:lineRule="auto"/>
        <w:ind w:firstLine="640"/>
        <w:jc w:val="both"/>
      </w:pPr>
      <w:r>
        <w:rPr>
          <w:rFonts w:ascii="仿宋_GB2312" w:hAnsi="仿宋_GB2312" w:eastAsia="仿宋_GB2312"/>
          <w:b w:val="0"/>
          <w:sz w:val="32"/>
        </w:rPr>
        <w:t>三、《支出决算表》</w:t>
      </w:r>
    </w:p>
    <w:p w14:paraId="16DC70B8">
      <w:pPr>
        <w:spacing w:line="240" w:lineRule="auto"/>
        <w:ind w:firstLine="640"/>
        <w:jc w:val="both"/>
      </w:pPr>
      <w:r>
        <w:rPr>
          <w:rFonts w:ascii="仿宋_GB2312" w:hAnsi="仿宋_GB2312" w:eastAsia="仿宋_GB2312"/>
          <w:b w:val="0"/>
          <w:sz w:val="32"/>
        </w:rPr>
        <w:t>四、《财政拨款收入支出决算总表》</w:t>
      </w:r>
    </w:p>
    <w:p w14:paraId="72A101F9">
      <w:pPr>
        <w:spacing w:line="240" w:lineRule="auto"/>
        <w:ind w:firstLine="640"/>
        <w:jc w:val="both"/>
      </w:pPr>
      <w:r>
        <w:rPr>
          <w:rFonts w:ascii="仿宋_GB2312" w:hAnsi="仿宋_GB2312" w:eastAsia="仿宋_GB2312"/>
          <w:b w:val="0"/>
          <w:sz w:val="32"/>
        </w:rPr>
        <w:t>五、《一般公共预算财政拨款支出决算表》</w:t>
      </w:r>
    </w:p>
    <w:p w14:paraId="210D24D3">
      <w:pPr>
        <w:spacing w:line="240" w:lineRule="auto"/>
        <w:ind w:firstLine="640"/>
        <w:jc w:val="both"/>
      </w:pPr>
      <w:r>
        <w:rPr>
          <w:rFonts w:ascii="仿宋_GB2312" w:hAnsi="仿宋_GB2312" w:eastAsia="仿宋_GB2312"/>
          <w:b w:val="0"/>
          <w:sz w:val="32"/>
        </w:rPr>
        <w:t>六、《一般公共预算财政拨款基本支出决算表》</w:t>
      </w:r>
    </w:p>
    <w:p w14:paraId="72E4C15E">
      <w:pPr>
        <w:spacing w:line="240" w:lineRule="auto"/>
        <w:ind w:firstLine="640"/>
        <w:jc w:val="both"/>
      </w:pPr>
      <w:r>
        <w:rPr>
          <w:rFonts w:ascii="仿宋_GB2312" w:hAnsi="仿宋_GB2312" w:eastAsia="仿宋_GB2312"/>
          <w:b w:val="0"/>
          <w:sz w:val="32"/>
        </w:rPr>
        <w:t>七、《政府性基金预算财政拨款收入支出决算表》</w:t>
      </w:r>
    </w:p>
    <w:p w14:paraId="27B1953E">
      <w:pPr>
        <w:spacing w:line="240" w:lineRule="auto"/>
        <w:ind w:firstLine="640"/>
        <w:jc w:val="both"/>
      </w:pPr>
      <w:r>
        <w:rPr>
          <w:rFonts w:ascii="仿宋_GB2312" w:hAnsi="仿宋_GB2312" w:eastAsia="仿宋_GB2312"/>
          <w:b w:val="0"/>
          <w:sz w:val="32"/>
        </w:rPr>
        <w:t>八、《国有资本经营预算财政拨款收入支出决算表》</w:t>
      </w:r>
    </w:p>
    <w:p w14:paraId="06F25A5E">
      <w:pPr>
        <w:spacing w:line="240" w:lineRule="auto"/>
        <w:ind w:firstLine="640"/>
        <w:jc w:val="both"/>
      </w:pPr>
      <w:r>
        <w:rPr>
          <w:rFonts w:ascii="仿宋_GB2312" w:hAnsi="仿宋_GB2312" w:eastAsia="仿宋_GB2312"/>
          <w:b w:val="0"/>
          <w:sz w:val="32"/>
        </w:rPr>
        <w:t>九、《财政拨款“三公”经费支出决算表》</w:t>
      </w:r>
    </w:p>
    <w:p w14:paraId="65478FD6">
      <w:pPr>
        <w:spacing w:line="240" w:lineRule="auto"/>
        <w:ind w:firstLine="640"/>
        <w:jc w:val="both"/>
      </w:pPr>
    </w:p>
    <w:p w14:paraId="5D141BFA">
      <w:pPr>
        <w:spacing w:line="240" w:lineRule="auto"/>
        <w:ind w:firstLine="640"/>
        <w:jc w:val="both"/>
      </w:pPr>
    </w:p>
    <w:p w14:paraId="1FEA1ED2">
      <w:pPr>
        <w:spacing w:line="240" w:lineRule="auto"/>
        <w:ind w:firstLine="640"/>
        <w:jc w:val="both"/>
      </w:pPr>
    </w:p>
    <w:p w14:paraId="69AF5DC7">
      <w:pPr>
        <w:spacing w:line="240" w:lineRule="auto"/>
        <w:ind w:firstLine="640"/>
        <w:jc w:val="both"/>
      </w:pPr>
    </w:p>
    <w:p w14:paraId="5CD0754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EB4B64B-0824-4616-8F48-00765F63B87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4AD6F6A-1BF8-4578-9CAA-6056778ADCAD}"/>
  </w:font>
  <w:font w:name="仿宋_GB2312">
    <w:panose1 w:val="02010609030101010101"/>
    <w:charset w:val="86"/>
    <w:family w:val="modern"/>
    <w:pitch w:val="default"/>
    <w:sig w:usb0="00000001" w:usb1="080E0000" w:usb2="00000000" w:usb3="00000000" w:csb0="00040000" w:csb1="00000000"/>
    <w:embedRegular r:id="rId3" w:fontKey="{266DC24D-EB4D-4ECC-80C5-1AF0BD7ED15C}"/>
  </w:font>
  <w:font w:name="楷体_GB2312">
    <w:panose1 w:val="02010609030101010101"/>
    <w:charset w:val="86"/>
    <w:family w:val="auto"/>
    <w:pitch w:val="default"/>
    <w:sig w:usb0="00000001" w:usb1="080E0000" w:usb2="00000000" w:usb3="00000000" w:csb0="00040000" w:csb1="00000000"/>
    <w:embedRegular r:id="rId4" w:fontKey="{B80536B7-438F-4DB1-8B3C-94F337339B0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E417A8C"/>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A85EA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B431362"/>
    <w:rsid w:val="7F02173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6446</Words>
  <Characters>7470</Characters>
  <Lines>0</Lines>
  <Paragraphs>0</Paragraphs>
  <TotalTime>3</TotalTime>
  <ScaleCrop>false</ScaleCrop>
  <LinksUpToDate>false</LinksUpToDate>
  <CharactersWithSpaces>7479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2025-09-11T08:04:08Z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