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新疆巴州轮台县人民法院2024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66976C">
      <w:r>
        <w:br w:type="page"/>
      </w:r>
    </w:p>
    <w:p w14:paraId="203F521F">
      <w:pPr>
        <w:spacing w:line="640" w:lineRule="exact"/>
        <w:jc w:val="center"/>
        <w:outlineLvl w:val="1"/>
      </w:pPr>
      <w:r>
        <w:rPr>
          <w:rFonts w:ascii="黑体" w:hAnsi="黑体" w:eastAsia="黑体"/>
          <w:sz w:val="32"/>
        </w:rPr>
        <w:t>第一部分 部门概况</w:t>
      </w:r>
    </w:p>
    <w:p w14:paraId="31362727">
      <w:pPr>
        <w:spacing w:line="640" w:lineRule="exact"/>
        <w:ind w:firstLine="640"/>
        <w:jc w:val="both"/>
        <w:outlineLvl w:val="2"/>
      </w:pPr>
      <w:r>
        <w:rPr>
          <w:rFonts w:ascii="黑体" w:hAnsi="黑体" w:eastAsia="黑体"/>
          <w:sz w:val="32"/>
        </w:rPr>
        <w:t>一、主要职能</w:t>
      </w:r>
    </w:p>
    <w:p w14:paraId="349277DB">
      <w:pPr>
        <w:spacing w:line="580" w:lineRule="exact"/>
        <w:ind w:firstLine="640"/>
        <w:jc w:val="both"/>
      </w:pPr>
      <w:r>
        <w:rPr>
          <w:rFonts w:ascii="仿宋_GB2312" w:hAnsi="仿宋_GB2312" w:eastAsia="仿宋_GB2312"/>
          <w:sz w:val="32"/>
        </w:rPr>
        <w:t>轮台县人民法院是国家审判机关，对轮台县人民代表大会和轮台县人民代表大会常务委员会负责并报告工作，接受上级人民法院对审判工作的监督，其主要职责是。</w:t>
      </w:r>
    </w:p>
    <w:p w14:paraId="0FC31921">
      <w:pPr>
        <w:spacing w:line="580" w:lineRule="exact"/>
        <w:ind w:firstLine="640"/>
        <w:jc w:val="both"/>
      </w:pPr>
      <w:r>
        <w:rPr>
          <w:rFonts w:ascii="仿宋_GB2312" w:hAnsi="仿宋_GB2312" w:eastAsia="仿宋_GB2312"/>
          <w:sz w:val="32"/>
        </w:rPr>
        <w:t>（一）审判法律规定的基层人民法院管辖、上级人民法院指定管辖的刑事、民事和行政第一审案件。</w:t>
      </w:r>
    </w:p>
    <w:p w14:paraId="387AFA17">
      <w:pPr>
        <w:spacing w:line="580" w:lineRule="exact"/>
        <w:ind w:firstLine="640"/>
        <w:jc w:val="both"/>
      </w:pPr>
      <w:r>
        <w:rPr>
          <w:rFonts w:ascii="仿宋_GB2312" w:hAnsi="仿宋_GB2312" w:eastAsia="仿宋_GB2312"/>
          <w:sz w:val="32"/>
        </w:rPr>
        <w:t>（二）审理上级人民法院指令再审的案件；审理本院发生法院</w:t>
      </w:r>
      <w:r>
        <w:rPr>
          <w:rFonts w:hint="eastAsia" w:ascii="仿宋_GB2312" w:hAnsi="仿宋_GB2312" w:eastAsia="仿宋_GB2312"/>
          <w:sz w:val="32"/>
          <w:lang w:eastAsia="zh-CN"/>
        </w:rPr>
        <w:t>效力</w:t>
      </w:r>
      <w:r>
        <w:rPr>
          <w:rFonts w:ascii="仿宋_GB2312" w:hAnsi="仿宋_GB2312" w:eastAsia="仿宋_GB2312"/>
          <w:sz w:val="32"/>
        </w:rPr>
        <w:t>的判决、裁定提起再审的案件。</w:t>
      </w:r>
    </w:p>
    <w:p w14:paraId="3E665CEF">
      <w:pPr>
        <w:spacing w:line="580" w:lineRule="exact"/>
        <w:ind w:firstLine="640"/>
        <w:jc w:val="both"/>
      </w:pPr>
      <w:r>
        <w:rPr>
          <w:rFonts w:ascii="仿宋_GB2312" w:hAnsi="仿宋_GB2312" w:eastAsia="仿宋_GB2312"/>
          <w:sz w:val="32"/>
        </w:rPr>
        <w:t>（三）审理由县人民检察院按照审判程序提出的抗诉案件。</w:t>
      </w:r>
    </w:p>
    <w:p w14:paraId="11809FE7">
      <w:pPr>
        <w:spacing w:line="580" w:lineRule="exact"/>
        <w:ind w:firstLine="640"/>
        <w:jc w:val="both"/>
      </w:pPr>
      <w:r>
        <w:rPr>
          <w:rFonts w:ascii="仿宋_GB2312" w:hAnsi="仿宋_GB2312" w:eastAsia="仿宋_GB2312"/>
          <w:sz w:val="32"/>
        </w:rPr>
        <w:t>（四）依法行使司法执行权和司法决定权。</w:t>
      </w:r>
    </w:p>
    <w:p w14:paraId="30AC6356">
      <w:pPr>
        <w:spacing w:line="580" w:lineRule="exact"/>
        <w:ind w:firstLine="640"/>
        <w:jc w:val="both"/>
      </w:pPr>
      <w:r>
        <w:rPr>
          <w:rFonts w:ascii="仿宋_GB2312" w:hAnsi="仿宋_GB2312" w:eastAsia="仿宋_GB2312"/>
          <w:sz w:val="32"/>
        </w:rPr>
        <w:t>（五）依法审理国家行政赔偿诉讼案件。</w:t>
      </w:r>
    </w:p>
    <w:p w14:paraId="73A9F58C">
      <w:pPr>
        <w:spacing w:line="580" w:lineRule="exact"/>
        <w:ind w:firstLine="640"/>
        <w:jc w:val="both"/>
      </w:pPr>
      <w:r>
        <w:rPr>
          <w:rFonts w:ascii="仿宋_GB2312" w:hAnsi="仿宋_GB2312" w:eastAsia="仿宋_GB2312"/>
          <w:sz w:val="32"/>
        </w:rPr>
        <w:t>（六）在审判工作中宣传法制、教育公民自觉遵守宪法法律。</w:t>
      </w:r>
    </w:p>
    <w:p w14:paraId="783E9B6E">
      <w:pPr>
        <w:spacing w:line="580" w:lineRule="exact"/>
        <w:ind w:firstLine="640"/>
        <w:jc w:val="both"/>
      </w:pPr>
      <w:r>
        <w:rPr>
          <w:rFonts w:ascii="仿宋_GB2312" w:hAnsi="仿宋_GB2312" w:eastAsia="仿宋_GB2312"/>
          <w:sz w:val="32"/>
        </w:rPr>
        <w:t>（七）管理本院的经费和物资装备。</w:t>
      </w:r>
    </w:p>
    <w:p w14:paraId="018D544F">
      <w:pPr>
        <w:spacing w:line="580" w:lineRule="exact"/>
        <w:ind w:firstLine="640"/>
        <w:jc w:val="both"/>
      </w:pPr>
      <w:r>
        <w:rPr>
          <w:rFonts w:ascii="仿宋_GB2312" w:hAnsi="仿宋_GB2312" w:eastAsia="仿宋_GB2312"/>
          <w:sz w:val="32"/>
        </w:rPr>
        <w:t>（八）承办其他应由基层法院负责的工作。</w:t>
      </w:r>
    </w:p>
    <w:p w14:paraId="5DB14606">
      <w:pPr>
        <w:spacing w:line="640" w:lineRule="exact"/>
        <w:ind w:firstLine="640"/>
        <w:jc w:val="both"/>
        <w:outlineLvl w:val="2"/>
      </w:pPr>
      <w:r>
        <w:rPr>
          <w:rFonts w:ascii="黑体" w:hAnsi="黑体" w:eastAsia="黑体"/>
          <w:sz w:val="32"/>
        </w:rPr>
        <w:t>二、机构设置及人员情况</w:t>
      </w:r>
    </w:p>
    <w:p w14:paraId="46D34270">
      <w:pPr>
        <w:spacing w:line="580" w:lineRule="exact"/>
        <w:ind w:firstLine="640"/>
        <w:jc w:val="both"/>
      </w:pPr>
      <w:r>
        <w:rPr>
          <w:rFonts w:ascii="仿宋_GB2312" w:hAnsi="仿宋_GB2312" w:eastAsia="仿宋_GB2312"/>
          <w:sz w:val="32"/>
        </w:rPr>
        <w:t>新疆巴州轮台县人民法院2024年度，实有人数89人，其中：在职人员60人，减少3人；离休人员0人，增加0人；退休人员29人,增加1人。</w:t>
      </w:r>
    </w:p>
    <w:p w14:paraId="08A2C41A">
      <w:pPr>
        <w:spacing w:line="580" w:lineRule="exact"/>
        <w:ind w:firstLine="640"/>
        <w:jc w:val="both"/>
      </w:pPr>
      <w:r>
        <w:rPr>
          <w:rFonts w:ascii="仿宋_GB2312" w:hAnsi="仿宋_GB2312" w:eastAsia="仿宋_GB2312"/>
          <w:sz w:val="32"/>
        </w:rPr>
        <w:t>新疆巴州轮台县人民法院无下属预算单位，下设8个科室，分别是：立案庭（诉讼服务中心）、刑事审判庭、审判管理办公室、政治部（机关党委）、综合办公室（司法警察大队）、民事审判庭、行政审判庭、执行局。</w:t>
      </w:r>
    </w:p>
    <w:p w14:paraId="1AD42928">
      <w:r>
        <w:br w:type="page"/>
      </w:r>
    </w:p>
    <w:p w14:paraId="757E4B25">
      <w:pPr>
        <w:spacing w:line="240" w:lineRule="auto"/>
        <w:jc w:val="center"/>
        <w:outlineLvl w:val="1"/>
      </w:pPr>
      <w:r>
        <w:rPr>
          <w:rFonts w:ascii="黑体" w:hAnsi="黑体" w:eastAsia="黑体"/>
          <w:sz w:val="32"/>
        </w:rPr>
        <w:t>第二部分 部门决算情况说明</w:t>
      </w:r>
    </w:p>
    <w:p w14:paraId="0C7A4174">
      <w:pPr>
        <w:spacing w:line="640" w:lineRule="exact"/>
        <w:ind w:firstLine="640"/>
        <w:jc w:val="both"/>
        <w:outlineLvl w:val="2"/>
      </w:pPr>
      <w:r>
        <w:rPr>
          <w:rFonts w:ascii="黑体" w:hAnsi="黑体" w:eastAsia="黑体"/>
          <w:sz w:val="32"/>
        </w:rPr>
        <w:t>一、收入支出决算总体情况说明</w:t>
      </w:r>
    </w:p>
    <w:p w14:paraId="0C16E829">
      <w:pPr>
        <w:spacing w:line="580" w:lineRule="exact"/>
        <w:ind w:firstLine="640"/>
        <w:jc w:val="both"/>
      </w:pPr>
      <w:r>
        <w:rPr>
          <w:rFonts w:ascii="仿宋_GB2312" w:hAnsi="仿宋_GB2312" w:eastAsia="仿宋_GB2312"/>
          <w:b/>
          <w:sz w:val="32"/>
        </w:rPr>
        <w:t>2024年度收入总计1,880.36万元，</w:t>
      </w:r>
      <w:r>
        <w:rPr>
          <w:rFonts w:ascii="仿宋_GB2312" w:hAnsi="仿宋_GB2312" w:eastAsia="仿宋_GB2312"/>
          <w:b w:val="0"/>
          <w:sz w:val="32"/>
        </w:rPr>
        <w:t>其中：本年收入合计1,880.36万元，使用非财政拨款结余（含专用结余）0.00万元，年初结转和结余0.00万元。</w:t>
      </w:r>
    </w:p>
    <w:p w14:paraId="69D2B915">
      <w:pPr>
        <w:spacing w:line="580" w:lineRule="exact"/>
        <w:ind w:firstLine="640"/>
        <w:jc w:val="both"/>
      </w:pPr>
      <w:r>
        <w:rPr>
          <w:rFonts w:ascii="仿宋_GB2312" w:hAnsi="仿宋_GB2312" w:eastAsia="仿宋_GB2312"/>
          <w:b/>
          <w:sz w:val="32"/>
        </w:rPr>
        <w:t>2024年度支出总计1,880.36万元，</w:t>
      </w:r>
      <w:r>
        <w:rPr>
          <w:rFonts w:ascii="仿宋_GB2312" w:hAnsi="仿宋_GB2312" w:eastAsia="仿宋_GB2312"/>
          <w:b w:val="0"/>
          <w:sz w:val="32"/>
        </w:rPr>
        <w:t>其中：本年支出合计1,880.36万元，结余分配0.00万元，年末结转和结余0.00万元。</w:t>
      </w:r>
    </w:p>
    <w:p w14:paraId="40CC1860">
      <w:pPr>
        <w:spacing w:line="580" w:lineRule="exact"/>
        <w:ind w:firstLine="640"/>
        <w:jc w:val="both"/>
      </w:pPr>
      <w:r>
        <w:rPr>
          <w:rFonts w:ascii="仿宋_GB2312" w:hAnsi="仿宋_GB2312" w:eastAsia="仿宋_GB2312"/>
          <w:b w:val="0"/>
          <w:sz w:val="32"/>
        </w:rPr>
        <w:t>收入支出总体与上年相比，减少13.51万元，下降0.71%，主要原因是：本年减少中央转移支付资金，导致经费较上年减少。</w:t>
      </w:r>
    </w:p>
    <w:p w14:paraId="6969B373">
      <w:pPr>
        <w:spacing w:line="640" w:lineRule="exact"/>
        <w:ind w:firstLine="640"/>
        <w:jc w:val="both"/>
        <w:outlineLvl w:val="2"/>
      </w:pPr>
      <w:r>
        <w:rPr>
          <w:rFonts w:ascii="黑体" w:hAnsi="黑体" w:eastAsia="黑体"/>
          <w:sz w:val="32"/>
        </w:rPr>
        <w:t>二、收入决算情况说明</w:t>
      </w:r>
    </w:p>
    <w:p w14:paraId="4432C312">
      <w:pPr>
        <w:spacing w:line="580" w:lineRule="exact"/>
        <w:ind w:firstLine="640"/>
        <w:jc w:val="both"/>
      </w:pPr>
      <w:r>
        <w:rPr>
          <w:rFonts w:ascii="仿宋_GB2312" w:hAnsi="仿宋_GB2312" w:eastAsia="仿宋_GB2312"/>
          <w:b/>
          <w:sz w:val="32"/>
        </w:rPr>
        <w:t>本年收入1,880.36万元，</w:t>
      </w:r>
      <w:r>
        <w:rPr>
          <w:rFonts w:ascii="仿宋_GB2312" w:hAnsi="仿宋_GB2312" w:eastAsia="仿宋_GB2312"/>
          <w:b w:val="0"/>
          <w:sz w:val="32"/>
        </w:rPr>
        <w:t>其中：财政拨款收入1,880.36万元，占100.00%；上级补助收入0.00万元，占0.00%；事业收入0.00万元，占0.00%；经营收入0.00万元，占0.00%；附属单位上缴收入0.00万元，占0.00%；其他收入0.00万元，占0.00%。</w:t>
      </w:r>
    </w:p>
    <w:p w14:paraId="0A835B64">
      <w:pPr>
        <w:spacing w:line="640" w:lineRule="exact"/>
        <w:ind w:firstLine="640"/>
        <w:jc w:val="both"/>
        <w:outlineLvl w:val="2"/>
      </w:pPr>
      <w:r>
        <w:rPr>
          <w:rFonts w:ascii="黑体" w:hAnsi="黑体" w:eastAsia="黑体"/>
          <w:sz w:val="32"/>
        </w:rPr>
        <w:t>三、支出决算情况说明</w:t>
      </w:r>
    </w:p>
    <w:p w14:paraId="76C88E7E">
      <w:pPr>
        <w:spacing w:line="580" w:lineRule="exact"/>
        <w:ind w:firstLine="640"/>
        <w:jc w:val="both"/>
      </w:pPr>
      <w:r>
        <w:rPr>
          <w:rFonts w:ascii="仿宋_GB2312" w:hAnsi="仿宋_GB2312" w:eastAsia="仿宋_GB2312"/>
          <w:b/>
          <w:sz w:val="32"/>
        </w:rPr>
        <w:t>本年支出1,880.36万元，</w:t>
      </w:r>
      <w:r>
        <w:rPr>
          <w:rFonts w:ascii="仿宋_GB2312" w:hAnsi="仿宋_GB2312" w:eastAsia="仿宋_GB2312"/>
          <w:b w:val="0"/>
          <w:sz w:val="32"/>
        </w:rPr>
        <w:t>其中：基本支出1,449.36万元，占77.08%；项目支出431.00万元，占22.92%；上缴上级支出0.00万元，占0.00%；经营支出0.00万元，占0.00%；对附属单位补助支出0.00万元，占0.00%。</w:t>
      </w:r>
    </w:p>
    <w:p w14:paraId="6474364C">
      <w:pPr>
        <w:spacing w:line="640" w:lineRule="exact"/>
        <w:ind w:firstLine="640"/>
        <w:jc w:val="both"/>
        <w:outlineLvl w:val="2"/>
      </w:pPr>
      <w:r>
        <w:rPr>
          <w:rFonts w:ascii="黑体" w:hAnsi="黑体" w:eastAsia="黑体"/>
          <w:sz w:val="32"/>
        </w:rPr>
        <w:t>四、财政拨款收入支出决算总体情况说明</w:t>
      </w:r>
    </w:p>
    <w:p w14:paraId="635FEF97">
      <w:pPr>
        <w:spacing w:line="580" w:lineRule="exact"/>
        <w:ind w:firstLine="640"/>
        <w:jc w:val="both"/>
      </w:pPr>
      <w:r>
        <w:rPr>
          <w:rFonts w:ascii="仿宋_GB2312" w:hAnsi="仿宋_GB2312" w:eastAsia="仿宋_GB2312"/>
          <w:b/>
          <w:sz w:val="32"/>
        </w:rPr>
        <w:t>2024年度财政拨款收入总计1,880.36万元，</w:t>
      </w:r>
      <w:r>
        <w:rPr>
          <w:rFonts w:ascii="仿宋_GB2312" w:hAnsi="仿宋_GB2312" w:eastAsia="仿宋_GB2312"/>
          <w:b w:val="0"/>
          <w:sz w:val="32"/>
        </w:rPr>
        <w:t>其中：年初财政拨款结转和结余0.00万元，本年财政拨款收入1,880.36万元。</w:t>
      </w:r>
      <w:r>
        <w:rPr>
          <w:rFonts w:ascii="仿宋_GB2312" w:hAnsi="仿宋_GB2312" w:eastAsia="仿宋_GB2312"/>
          <w:b/>
          <w:sz w:val="32"/>
        </w:rPr>
        <w:t>财政拨款支出总计1,880.36万元，</w:t>
      </w:r>
      <w:r>
        <w:rPr>
          <w:rFonts w:ascii="仿宋_GB2312" w:hAnsi="仿宋_GB2312" w:eastAsia="仿宋_GB2312"/>
          <w:b w:val="0"/>
          <w:sz w:val="32"/>
        </w:rPr>
        <w:t>其中：年末财政拨款结转和结余0.00万元，本年财政拨款支出1,880.36万元。</w:t>
      </w:r>
    </w:p>
    <w:p w14:paraId="0CC1610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增加6.82万元，增长0.36%，主要原因是：本年在职人员工资调增，社保、公积金基数调增，人员经费增加；委托业务费增加，导致经费较上年增加。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年初预算数1,913.67万元，决算数1,880.36万元，预决算差异率-1.74%，主要原因是：本年在职人员减少，年中调减人员经费，导致预决算存在差异。</w:t>
      </w:r>
    </w:p>
    <w:p w14:paraId="295D0EFD">
      <w:pPr>
        <w:spacing w:line="640" w:lineRule="exact"/>
        <w:ind w:firstLine="640"/>
        <w:jc w:val="both"/>
        <w:outlineLvl w:val="2"/>
      </w:pPr>
      <w:r>
        <w:rPr>
          <w:rFonts w:ascii="黑体" w:hAnsi="黑体" w:eastAsia="黑体"/>
          <w:sz w:val="32"/>
        </w:rPr>
        <w:t>五、一般公共预算财政拨款支出决算情况说明</w:t>
      </w:r>
    </w:p>
    <w:p w14:paraId="1FC1AB4B">
      <w:pPr>
        <w:spacing w:line="640" w:lineRule="exact"/>
        <w:ind w:firstLine="640"/>
        <w:jc w:val="both"/>
        <w:outlineLvl w:val="3"/>
      </w:pPr>
      <w:r>
        <w:rPr>
          <w:rFonts w:ascii="楷体_GB2312" w:hAnsi="楷体_GB2312" w:eastAsia="楷体_GB2312"/>
          <w:b/>
          <w:sz w:val="32"/>
        </w:rPr>
        <w:t>（一）一般公共预算财政拨款支出决算总体情况</w:t>
      </w:r>
    </w:p>
    <w:p w14:paraId="4F298A43">
      <w:pPr>
        <w:spacing w:line="580" w:lineRule="exact"/>
        <w:ind w:firstLine="640"/>
        <w:jc w:val="both"/>
      </w:pPr>
      <w:r>
        <w:rPr>
          <w:rFonts w:ascii="仿宋_GB2312" w:hAnsi="仿宋_GB2312" w:eastAsia="仿宋_GB2312"/>
          <w:b/>
          <w:sz w:val="32"/>
        </w:rPr>
        <w:t>2024年度一般公共预算财政拨款支出1,880.36万元，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增加6.82万元，增长0.36%，主要原因是：本年在职人员工资调增，社保、公积金基数调增，人员经费增加；委托业务费增加，导致经费较上年增加。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年初预算数1,913.67万元，决算数1,880.36万元，预决算差异率-1.74%，主要原因是：本年在职人员减少，年中调减人员经费，导致预决算存在差异。</w:t>
      </w:r>
    </w:p>
    <w:p w14:paraId="4B46F565">
      <w:pPr>
        <w:spacing w:line="640" w:lineRule="exact"/>
        <w:ind w:firstLine="640"/>
        <w:jc w:val="both"/>
        <w:outlineLvl w:val="3"/>
      </w:pPr>
      <w:r>
        <w:rPr>
          <w:rFonts w:ascii="楷体_GB2312" w:hAnsi="楷体_GB2312" w:eastAsia="楷体_GB2312"/>
          <w:b/>
          <w:sz w:val="32"/>
        </w:rPr>
        <w:t>（二）一般公共预算财政拨款支出决算结构情况</w:t>
      </w:r>
    </w:p>
    <w:p w14:paraId="58DFBDB5">
      <w:pPr>
        <w:spacing w:line="580" w:lineRule="exact"/>
        <w:ind w:firstLine="640"/>
        <w:jc w:val="both"/>
      </w:pPr>
      <w:r>
        <w:rPr>
          <w:rFonts w:ascii="仿宋_GB2312" w:hAnsi="仿宋_GB2312" w:eastAsia="仿宋_GB2312"/>
          <w:b w:val="0"/>
          <w:sz w:val="32"/>
        </w:rPr>
        <w:t>1.公共安全支出(类)1582.19万元,占84.14%。</w:t>
      </w:r>
    </w:p>
    <w:p w14:paraId="6E8749F5">
      <w:pPr>
        <w:spacing w:line="580" w:lineRule="exact"/>
        <w:ind w:firstLine="640"/>
        <w:jc w:val="both"/>
      </w:pPr>
      <w:r>
        <w:rPr>
          <w:rFonts w:ascii="仿宋_GB2312" w:hAnsi="仿宋_GB2312" w:eastAsia="仿宋_GB2312"/>
          <w:b w:val="0"/>
          <w:sz w:val="32"/>
        </w:rPr>
        <w:t>2.教育支出(类)3.6万元,占0.19%。</w:t>
      </w:r>
    </w:p>
    <w:p w14:paraId="008601FE">
      <w:pPr>
        <w:spacing w:line="580" w:lineRule="exact"/>
        <w:ind w:firstLine="640"/>
        <w:jc w:val="both"/>
      </w:pPr>
      <w:r>
        <w:rPr>
          <w:rFonts w:ascii="仿宋_GB2312" w:hAnsi="仿宋_GB2312" w:eastAsia="仿宋_GB2312"/>
          <w:b w:val="0"/>
          <w:sz w:val="32"/>
        </w:rPr>
        <w:t>3.社会保障和就业支出(类)131.23万元,占6.98%。</w:t>
      </w:r>
    </w:p>
    <w:p w14:paraId="66E7ADDB">
      <w:pPr>
        <w:spacing w:line="580" w:lineRule="exact"/>
        <w:ind w:firstLine="640"/>
        <w:jc w:val="both"/>
      </w:pPr>
      <w:r>
        <w:rPr>
          <w:rFonts w:ascii="仿宋_GB2312" w:hAnsi="仿宋_GB2312" w:eastAsia="仿宋_GB2312"/>
          <w:b w:val="0"/>
          <w:sz w:val="32"/>
        </w:rPr>
        <w:t>4.卫生健康支出(类)64.6万元,占3.44%。</w:t>
      </w:r>
    </w:p>
    <w:p w14:paraId="6A955E9E">
      <w:pPr>
        <w:spacing w:line="580" w:lineRule="exact"/>
        <w:ind w:firstLine="640"/>
        <w:jc w:val="both"/>
      </w:pPr>
      <w:r>
        <w:rPr>
          <w:rFonts w:ascii="仿宋_GB2312" w:hAnsi="仿宋_GB2312" w:eastAsia="仿宋_GB2312"/>
          <w:b w:val="0"/>
          <w:sz w:val="32"/>
        </w:rPr>
        <w:t>5.住房保障支出(类)98.73万元,占5.25%。</w:t>
      </w:r>
    </w:p>
    <w:p w14:paraId="5F0F59F6">
      <w:pPr>
        <w:spacing w:line="640" w:lineRule="exact"/>
        <w:ind w:firstLine="640"/>
        <w:jc w:val="both"/>
        <w:outlineLvl w:val="3"/>
      </w:pPr>
      <w:r>
        <w:rPr>
          <w:rFonts w:ascii="楷体_GB2312" w:hAnsi="楷体_GB2312" w:eastAsia="楷体_GB2312"/>
          <w:b/>
          <w:sz w:val="32"/>
        </w:rPr>
        <w:t>（三）一般公共预算财政拨款支出决算具体情况</w:t>
      </w:r>
    </w:p>
    <w:p w14:paraId="04400335">
      <w:pPr>
        <w:spacing w:line="580" w:lineRule="exact"/>
        <w:ind w:firstLine="640"/>
        <w:jc w:val="both"/>
      </w:pPr>
      <w:r>
        <w:rPr>
          <w:rFonts w:ascii="仿宋_GB2312" w:hAnsi="仿宋_GB2312" w:eastAsia="仿宋_GB2312"/>
          <w:b w:val="0"/>
          <w:sz w:val="32"/>
        </w:rPr>
        <w:t>1.公共安全支出(类)法院(款)行政运行(项):支出决算数为1151.19万元，比上年决算减少40.25万元，下降3.38%,主要原因是：本年在职人员减少，相应人员经费较上年减少。</w:t>
      </w:r>
    </w:p>
    <w:p w14:paraId="4C1081F5">
      <w:pPr>
        <w:spacing w:line="580" w:lineRule="exact"/>
        <w:ind w:firstLine="640"/>
        <w:jc w:val="both"/>
      </w:pPr>
      <w:r>
        <w:rPr>
          <w:rFonts w:ascii="仿宋_GB2312" w:hAnsi="仿宋_GB2312" w:eastAsia="仿宋_GB2312"/>
          <w:b w:val="0"/>
          <w:sz w:val="32"/>
        </w:rPr>
        <w:t>2.公共安全支出(类)法院(款)一般行政管理事务(项):支出决算数为12万元，比上年决算增加0.00万元，增长0.00%,主要原因是：本年为民办实事工作队经费与上年一致，无变化。</w:t>
      </w:r>
    </w:p>
    <w:p w14:paraId="03630279">
      <w:pPr>
        <w:spacing w:line="580" w:lineRule="exact"/>
        <w:ind w:firstLine="640"/>
        <w:jc w:val="both"/>
      </w:pPr>
      <w:r>
        <w:rPr>
          <w:rFonts w:ascii="仿宋_GB2312" w:hAnsi="仿宋_GB2312" w:eastAsia="仿宋_GB2312"/>
          <w:b w:val="0"/>
          <w:sz w:val="32"/>
        </w:rPr>
        <w:t>3.公共安全支出(类)法院(款)其他法院支出(项):支出决算数为419万元，比上年决算减少1.33万元，下降0.32%,主要原因是：本年中央转移支付资金项目经费较上年减少。</w:t>
      </w:r>
    </w:p>
    <w:p w14:paraId="239A0609">
      <w:pPr>
        <w:spacing w:line="580" w:lineRule="exact"/>
        <w:ind w:firstLine="640"/>
        <w:jc w:val="both"/>
      </w:pPr>
      <w:r>
        <w:rPr>
          <w:rFonts w:ascii="仿宋_GB2312" w:hAnsi="仿宋_GB2312" w:eastAsia="仿宋_GB2312"/>
          <w:b w:val="0"/>
          <w:sz w:val="32"/>
        </w:rPr>
        <w:t>4.教育支出(类)进修及培训(款)培训支出(项):支出决算数为3.6万元，比上年决算减少0.02万元，下降0.55%,主要原因是：严格落实中央八项规定精神，厉行节约，减少培训费的开支。</w:t>
      </w:r>
    </w:p>
    <w:p w14:paraId="47DB7284">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5.社会保障和就业支出(类)行政事业单位养老支出(款)行政单位离退休(项):支出决算数为22.25万元，比上年决算增加6.37万元，增长40.11%,主要原因是：本年退休人员增加，退休费支出增加。</w:t>
      </w:r>
    </w:p>
    <w:p w14:paraId="500B228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100.59万元，比上年决算增加7.30万元，增长7.83%,主要原因是：本年在职人员工资基数调增，养老缴费基数上涨，相应支出增加。</w:t>
      </w:r>
    </w:p>
    <w:p w14:paraId="16829E02">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7.社会保障和就业支出(类)行政事业单位养老支出(款)机关事业单位职业年金缴费支出(项):支出决算数为8.39万元，比上年决算增加8.39万元，增长100.00%,主要原因是：本年新增退休人员，职业年金缴费支出增加。</w:t>
      </w:r>
    </w:p>
    <w:p w14:paraId="018D0E6C">
      <w:pPr>
        <w:spacing w:line="580" w:lineRule="exact"/>
        <w:ind w:firstLine="640"/>
        <w:jc w:val="both"/>
      </w:pPr>
      <w:r>
        <w:rPr>
          <w:rFonts w:ascii="仿宋_GB2312" w:hAnsi="仿宋_GB2312" w:eastAsia="仿宋_GB2312"/>
          <w:b w:val="0"/>
          <w:sz w:val="32"/>
        </w:rPr>
        <w:t>8.卫生健康支出(类)行政事业单位医疗(款)行政单位医疗(项):支出决算数为44.01万元，比上年决算增加3.44万元，增长8.48%,主要原因是：本年在职人员工资基数调增，医疗缴费基数上涨，相应行政单位医疗支出增加。</w:t>
      </w:r>
    </w:p>
    <w:p w14:paraId="2E3E16F6">
      <w:pPr>
        <w:spacing w:line="580" w:lineRule="exact"/>
        <w:ind w:firstLine="640"/>
        <w:jc w:val="both"/>
      </w:pPr>
      <w:r>
        <w:rPr>
          <w:rFonts w:ascii="仿宋_GB2312" w:hAnsi="仿宋_GB2312" w:eastAsia="仿宋_GB2312"/>
          <w:b w:val="0"/>
          <w:sz w:val="32"/>
        </w:rPr>
        <w:t>9.卫生健康支出(类)行政事业单位医疗(款)公务员医疗补助(项):支出决算数为18.86万元，比上年决算增加1.49万元，增长8.58%,主要原因是：本年在职人员工资基数调增，医疗缴费基数上涨，相应公务员医疗补助支出增加。</w:t>
      </w:r>
    </w:p>
    <w:p w14:paraId="021FD328">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10.卫生健康支出(类)行政事业单位医疗(款)其他行政事业单位医疗支出(项):支出决算数为1.72万元，比上年决算减少0.43万元，下降20.00%,主要原因是：本年在职人员减少，其他行政事业单位医疗支出较上年减少。</w:t>
      </w:r>
    </w:p>
    <w:p w14:paraId="753A33D7">
      <w:pPr>
        <w:spacing w:line="580" w:lineRule="exact"/>
        <w:ind w:firstLine="640"/>
        <w:jc w:val="both"/>
      </w:pPr>
      <w:r>
        <w:rPr>
          <w:rFonts w:ascii="仿宋_GB2312" w:hAnsi="仿宋_GB2312" w:eastAsia="仿宋_GB2312"/>
          <w:b w:val="0"/>
          <w:sz w:val="32"/>
        </w:rPr>
        <w:t>11.住房保障支出(类)住房改革支出(款)住房公积金(项):支出决算数为98.73万元，比上年决算增加21.84万元，增长28.40%,主要原因是：本年在职人员工资基数调增，公积金缴费基数上涨，相应支出增加。</w:t>
      </w:r>
    </w:p>
    <w:p w14:paraId="0B11D5A5">
      <w:pPr>
        <w:spacing w:line="640" w:lineRule="exact"/>
        <w:ind w:firstLine="640"/>
        <w:jc w:val="both"/>
        <w:outlineLvl w:val="2"/>
      </w:pPr>
      <w:r>
        <w:rPr>
          <w:rFonts w:ascii="黑体" w:hAnsi="黑体" w:eastAsia="黑体"/>
          <w:sz w:val="32"/>
        </w:rPr>
        <w:t>六、一般公共预算财政拨款基本支出决算情况说明</w:t>
      </w:r>
    </w:p>
    <w:p w14:paraId="46414C9F">
      <w:pPr>
        <w:spacing w:line="580" w:lineRule="exact"/>
        <w:ind w:firstLine="640"/>
        <w:jc w:val="both"/>
      </w:pPr>
      <w:r>
        <w:rPr>
          <w:rFonts w:ascii="仿宋_GB2312" w:hAnsi="仿宋_GB2312" w:eastAsia="仿宋_GB2312"/>
          <w:b w:val="0"/>
          <w:sz w:val="32"/>
        </w:rPr>
        <w:t>2024年度一般公共预算财政拨款基本支出1,449.36万元，其中：</w:t>
      </w:r>
      <w:r>
        <w:rPr>
          <w:rFonts w:ascii="仿宋_GB2312" w:hAnsi="仿宋_GB2312" w:eastAsia="仿宋_GB2312"/>
          <w:b/>
          <w:sz w:val="32"/>
        </w:rPr>
        <w:t>人员经费1,302.93万元，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3EFA18C3">
      <w:pPr>
        <w:spacing w:line="580" w:lineRule="exact"/>
        <w:ind w:firstLine="640"/>
        <w:jc w:val="both"/>
      </w:pPr>
      <w:r>
        <w:rPr>
          <w:rFonts w:ascii="仿宋_GB2312" w:hAnsi="仿宋_GB2312" w:eastAsia="仿宋_GB2312"/>
          <w:b/>
          <w:sz w:val="32"/>
        </w:rPr>
        <w:t>公用经费146.43万元，</w:t>
      </w:r>
      <w:r>
        <w:rPr>
          <w:rFonts w:ascii="仿宋_GB2312" w:hAnsi="仿宋_GB2312" w:eastAsia="仿宋_GB2312"/>
          <w:b w:val="0"/>
          <w:sz w:val="32"/>
        </w:rPr>
        <w:t>包括：办公费、印刷费、水费、电费、邮电费、取暖费、物业管理费、差旅费、培训费、劳务费、委托业务费、工会经费、福利费、其他商品和服务支出。</w:t>
      </w:r>
    </w:p>
    <w:p w14:paraId="25D2B14B">
      <w:pPr>
        <w:spacing w:line="640" w:lineRule="exact"/>
        <w:ind w:firstLine="640"/>
        <w:jc w:val="both"/>
        <w:outlineLvl w:val="2"/>
      </w:pPr>
      <w:r>
        <w:rPr>
          <w:rFonts w:ascii="黑体" w:hAnsi="黑体" w:eastAsia="黑体"/>
          <w:sz w:val="32"/>
        </w:rPr>
        <w:t>七、政府性基金预算财政拨款收入支出决算情况说明</w:t>
      </w:r>
    </w:p>
    <w:p w14:paraId="4EFB426E">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7F172557">
      <w:pPr>
        <w:spacing w:line="640" w:lineRule="exact"/>
        <w:ind w:firstLine="640"/>
        <w:jc w:val="both"/>
        <w:outlineLvl w:val="2"/>
      </w:pPr>
      <w:r>
        <w:rPr>
          <w:rFonts w:ascii="黑体" w:hAnsi="黑体" w:eastAsia="黑体"/>
          <w:sz w:val="32"/>
        </w:rPr>
        <w:t>八、国有资本经营预算财政拨款收入支出决算情况说明</w:t>
      </w:r>
    </w:p>
    <w:p w14:paraId="2D1EE58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38757DC">
      <w:pPr>
        <w:spacing w:line="640" w:lineRule="exact"/>
        <w:ind w:firstLine="640"/>
        <w:jc w:val="both"/>
        <w:outlineLvl w:val="2"/>
      </w:pPr>
      <w:r>
        <w:rPr>
          <w:rFonts w:ascii="黑体" w:hAnsi="黑体" w:eastAsia="黑体"/>
          <w:sz w:val="32"/>
        </w:rPr>
        <w:t>九、财政拨款“三公”经费支出决算情况说明</w:t>
      </w:r>
    </w:p>
    <w:p w14:paraId="3FDABF81">
      <w:pPr>
        <w:spacing w:line="580" w:lineRule="exact"/>
        <w:ind w:firstLine="640"/>
        <w:jc w:val="both"/>
      </w:pPr>
      <w:r>
        <w:rPr>
          <w:rFonts w:ascii="仿宋_GB2312" w:hAnsi="仿宋_GB2312" w:eastAsia="仿宋_GB2312"/>
          <w:b/>
          <w:sz w:val="32"/>
        </w:rPr>
        <w:t>2024年度财政拨款“三公”经费支出27.89万元，</w:t>
      </w:r>
      <w:r>
        <w:rPr>
          <w:rFonts w:ascii="仿宋_GB2312" w:hAnsi="仿宋_GB2312" w:eastAsia="仿宋_GB2312"/>
          <w:b w:val="0"/>
          <w:sz w:val="32"/>
        </w:rPr>
        <w:t>比上年减少2.11万元，下降7.03%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27.89万元，占100.00%，比上年减少2.11万元，下降7.03%，主要原因是：严格落实中央八项规定精神，厉行节约，减少公务用车运行维护费。公务接待费支出0.00万元，占0.00%，比上年增加0.00万元，增长0.00%，主要原因是：2023年与2024年均未安排公务接待费支出。</w:t>
      </w:r>
    </w:p>
    <w:p w14:paraId="1EF587AD">
      <w:pPr>
        <w:spacing w:line="580" w:lineRule="exact"/>
        <w:ind w:firstLine="640"/>
        <w:jc w:val="both"/>
      </w:pPr>
      <w:r>
        <w:rPr>
          <w:rFonts w:ascii="仿宋_GB2312" w:hAnsi="仿宋_GB2312" w:eastAsia="仿宋_GB2312"/>
          <w:b/>
          <w:sz w:val="32"/>
        </w:rPr>
        <w:t>具体情况如下：</w:t>
      </w:r>
    </w:p>
    <w:p w14:paraId="75B55E00">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0E44C52">
      <w:pPr>
        <w:spacing w:line="580" w:lineRule="exact"/>
        <w:ind w:firstLine="640"/>
        <w:jc w:val="both"/>
      </w:pPr>
      <w:r>
        <w:rPr>
          <w:rFonts w:ascii="仿宋_GB2312" w:hAnsi="仿宋_GB2312" w:eastAsia="仿宋_GB2312"/>
          <w:b w:val="0"/>
          <w:sz w:val="32"/>
        </w:rPr>
        <w:t>公务用车购置及运行维护费27.89万元，其中：公务用车购置费0.00万元，公务用车运行维护费27.89万元。公务用车运行维护费开支内容包括车辆加油费、维修费、保险费、审车费、过路费。公务用车购置数0辆，公务用车保有量21辆。国有资产占用情况中固定资产车辆21辆，与公务用车保有量差异原因是：本部门固定资产车辆与公务用车保有量一致无差异。</w:t>
      </w:r>
    </w:p>
    <w:p w14:paraId="26CE7C5A">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75066C2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27.89万元，决算数27.89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27.89万元，决算数27.89万元，预决算差异率0.00%，主要原因是：严格按照预算执行，预决算无差异。公务接待费全年预算数0.00万元，决算数0.00万元，预决算差异率0.00%，主要原因是：本部门无公务接待费。</w:t>
      </w:r>
    </w:p>
    <w:p w14:paraId="55513D25">
      <w:pPr>
        <w:spacing w:line="640" w:lineRule="exact"/>
        <w:ind w:firstLine="640"/>
        <w:jc w:val="both"/>
        <w:outlineLvl w:val="2"/>
      </w:pPr>
      <w:r>
        <w:rPr>
          <w:rFonts w:ascii="黑体" w:hAnsi="黑体" w:eastAsia="黑体"/>
          <w:sz w:val="32"/>
        </w:rPr>
        <w:t>十、其他重要事项的情况说明</w:t>
      </w:r>
    </w:p>
    <w:p w14:paraId="6B3CF04E">
      <w:pPr>
        <w:spacing w:line="640" w:lineRule="exact"/>
        <w:ind w:firstLine="640"/>
        <w:jc w:val="both"/>
        <w:outlineLvl w:val="3"/>
      </w:pPr>
      <w:r>
        <w:rPr>
          <w:rFonts w:ascii="楷体_GB2312" w:hAnsi="楷体_GB2312" w:eastAsia="楷体_GB2312"/>
          <w:b/>
          <w:sz w:val="32"/>
        </w:rPr>
        <w:t>（一）机关运行经费及公用经费支出情况</w:t>
      </w:r>
    </w:p>
    <w:p w14:paraId="301C32E9">
      <w:pPr>
        <w:spacing w:line="580" w:lineRule="exact"/>
        <w:ind w:firstLine="640"/>
        <w:jc w:val="both"/>
      </w:pPr>
      <w:r>
        <w:rPr>
          <w:rFonts w:ascii="仿宋_GB2312" w:hAnsi="仿宋_GB2312" w:eastAsia="仿宋_GB2312"/>
          <w:b w:val="0"/>
          <w:sz w:val="32"/>
        </w:rPr>
        <w:t>2024年度新疆巴州轮台县人民法院（行政单位和参照公务员法管理事业单位）机关运行经费支出146.43万元，比上年增加1.64万元，增长1.13%，主要原因是：本年委托业务费增加，导致机关运行经费增加。</w:t>
      </w:r>
    </w:p>
    <w:p w14:paraId="40A9F128">
      <w:pPr>
        <w:spacing w:line="640" w:lineRule="exact"/>
        <w:ind w:firstLine="640"/>
        <w:jc w:val="both"/>
        <w:outlineLvl w:val="3"/>
      </w:pPr>
      <w:r>
        <w:rPr>
          <w:rFonts w:ascii="楷体_GB2312" w:hAnsi="楷体_GB2312" w:eastAsia="楷体_GB2312"/>
          <w:b/>
          <w:sz w:val="32"/>
        </w:rPr>
        <w:t>（二）政府采购情况</w:t>
      </w:r>
    </w:p>
    <w:p w14:paraId="730745B9">
      <w:pPr>
        <w:spacing w:line="580" w:lineRule="exact"/>
        <w:ind w:firstLine="640"/>
        <w:jc w:val="both"/>
      </w:pPr>
      <w:r>
        <w:rPr>
          <w:rFonts w:ascii="仿宋_GB2312" w:hAnsi="仿宋_GB2312" w:eastAsia="仿宋_GB2312"/>
          <w:b w:val="0"/>
          <w:sz w:val="32"/>
        </w:rPr>
        <w:t>2024年度政府采购支出总额131.22万元，其中：政府采购货物支出49.03万元、政府采购工程支出59.72万元、政府采购服务支出22.46万元。</w:t>
      </w:r>
    </w:p>
    <w:p w14:paraId="756B07B6">
      <w:pPr>
        <w:spacing w:line="580" w:lineRule="exact"/>
        <w:ind w:firstLine="640"/>
        <w:jc w:val="both"/>
      </w:pPr>
      <w:r>
        <w:rPr>
          <w:rFonts w:ascii="仿宋_GB2312" w:hAnsi="仿宋_GB2312" w:eastAsia="仿宋_GB2312"/>
          <w:b w:val="0"/>
          <w:sz w:val="32"/>
        </w:rPr>
        <w:t>授予中小企业合同金额131.22万元，占政府采购支出总额的100.00%，其中：授予小微企业合同金额128.22万元，占政府采购支出总额的97.71%。</w:t>
      </w:r>
    </w:p>
    <w:p w14:paraId="3C0E474D">
      <w:pPr>
        <w:spacing w:line="640" w:lineRule="exact"/>
        <w:ind w:firstLine="640"/>
        <w:jc w:val="both"/>
        <w:outlineLvl w:val="3"/>
      </w:pPr>
      <w:r>
        <w:rPr>
          <w:rFonts w:ascii="楷体_GB2312" w:hAnsi="楷体_GB2312" w:eastAsia="楷体_GB2312"/>
          <w:b/>
          <w:sz w:val="32"/>
        </w:rPr>
        <w:t>（三）国有资产占用情况说明</w:t>
      </w:r>
    </w:p>
    <w:p w14:paraId="67CE56DF">
      <w:pPr>
        <w:spacing w:line="580" w:lineRule="exact"/>
        <w:ind w:firstLine="640"/>
        <w:jc w:val="both"/>
      </w:pPr>
      <w:r>
        <w:rPr>
          <w:rFonts w:ascii="仿宋_GB2312" w:hAnsi="仿宋_GB2312" w:eastAsia="仿宋_GB2312"/>
          <w:b w:val="0"/>
          <w:sz w:val="32"/>
        </w:rPr>
        <w:t>截至2024年12月31日，房屋6,807.59平方米，价值1,342.03万元。车辆21辆，价值292.67万元，其中：副部（省）级及以上领导用车0辆、主要负责人用车2辆、机要通信用车0辆、应急保障用车0辆、执法执勤用车17辆、特种专业技术用车2辆、离退休干部服务用车0辆、其他用车0辆，其他用车主要是：本部门无其他用车。单价100万元（含）以上设备（不含车辆）0台（套）。</w:t>
      </w:r>
    </w:p>
    <w:p w14:paraId="081A004C">
      <w:pPr>
        <w:spacing w:line="640" w:lineRule="exact"/>
        <w:ind w:firstLine="640"/>
        <w:jc w:val="both"/>
        <w:outlineLvl w:val="2"/>
      </w:pPr>
      <w:r>
        <w:rPr>
          <w:rFonts w:ascii="黑体" w:hAnsi="黑体" w:eastAsia="黑体"/>
          <w:sz w:val="32"/>
        </w:rPr>
        <w:t>十一、预算绩效的情况说明</w:t>
      </w:r>
    </w:p>
    <w:p w14:paraId="64B1792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根据预算绩效管理要求，本部门2024年度预算绩效管理形成整体支出绩效自评表1个，全年预算总额1,880.36万元，实际执行总额1,880.36万元；预算绩效评价项目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431</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431</w:t>
      </w:r>
      <w:r>
        <w:rPr>
          <w:rFonts w:ascii="仿宋_GB2312" w:hAnsi="仿宋_GB2312" w:eastAsia="仿宋_GB2312"/>
          <w:b w:val="0"/>
          <w:sz w:val="32"/>
        </w:rPr>
        <w:t>.00万元。预算绩效管理取得的成效：一是围绕核心职能科学设定绩效指标，年度绩效目标完成率显著提高，重点工作任务按计划推进；二是建立动态绩</w:t>
      </w:r>
      <w:bookmarkStart w:id="0" w:name="_GoBack"/>
      <w:bookmarkEnd w:id="0"/>
      <w:r>
        <w:rPr>
          <w:rFonts w:ascii="仿宋_GB2312" w:hAnsi="仿宋_GB2312" w:eastAsia="仿宋_GB2312"/>
          <w:b w:val="0"/>
          <w:sz w:val="32"/>
        </w:rPr>
        <w:t>效监控机制，及时调整执行偏差，资金使用更加精准高效，低效无效支出有效减少；三是业务流程持续优化；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6C380C5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709FD21">
        <w:tblPrEx>
          <w:tblCellMar>
            <w:top w:w="0" w:type="dxa"/>
            <w:left w:w="108" w:type="dxa"/>
            <w:bottom w:w="0" w:type="dxa"/>
            <w:right w:w="108" w:type="dxa"/>
          </w:tblCellMar>
        </w:tblPrEx>
        <w:tc>
          <w:tcPr>
            <w:tcW w:w="8840" w:type="dxa"/>
            <w:gridSpan w:val="8"/>
            <w:vAlign w:val="center"/>
          </w:tcPr>
          <w:p w14:paraId="7252D66F">
            <w:pPr>
              <w:jc w:val="center"/>
            </w:pPr>
            <w:r>
              <w:rPr>
                <w:rFonts w:ascii="宋体" w:hAnsi="宋体" w:eastAsia="宋体"/>
                <w:sz w:val="24"/>
              </w:rPr>
              <w:t>部门整体支出绩效自评表</w:t>
            </w:r>
          </w:p>
        </w:tc>
      </w:tr>
      <w:tr w14:paraId="17044A94">
        <w:tblPrEx>
          <w:tblCellMar>
            <w:top w:w="0" w:type="dxa"/>
            <w:left w:w="108" w:type="dxa"/>
            <w:bottom w:w="0" w:type="dxa"/>
            <w:right w:w="108" w:type="dxa"/>
          </w:tblCellMar>
        </w:tblPrEx>
        <w:tc>
          <w:tcPr>
            <w:tcW w:w="8840" w:type="dxa"/>
            <w:gridSpan w:val="8"/>
            <w:vAlign w:val="center"/>
          </w:tcPr>
          <w:p w14:paraId="3FC6796B">
            <w:pPr>
              <w:jc w:val="center"/>
            </w:pPr>
            <w:r>
              <w:rPr>
                <w:rFonts w:ascii="宋体" w:hAnsi="宋体" w:eastAsia="宋体"/>
                <w:sz w:val="24"/>
              </w:rPr>
              <w:t>（2024年度）</w:t>
            </w:r>
          </w:p>
        </w:tc>
      </w:tr>
      <w:tr w14:paraId="267DF33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5DBE3">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FD5BC">
            <w:pPr>
              <w:jc w:val="center"/>
            </w:pPr>
            <w:r>
              <w:rPr>
                <w:rFonts w:ascii="宋体" w:hAnsi="宋体" w:eastAsia="宋体"/>
                <w:sz w:val="16"/>
              </w:rPr>
              <w:t>新疆巴州轮台县人民法院</w:t>
            </w:r>
          </w:p>
        </w:tc>
      </w:tr>
      <w:tr w14:paraId="4212A4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9A12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3D8E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788F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83AE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AAB66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847F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7C5B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81203">
            <w:pPr>
              <w:jc w:val="center"/>
            </w:pPr>
            <w:r>
              <w:rPr>
                <w:rFonts w:ascii="宋体" w:hAnsi="宋体" w:eastAsia="宋体"/>
                <w:sz w:val="16"/>
              </w:rPr>
              <w:t>得分</w:t>
            </w:r>
          </w:p>
        </w:tc>
      </w:tr>
      <w:tr w14:paraId="374E8C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A40D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1F03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E3CBF">
            <w:pPr>
              <w:jc w:val="center"/>
            </w:pPr>
            <w:r>
              <w:rPr>
                <w:rFonts w:ascii="宋体" w:hAnsi="宋体" w:eastAsia="宋体"/>
                <w:sz w:val="16"/>
              </w:rPr>
              <w:t>1,913.67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A2B12">
            <w:pPr>
              <w:jc w:val="center"/>
            </w:pPr>
            <w:r>
              <w:rPr>
                <w:rFonts w:ascii="宋体" w:hAnsi="宋体" w:eastAsia="宋体"/>
                <w:sz w:val="16"/>
              </w:rPr>
              <w:t>1,880.36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FA39F">
            <w:pPr>
              <w:jc w:val="center"/>
            </w:pPr>
            <w:r>
              <w:rPr>
                <w:rFonts w:ascii="宋体" w:hAnsi="宋体" w:eastAsia="宋体"/>
                <w:sz w:val="16"/>
              </w:rPr>
              <w:t>1,880.36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558B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7A76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8C39D">
            <w:pPr>
              <w:jc w:val="center"/>
            </w:pPr>
            <w:r>
              <w:rPr>
                <w:rFonts w:ascii="宋体" w:hAnsi="宋体" w:eastAsia="宋体"/>
                <w:sz w:val="16"/>
              </w:rPr>
              <w:t>10</w:t>
            </w:r>
          </w:p>
        </w:tc>
      </w:tr>
      <w:tr w14:paraId="20D8DB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523E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EB16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CEC6A">
            <w:pPr>
              <w:jc w:val="center"/>
            </w:pPr>
            <w:r>
              <w:rPr>
                <w:rFonts w:ascii="宋体" w:hAnsi="宋体" w:eastAsia="宋体"/>
                <w:sz w:val="16"/>
              </w:rPr>
              <w:t>338.00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B4540">
            <w:pPr>
              <w:jc w:val="center"/>
            </w:pPr>
            <w:r>
              <w:rPr>
                <w:rFonts w:ascii="宋体" w:hAnsi="宋体" w:eastAsia="宋体"/>
                <w:sz w:val="16"/>
              </w:rPr>
              <w:t>419.00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4E176">
            <w:pPr>
              <w:jc w:val="center"/>
            </w:pPr>
            <w:r>
              <w:rPr>
                <w:rFonts w:ascii="宋体" w:hAnsi="宋体" w:eastAsia="宋体"/>
                <w:sz w:val="16"/>
              </w:rPr>
              <w:t>419.00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884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544F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F97D3">
            <w:pPr>
              <w:jc w:val="center"/>
            </w:pPr>
            <w:r>
              <w:rPr>
                <w:rFonts w:ascii="宋体" w:hAnsi="宋体" w:eastAsia="宋体"/>
                <w:sz w:val="16"/>
              </w:rPr>
              <w:t>-</w:t>
            </w:r>
          </w:p>
        </w:tc>
      </w:tr>
      <w:tr w14:paraId="09DADD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030B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BD755">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FE1DA">
            <w:pPr>
              <w:jc w:val="center"/>
            </w:pPr>
            <w:r>
              <w:rPr>
                <w:rFonts w:ascii="宋体" w:hAnsi="宋体" w:eastAsia="宋体"/>
                <w:sz w:val="16"/>
              </w:rPr>
              <w:t>1,575.67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9AEF0">
            <w:pPr>
              <w:jc w:val="center"/>
            </w:pPr>
            <w:r>
              <w:rPr>
                <w:rFonts w:ascii="宋体" w:hAnsi="宋体" w:eastAsia="宋体"/>
                <w:sz w:val="16"/>
              </w:rPr>
              <w:t>1,461.36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77C30">
            <w:pPr>
              <w:jc w:val="center"/>
            </w:pPr>
            <w:r>
              <w:rPr>
                <w:rFonts w:ascii="宋体" w:hAnsi="宋体" w:eastAsia="宋体"/>
                <w:sz w:val="16"/>
              </w:rPr>
              <w:t>1,461.36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C7E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3BDF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88EE9">
            <w:pPr>
              <w:jc w:val="center"/>
            </w:pPr>
            <w:r>
              <w:rPr>
                <w:rFonts w:ascii="宋体" w:hAnsi="宋体" w:eastAsia="宋体"/>
                <w:sz w:val="16"/>
              </w:rPr>
              <w:t>-</w:t>
            </w:r>
          </w:p>
        </w:tc>
      </w:tr>
      <w:tr w14:paraId="27961748">
        <w:tblPrEx>
          <w:tblCellMar>
            <w:top w:w="0" w:type="dxa"/>
            <w:left w:w="108" w:type="dxa"/>
            <w:bottom w:w="0" w:type="dxa"/>
            <w:right w:w="108" w:type="dxa"/>
          </w:tblCellMar>
        </w:tblPrEx>
        <w:trPr>
          <w:trHeight w:val="912"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F025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0FA70">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8221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5BDD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EF51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5C1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321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104C4">
            <w:pPr>
              <w:jc w:val="center"/>
            </w:pPr>
            <w:r>
              <w:rPr>
                <w:rFonts w:ascii="宋体" w:hAnsi="宋体" w:eastAsia="宋体"/>
                <w:sz w:val="16"/>
              </w:rPr>
              <w:t>-</w:t>
            </w:r>
          </w:p>
        </w:tc>
      </w:tr>
      <w:tr w14:paraId="17455FC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997A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7DE92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A21730">
            <w:pPr>
              <w:jc w:val="center"/>
            </w:pPr>
            <w:r>
              <w:rPr>
                <w:rFonts w:ascii="宋体" w:hAnsi="宋体" w:eastAsia="宋体"/>
                <w:sz w:val="16"/>
              </w:rPr>
              <w:t>实际完成情况</w:t>
            </w:r>
          </w:p>
        </w:tc>
      </w:tr>
      <w:tr w14:paraId="1345E717">
        <w:tblPrEx>
          <w:tblCellMar>
            <w:top w:w="0" w:type="dxa"/>
            <w:left w:w="108" w:type="dxa"/>
            <w:bottom w:w="0" w:type="dxa"/>
            <w:right w:w="108" w:type="dxa"/>
          </w:tblCellMar>
        </w:tblPrEx>
        <w:trPr>
          <w:trHeight w:val="5454"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D1CA7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C2F1FA">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轮台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F78FB4">
            <w:pPr>
              <w:jc w:val="both"/>
            </w:pPr>
            <w:r>
              <w:rPr>
                <w:rFonts w:ascii="宋体" w:hAnsi="宋体" w:eastAsia="宋体"/>
                <w:sz w:val="16"/>
              </w:rPr>
              <w:t>轮台县人民法院坚持以习近平新时代中国特色社会主义思想为指导，在县委坚强领导、县人大及其常委会的有力监督下，在县政府、政协和社会各界的大力关心支持下，深入学习贯彻党的二十大精神，完整准确全面贯彻落实习近平法治思想和新时代党的治疆方略。牢固树立“以人民为中心”的司法理念，紧紧围绕县委中心工作，忠实履行宪法法律赋予的职责，依法维护社会稳定、服务保障乡村振兴和经济高质量发展，努力实现让人民群众在每一个司法案件中感受到公平正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轮台县人民法院2024年继续深化落实案件质量，收案3650件，一审服判息诉率达到96.24%，法定审限期内结案率达到99.96%，增进法院可持续发展提升社会司法环境公平公正。坚持司法为民，公正司法，保护人民群众合法权益，提高了法院信息化整体应用水平，推进智慧法院项目实施，确保轮台法院信息化项目稳步推进。</w:t>
            </w:r>
          </w:p>
        </w:tc>
      </w:tr>
      <w:tr w14:paraId="34F43AE5">
        <w:tblPrEx>
          <w:tblCellMar>
            <w:top w:w="0" w:type="dxa"/>
            <w:left w:w="108" w:type="dxa"/>
            <w:bottom w:w="0" w:type="dxa"/>
            <w:right w:w="108" w:type="dxa"/>
          </w:tblCellMar>
        </w:tblPrEx>
        <w:trPr>
          <w:trHeight w:val="824"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1A85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01D0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905D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F3CC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1479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845D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61D9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70902">
            <w:pPr>
              <w:jc w:val="center"/>
            </w:pPr>
            <w:r>
              <w:rPr>
                <w:rFonts w:ascii="宋体" w:hAnsi="宋体" w:eastAsia="宋体"/>
                <w:sz w:val="16"/>
              </w:rPr>
              <w:t>得分</w:t>
            </w:r>
          </w:p>
        </w:tc>
      </w:tr>
      <w:tr w14:paraId="66671FA4">
        <w:tblPrEx>
          <w:tblCellMar>
            <w:top w:w="0" w:type="dxa"/>
            <w:left w:w="108" w:type="dxa"/>
            <w:bottom w:w="0" w:type="dxa"/>
            <w:right w:w="108" w:type="dxa"/>
          </w:tblCellMar>
        </w:tblPrEx>
        <w:trPr>
          <w:trHeight w:val="1036" w:hRule="atLeast"/>
        </w:trP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7A7E4">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1BA7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E3D3F">
            <w:pPr>
              <w:jc w:val="center"/>
            </w:pPr>
            <w:r>
              <w:rPr>
                <w:rFonts w:ascii="宋体" w:hAnsi="宋体" w:eastAsia="宋体"/>
                <w:sz w:val="16"/>
              </w:rPr>
              <w:t>案件受理数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7EACF">
            <w:pPr>
              <w:jc w:val="center"/>
            </w:pPr>
            <w:r>
              <w:rPr>
                <w:rFonts w:ascii="宋体" w:hAnsi="宋体" w:eastAsia="宋体"/>
                <w:sz w:val="16"/>
              </w:rPr>
              <w:t>&gt;=3600件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08C27">
            <w:pPr>
              <w:jc w:val="center"/>
            </w:pPr>
            <w:r>
              <w:rPr>
                <w:rFonts w:ascii="宋体" w:hAnsi="宋体" w:eastAsia="宋体"/>
                <w:sz w:val="16"/>
              </w:rPr>
              <w:t>轮台县人民法院工作报告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27E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70CF3">
            <w:pPr>
              <w:jc w:val="center"/>
            </w:pPr>
            <w:r>
              <w:rPr>
                <w:rFonts w:ascii="宋体" w:hAnsi="宋体" w:eastAsia="宋体"/>
                <w:sz w:val="16"/>
              </w:rPr>
              <w:t>3650件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88B9A">
            <w:pPr>
              <w:jc w:val="center"/>
            </w:pPr>
            <w:r>
              <w:rPr>
                <w:rFonts w:ascii="宋体" w:hAnsi="宋体" w:eastAsia="宋体"/>
                <w:sz w:val="16"/>
              </w:rPr>
              <w:t>30</w:t>
            </w:r>
          </w:p>
        </w:tc>
      </w:tr>
      <w:tr w14:paraId="6A04ACE6">
        <w:tblPrEx>
          <w:tblCellMar>
            <w:top w:w="0" w:type="dxa"/>
            <w:left w:w="108" w:type="dxa"/>
            <w:bottom w:w="0" w:type="dxa"/>
            <w:right w:w="108" w:type="dxa"/>
          </w:tblCellMar>
        </w:tblPrEx>
        <w:trPr>
          <w:trHeight w:val="1036"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71135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6BA2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71600">
            <w:pPr>
              <w:jc w:val="center"/>
            </w:pPr>
            <w:r>
              <w:rPr>
                <w:rFonts w:ascii="宋体" w:hAnsi="宋体" w:eastAsia="宋体"/>
                <w:sz w:val="16"/>
              </w:rPr>
              <w:t>一审服判息诉率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4A3B0">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C6379">
            <w:pPr>
              <w:jc w:val="center"/>
            </w:pPr>
            <w:r>
              <w:rPr>
                <w:rFonts w:ascii="宋体" w:hAnsi="宋体" w:eastAsia="宋体"/>
                <w:sz w:val="16"/>
              </w:rPr>
              <w:t>轮台县人民法院工作报告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78ED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09E0E">
            <w:pPr>
              <w:jc w:val="center"/>
            </w:pPr>
            <w:r>
              <w:rPr>
                <w:rFonts w:ascii="宋体" w:hAnsi="宋体" w:eastAsia="宋体"/>
                <w:sz w:val="16"/>
              </w:rPr>
              <w:t>96.24%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E7C57">
            <w:pPr>
              <w:jc w:val="center"/>
            </w:pPr>
            <w:r>
              <w:rPr>
                <w:rFonts w:ascii="宋体" w:hAnsi="宋体" w:eastAsia="宋体"/>
                <w:sz w:val="16"/>
              </w:rPr>
              <w:t>30</w:t>
            </w:r>
          </w:p>
        </w:tc>
      </w:tr>
      <w:tr w14:paraId="1B706A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F6FB3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B36B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839BF">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58CEF">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A39A6">
            <w:pPr>
              <w:jc w:val="center"/>
            </w:pPr>
            <w:r>
              <w:rPr>
                <w:rFonts w:ascii="宋体" w:hAnsi="宋体" w:eastAsia="宋体"/>
                <w:sz w:val="16"/>
              </w:rPr>
              <w:t>轮台县人民法院工作报告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B8A5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7C072">
            <w:pPr>
              <w:jc w:val="center"/>
            </w:pPr>
            <w:r>
              <w:rPr>
                <w:rFonts w:ascii="宋体" w:hAnsi="宋体" w:eastAsia="宋体"/>
                <w:sz w:val="16"/>
              </w:rPr>
              <w:t>99.96%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3991C">
            <w:pPr>
              <w:jc w:val="center"/>
            </w:pPr>
            <w:r>
              <w:rPr>
                <w:rFonts w:ascii="宋体" w:hAnsi="宋体" w:eastAsia="宋体"/>
                <w:sz w:val="16"/>
              </w:rPr>
              <w:t>20</w:t>
            </w:r>
          </w:p>
        </w:tc>
      </w:tr>
      <w:tr w14:paraId="3B26D32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DE993">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2F1E2">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4A980">
            <w:pPr>
              <w:jc w:val="center"/>
            </w:pPr>
            <w:r>
              <w:rPr>
                <w:rFonts w:ascii="宋体" w:hAnsi="宋体" w:eastAsia="宋体"/>
                <w:sz w:val="16"/>
              </w:rPr>
              <w:t>案件当事人满意度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9A7FF">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6ACD34">
            <w:pPr>
              <w:jc w:val="center"/>
            </w:pPr>
            <w:r>
              <w:rPr>
                <w:rFonts w:ascii="宋体" w:hAnsi="宋体" w:eastAsia="宋体"/>
                <w:sz w:val="16"/>
              </w:rPr>
              <w:t>轮台县人民法院工作报告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A659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57CD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17017">
            <w:pPr>
              <w:jc w:val="center"/>
            </w:pPr>
            <w:r>
              <w:rPr>
                <w:rFonts w:ascii="宋体" w:hAnsi="宋体" w:eastAsia="宋体"/>
                <w:sz w:val="16"/>
              </w:rPr>
              <w:t>10</w:t>
            </w:r>
          </w:p>
        </w:tc>
      </w:tr>
    </w:tbl>
    <w:p w14:paraId="115F68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30A66AD">
        <w:tblPrEx>
          <w:tblCellMar>
            <w:top w:w="0" w:type="dxa"/>
            <w:left w:w="108" w:type="dxa"/>
            <w:bottom w:w="0" w:type="dxa"/>
            <w:right w:w="108" w:type="dxa"/>
          </w:tblCellMar>
        </w:tblPrEx>
        <w:tc>
          <w:tcPr>
            <w:tcW w:w="8848" w:type="dxa"/>
            <w:gridSpan w:val="14"/>
            <w:vAlign w:val="center"/>
          </w:tcPr>
          <w:p w14:paraId="735FDF8E">
            <w:pPr>
              <w:jc w:val="center"/>
            </w:pPr>
            <w:r>
              <w:rPr>
                <w:rFonts w:ascii="宋体" w:hAnsi="宋体" w:eastAsia="宋体"/>
                <w:sz w:val="24"/>
              </w:rPr>
              <w:t>项目支出绩效自评表</w:t>
            </w:r>
          </w:p>
        </w:tc>
      </w:tr>
      <w:tr w14:paraId="09A838A0">
        <w:tblPrEx>
          <w:tblCellMar>
            <w:top w:w="0" w:type="dxa"/>
            <w:left w:w="108" w:type="dxa"/>
            <w:bottom w:w="0" w:type="dxa"/>
            <w:right w:w="108" w:type="dxa"/>
          </w:tblCellMar>
        </w:tblPrEx>
        <w:tc>
          <w:tcPr>
            <w:tcW w:w="8848" w:type="dxa"/>
            <w:gridSpan w:val="14"/>
            <w:vAlign w:val="center"/>
          </w:tcPr>
          <w:p w14:paraId="4BAC5000">
            <w:pPr>
              <w:jc w:val="center"/>
            </w:pPr>
            <w:r>
              <w:rPr>
                <w:rFonts w:ascii="宋体" w:hAnsi="宋体" w:eastAsia="宋体"/>
                <w:sz w:val="24"/>
              </w:rPr>
              <w:t>(2024年度)</w:t>
            </w:r>
          </w:p>
        </w:tc>
      </w:tr>
      <w:tr w14:paraId="058E3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A6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656B6">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FCC7B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9E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BB1BA">
            <w:pPr>
              <w:jc w:val="center"/>
            </w:pPr>
            <w:r>
              <w:rPr>
                <w:rFonts w:ascii="宋体" w:hAnsi="宋体" w:eastAsia="宋体"/>
                <w:sz w:val="16"/>
              </w:rPr>
              <w:t>新疆巴州轮台县人民法院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A6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BF9697">
            <w:pPr>
              <w:jc w:val="center"/>
            </w:pPr>
            <w:r>
              <w:rPr>
                <w:rFonts w:ascii="宋体" w:hAnsi="宋体" w:eastAsia="宋体"/>
                <w:sz w:val="16"/>
              </w:rPr>
              <w:t>新疆巴州轮台县人民法院</w:t>
            </w:r>
          </w:p>
        </w:tc>
      </w:tr>
      <w:tr w14:paraId="2D06F0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4750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FA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A9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37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55C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B9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73C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BDF3">
            <w:pPr>
              <w:jc w:val="center"/>
            </w:pPr>
            <w:r>
              <w:rPr>
                <w:rFonts w:ascii="宋体" w:hAnsi="宋体" w:eastAsia="宋体"/>
                <w:sz w:val="16"/>
              </w:rPr>
              <w:t>得分</w:t>
            </w:r>
          </w:p>
        </w:tc>
      </w:tr>
      <w:tr w14:paraId="0D892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C08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422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474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D13D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DB2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3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4B6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EE0F">
            <w:pPr>
              <w:jc w:val="center"/>
            </w:pPr>
            <w:r>
              <w:rPr>
                <w:rFonts w:ascii="宋体" w:hAnsi="宋体" w:eastAsia="宋体"/>
                <w:sz w:val="16"/>
              </w:rPr>
              <w:t>10.00</w:t>
            </w:r>
          </w:p>
        </w:tc>
      </w:tr>
      <w:tr w14:paraId="1A9CC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85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7C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A459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C22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C4E0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826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F5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37B5">
            <w:pPr>
              <w:jc w:val="center"/>
            </w:pPr>
            <w:r>
              <w:rPr>
                <w:rFonts w:ascii="宋体" w:hAnsi="宋体" w:eastAsia="宋体"/>
                <w:sz w:val="16"/>
              </w:rPr>
              <w:t>-</w:t>
            </w:r>
          </w:p>
        </w:tc>
      </w:tr>
      <w:tr w14:paraId="42C9C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06C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B0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A4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86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6D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9E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5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9D04">
            <w:pPr>
              <w:jc w:val="center"/>
            </w:pPr>
            <w:r>
              <w:rPr>
                <w:rFonts w:ascii="宋体" w:hAnsi="宋体" w:eastAsia="宋体"/>
                <w:sz w:val="16"/>
              </w:rPr>
              <w:t>-</w:t>
            </w:r>
          </w:p>
        </w:tc>
      </w:tr>
      <w:tr w14:paraId="558DDB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9CCA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6E79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FDDC90">
            <w:pPr>
              <w:jc w:val="center"/>
            </w:pPr>
            <w:r>
              <w:rPr>
                <w:rFonts w:ascii="宋体" w:hAnsi="宋体" w:eastAsia="宋体"/>
                <w:sz w:val="16"/>
              </w:rPr>
              <w:t>总体目标完成情况</w:t>
            </w:r>
          </w:p>
        </w:tc>
      </w:tr>
      <w:tr w14:paraId="3FDFC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68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0D41A">
            <w:pPr>
              <w:jc w:val="both"/>
            </w:pPr>
            <w:r>
              <w:rPr>
                <w:rFonts w:ascii="宋体" w:hAnsi="宋体" w:eastAsia="宋体"/>
                <w:sz w:val="16"/>
              </w:rPr>
              <w:t>按照自治区工作指示，我院驻点轮台县轮台镇拉帕村工作队，确保村基础设施建设完备，确保贫困群众生活质量提升，进行访贫问苦，购置鸡苗；确保居民夜间行动照明方便，安装路灯。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A5476">
            <w:pPr>
              <w:jc w:val="both"/>
            </w:pPr>
            <w:r>
              <w:rPr>
                <w:rFonts w:ascii="宋体" w:hAnsi="宋体" w:eastAsia="宋体"/>
                <w:sz w:val="16"/>
              </w:rPr>
              <w:t>为全面贯彻新时代党的治疆方略，努力做好群众工作，落实惠民政策，我院开展完成</w:t>
            </w:r>
            <w:r>
              <w:rPr>
                <w:rFonts w:hint="eastAsia" w:ascii="宋体" w:hAnsi="宋体"/>
                <w:sz w:val="16"/>
                <w:lang w:eastAsia="zh-CN"/>
              </w:rPr>
              <w:t>为民办实事</w:t>
            </w:r>
            <w:r>
              <w:rPr>
                <w:rFonts w:ascii="宋体" w:hAnsi="宋体" w:eastAsia="宋体"/>
                <w:sz w:val="16"/>
              </w:rPr>
              <w:t>工作队经费项目，确保轮台县拉帕村工作队共6名工作人员，工作经费落实到实处。组织慰问活动访贫问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，把惠民生、暖民心、顺民意的工作做到群众心坎上。确保村基础设施建设完备，确保贫困群众生活质量提升，进行访贫问苦，购置鸡苗；确保居民夜间行动照明方便，安装路灯。</w:t>
            </w:r>
          </w:p>
        </w:tc>
      </w:tr>
      <w:tr w14:paraId="724415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4E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FC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B1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5F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EA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FF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C64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F0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C6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3C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43D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3A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B8F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2538">
            <w:pPr>
              <w:jc w:val="center"/>
            </w:pPr>
            <w:r>
              <w:rPr>
                <w:rFonts w:ascii="宋体" w:hAnsi="宋体" w:eastAsia="宋体"/>
                <w:sz w:val="16"/>
              </w:rPr>
              <w:t>偏差原因分析及改进措施</w:t>
            </w:r>
          </w:p>
        </w:tc>
      </w:tr>
      <w:tr w14:paraId="74307E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FEB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414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779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01CB">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48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2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B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C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A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8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C31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B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2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D43B">
            <w:pPr>
              <w:jc w:val="center"/>
            </w:pPr>
          </w:p>
        </w:tc>
      </w:tr>
      <w:tr w14:paraId="510B9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14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72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13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0BAC">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620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3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9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2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5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9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A98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D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2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C3A4">
            <w:pPr>
              <w:jc w:val="center"/>
            </w:pPr>
          </w:p>
        </w:tc>
      </w:tr>
      <w:tr w14:paraId="5BB31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1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6E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39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0352">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2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9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EB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49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4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3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E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D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E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4A43">
            <w:pPr>
              <w:jc w:val="center"/>
            </w:pPr>
          </w:p>
        </w:tc>
      </w:tr>
      <w:tr w14:paraId="28FA8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4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3E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56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C42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4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D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5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A5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4C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B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5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B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9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567E">
            <w:pPr>
              <w:jc w:val="center"/>
            </w:pPr>
          </w:p>
        </w:tc>
      </w:tr>
      <w:tr w14:paraId="122BB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E11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EDD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560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A908">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9E1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D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FE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4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9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19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9F0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B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87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5FB8">
            <w:pPr>
              <w:jc w:val="center"/>
            </w:pPr>
          </w:p>
        </w:tc>
      </w:tr>
      <w:tr w14:paraId="4644D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7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3E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5B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2F98">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477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4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5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6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9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96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DC2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E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0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3B88">
            <w:pPr>
              <w:jc w:val="center"/>
            </w:pPr>
          </w:p>
        </w:tc>
      </w:tr>
      <w:tr w14:paraId="5FDF0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AA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5D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94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68B2">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2ED0">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4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E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D9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A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D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2174">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5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76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630C">
            <w:pPr>
              <w:jc w:val="center"/>
            </w:pPr>
          </w:p>
        </w:tc>
      </w:tr>
      <w:tr w14:paraId="29146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71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91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3A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63B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06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6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8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D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B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A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3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D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0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EF6F">
            <w:pPr>
              <w:jc w:val="center"/>
            </w:pPr>
          </w:p>
        </w:tc>
      </w:tr>
      <w:tr w14:paraId="7E589C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68F8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426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B9F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DF2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6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115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EE4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D75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82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8B5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AA9EB"/>
        </w:tc>
      </w:tr>
    </w:tbl>
    <w:p w14:paraId="23EAB9C3">
      <w:r>
        <w:br w:type="page"/>
      </w:r>
    </w:p>
    <w:p w14:paraId="4F9FF8BE">
      <w:pPr>
        <w:spacing w:line="640" w:lineRule="exact"/>
        <w:ind w:firstLine="640"/>
        <w:jc w:val="both"/>
        <w:outlineLvl w:val="2"/>
      </w:pPr>
      <w:r>
        <w:rPr>
          <w:rFonts w:ascii="黑体" w:hAnsi="黑体" w:eastAsia="黑体"/>
          <w:sz w:val="32"/>
        </w:rPr>
        <w:t>十二、其他需说明的事项</w:t>
      </w:r>
    </w:p>
    <w:p w14:paraId="407EFE41">
      <w:pPr>
        <w:spacing w:line="580" w:lineRule="exact"/>
        <w:ind w:firstLine="640"/>
        <w:jc w:val="both"/>
      </w:pPr>
      <w:r>
        <w:rPr>
          <w:rFonts w:ascii="仿宋_GB2312" w:hAnsi="仿宋_GB2312" w:eastAsia="仿宋_GB2312"/>
          <w:b w:val="0"/>
          <w:sz w:val="32"/>
        </w:rPr>
        <w:t>本年本部门SM项目1个，全年预算数419.00万元，全年执行数419.00万元。</w:t>
      </w:r>
    </w:p>
    <w:p w14:paraId="2D9646BB">
      <w:r>
        <w:br w:type="page"/>
      </w:r>
    </w:p>
    <w:p w14:paraId="356161F8">
      <w:pPr>
        <w:spacing w:line="240" w:lineRule="auto"/>
        <w:jc w:val="center"/>
        <w:outlineLvl w:val="1"/>
      </w:pPr>
      <w:r>
        <w:rPr>
          <w:rFonts w:ascii="黑体" w:hAnsi="黑体" w:eastAsia="黑体"/>
          <w:sz w:val="32"/>
        </w:rPr>
        <w:t>第三部分 专业名词解释</w:t>
      </w:r>
    </w:p>
    <w:p w14:paraId="5A6A7F1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E7A79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74158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46DB7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E49868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9BC3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449B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35CB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F183E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2C278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F03C8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AE635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BE88C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4CCF7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E7F041">
      <w:r>
        <w:br w:type="page"/>
      </w:r>
    </w:p>
    <w:p w14:paraId="2681C9BB">
      <w:pPr>
        <w:spacing w:line="240" w:lineRule="auto"/>
        <w:jc w:val="center"/>
        <w:outlineLvl w:val="1"/>
      </w:pPr>
      <w:r>
        <w:rPr>
          <w:rFonts w:ascii="黑体" w:hAnsi="黑体" w:eastAsia="黑体"/>
          <w:sz w:val="32"/>
        </w:rPr>
        <w:t>第四部分 部门决算报表（见附表）</w:t>
      </w:r>
    </w:p>
    <w:p w14:paraId="4F563E73">
      <w:pPr>
        <w:spacing w:line="240" w:lineRule="auto"/>
        <w:ind w:firstLine="640"/>
        <w:jc w:val="both"/>
      </w:pPr>
      <w:r>
        <w:rPr>
          <w:rFonts w:ascii="仿宋_GB2312" w:hAnsi="仿宋_GB2312" w:eastAsia="仿宋_GB2312"/>
          <w:b w:val="0"/>
          <w:sz w:val="32"/>
        </w:rPr>
        <w:t>一、《收入支出决算总表》</w:t>
      </w:r>
    </w:p>
    <w:p w14:paraId="0B3D1CAC">
      <w:pPr>
        <w:spacing w:line="240" w:lineRule="auto"/>
        <w:ind w:firstLine="640"/>
        <w:jc w:val="both"/>
      </w:pPr>
      <w:r>
        <w:rPr>
          <w:rFonts w:ascii="仿宋_GB2312" w:hAnsi="仿宋_GB2312" w:eastAsia="仿宋_GB2312"/>
          <w:b w:val="0"/>
          <w:sz w:val="32"/>
        </w:rPr>
        <w:t>二、《收入决算表》</w:t>
      </w:r>
    </w:p>
    <w:p w14:paraId="5D0B88AB">
      <w:pPr>
        <w:spacing w:line="240" w:lineRule="auto"/>
        <w:ind w:firstLine="640"/>
        <w:jc w:val="both"/>
      </w:pPr>
      <w:r>
        <w:rPr>
          <w:rFonts w:ascii="仿宋_GB2312" w:hAnsi="仿宋_GB2312" w:eastAsia="仿宋_GB2312"/>
          <w:b w:val="0"/>
          <w:sz w:val="32"/>
        </w:rPr>
        <w:t>三、《支出决算表》</w:t>
      </w:r>
    </w:p>
    <w:p w14:paraId="07444B17">
      <w:pPr>
        <w:spacing w:line="240" w:lineRule="auto"/>
        <w:ind w:firstLine="640"/>
        <w:jc w:val="both"/>
      </w:pPr>
      <w:r>
        <w:rPr>
          <w:rFonts w:ascii="仿宋_GB2312" w:hAnsi="仿宋_GB2312" w:eastAsia="仿宋_GB2312"/>
          <w:b w:val="0"/>
          <w:sz w:val="32"/>
        </w:rPr>
        <w:t>四、《财政拨款收入支出决算总表》</w:t>
      </w:r>
    </w:p>
    <w:p w14:paraId="3EAF148F">
      <w:pPr>
        <w:spacing w:line="240" w:lineRule="auto"/>
        <w:ind w:firstLine="640"/>
        <w:jc w:val="both"/>
      </w:pPr>
      <w:r>
        <w:rPr>
          <w:rFonts w:ascii="仿宋_GB2312" w:hAnsi="仿宋_GB2312" w:eastAsia="仿宋_GB2312"/>
          <w:b w:val="0"/>
          <w:sz w:val="32"/>
        </w:rPr>
        <w:t>五、《一般公共预算财政拨款支出决算表》</w:t>
      </w:r>
    </w:p>
    <w:p w14:paraId="06A1B953">
      <w:pPr>
        <w:spacing w:line="240" w:lineRule="auto"/>
        <w:ind w:firstLine="640"/>
        <w:jc w:val="both"/>
      </w:pPr>
      <w:r>
        <w:rPr>
          <w:rFonts w:ascii="仿宋_GB2312" w:hAnsi="仿宋_GB2312" w:eastAsia="仿宋_GB2312"/>
          <w:b w:val="0"/>
          <w:sz w:val="32"/>
        </w:rPr>
        <w:t>六、《一般公共预算财政拨款基本支出决算表》</w:t>
      </w:r>
    </w:p>
    <w:p w14:paraId="5C8C3882">
      <w:pPr>
        <w:spacing w:line="240" w:lineRule="auto"/>
        <w:ind w:firstLine="640"/>
        <w:jc w:val="both"/>
      </w:pPr>
      <w:r>
        <w:rPr>
          <w:rFonts w:ascii="仿宋_GB2312" w:hAnsi="仿宋_GB2312" w:eastAsia="仿宋_GB2312"/>
          <w:b w:val="0"/>
          <w:sz w:val="32"/>
        </w:rPr>
        <w:t>七、《政府性基金预算财政拨款收入支出决算表》</w:t>
      </w:r>
    </w:p>
    <w:p w14:paraId="4A059D4A">
      <w:pPr>
        <w:spacing w:line="240" w:lineRule="auto"/>
        <w:ind w:firstLine="640"/>
        <w:jc w:val="both"/>
      </w:pPr>
      <w:r>
        <w:rPr>
          <w:rFonts w:ascii="仿宋_GB2312" w:hAnsi="仿宋_GB2312" w:eastAsia="仿宋_GB2312"/>
          <w:b w:val="0"/>
          <w:sz w:val="32"/>
        </w:rPr>
        <w:t>八、《国有资本经营预算财政拨款收入支出决算表》</w:t>
      </w:r>
    </w:p>
    <w:p w14:paraId="6BC5F6D9">
      <w:pPr>
        <w:spacing w:line="240" w:lineRule="auto"/>
        <w:ind w:firstLine="640"/>
        <w:jc w:val="both"/>
      </w:pPr>
      <w:r>
        <w:rPr>
          <w:rFonts w:ascii="仿宋_GB2312" w:hAnsi="仿宋_GB2312" w:eastAsia="仿宋_GB2312"/>
          <w:b w:val="0"/>
          <w:sz w:val="32"/>
        </w:rPr>
        <w:t>九、《财政拨款“三公”经费支出决算表》</w:t>
      </w:r>
    </w:p>
    <w:p w14:paraId="7310E482">
      <w:pPr>
        <w:spacing w:line="240" w:lineRule="auto"/>
        <w:ind w:firstLine="640"/>
        <w:jc w:val="both"/>
      </w:pPr>
    </w:p>
    <w:p w14:paraId="390B49E8">
      <w:pPr>
        <w:spacing w:line="240" w:lineRule="auto"/>
        <w:ind w:firstLine="640"/>
        <w:jc w:val="both"/>
      </w:pPr>
    </w:p>
    <w:p w14:paraId="412559C7">
      <w:pPr>
        <w:spacing w:line="240" w:lineRule="auto"/>
        <w:ind w:firstLine="640"/>
        <w:jc w:val="both"/>
      </w:pPr>
    </w:p>
    <w:p w14:paraId="1A009762">
      <w:pPr>
        <w:spacing w:line="240" w:lineRule="auto"/>
        <w:ind w:firstLine="640"/>
        <w:jc w:val="both"/>
      </w:pPr>
    </w:p>
    <w:p w14:paraId="190A83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FA649C"/>
    <w:rsid w:val="6B68175F"/>
    <w:rsid w:val="6B8B5C99"/>
    <w:rsid w:val="6CA7198F"/>
    <w:rsid w:val="6D8919A8"/>
    <w:rsid w:val="6E0F7A08"/>
    <w:rsid w:val="6E801ABC"/>
    <w:rsid w:val="71473612"/>
    <w:rsid w:val="718F7F65"/>
    <w:rsid w:val="729D540D"/>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4955</Words>
  <Characters>5716</Characters>
  <Lines>0</Lines>
  <Paragraphs>0</Paragraphs>
  <TotalTime>6</TotalTime>
  <ScaleCrop>false</ScaleCrop>
  <LinksUpToDate>false</LinksUpToDate>
  <CharactersWithSpaces>5724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2025-09-11T07:49:40Z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