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新疆巴州尉犁县人民法院2024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0FC4F3">
      <w:r>
        <w:br w:type="page"/>
      </w:r>
    </w:p>
    <w:p w14:paraId="71EA1044">
      <w:pPr>
        <w:spacing w:line="640" w:lineRule="exact"/>
        <w:jc w:val="center"/>
        <w:outlineLvl w:val="1"/>
      </w:pPr>
      <w:r>
        <w:rPr>
          <w:rFonts w:ascii="黑体" w:hAnsi="黑体" w:eastAsia="黑体"/>
          <w:sz w:val="32"/>
        </w:rPr>
        <w:t>第一部分 部门概况</w:t>
      </w:r>
    </w:p>
    <w:p w14:paraId="75975B7E">
      <w:pPr>
        <w:spacing w:line="640" w:lineRule="exact"/>
        <w:ind w:firstLine="640"/>
        <w:jc w:val="both"/>
        <w:outlineLvl w:val="2"/>
      </w:pPr>
      <w:r>
        <w:rPr>
          <w:rFonts w:ascii="黑体" w:hAnsi="黑体" w:eastAsia="黑体"/>
          <w:sz w:val="32"/>
        </w:rPr>
        <w:t>一、主要职能</w:t>
      </w:r>
    </w:p>
    <w:p w14:paraId="29C7EC33">
      <w:pPr>
        <w:spacing w:line="580" w:lineRule="exact"/>
        <w:ind w:firstLine="640"/>
        <w:jc w:val="both"/>
      </w:pPr>
      <w:r>
        <w:rPr>
          <w:rFonts w:ascii="仿宋_GB2312" w:hAnsi="仿宋_GB2312" w:eastAsia="仿宋_GB2312"/>
          <w:sz w:val="32"/>
        </w:rPr>
        <w:t>审判法律规定由基层人民法院管辖、上级法院指定管辖或者认为应当由自己审判的刑事、民事和行政等第一审案件。依照法律监督程序，对符合法律规定需要再审的案件，裁定再审；审理上级法院指令再审的案件；审理发回重审的案件。依法决定国家赔偿。依法行使司法执行权和司法决定权，执行本院已经发生法律效力的裁决、裁定、调解书及法律规定由人民法院执行的其他法律文书；执行其他法院委托执行的案件以及法律规定的由基层法院执行的案件。依法对应受理的民事、商事案件，组织当事人进行诉前调解，化解矛盾纠纷。指导本辖区人民调解委员会的工作。调查研究审判执行工作中的法律政策问题，参与有关法律、法规、规章、条例等草案的讨论并提出意见；针对案件审理中发现的问题讨论并提出司法建议。负责本院的思想政治、机关党建、组织人事、党风廉政、教育培训等工作，按照管理权限管理本院工作人员。负责本院的司法行政、办公现代化、司法技术等工作，管理本院的有关经费和物资装备。负责本院的司法员警工作。负责本预案的审务督察、纪检监察业务等内部监督工作。全面领导人民法庭工作。做好人大代表、政协委员联络工作，做好当地人民代表大会及其常务委员会负责并报告工作。完成上级法院和当地党委、人大交办的其他工作。承办其他应由本院负责的工作。</w:t>
      </w:r>
    </w:p>
    <w:p w14:paraId="3A9CD887">
      <w:pPr>
        <w:spacing w:line="640" w:lineRule="exact"/>
        <w:ind w:firstLine="640"/>
        <w:jc w:val="both"/>
        <w:outlineLvl w:val="2"/>
      </w:pPr>
      <w:r>
        <w:rPr>
          <w:rFonts w:ascii="黑体" w:hAnsi="黑体" w:eastAsia="黑体"/>
          <w:sz w:val="32"/>
        </w:rPr>
        <w:t>二、机构设置及人员情况</w:t>
      </w:r>
    </w:p>
    <w:p w14:paraId="67A624A6">
      <w:pPr>
        <w:spacing w:line="580" w:lineRule="exact"/>
        <w:ind w:firstLine="640"/>
        <w:jc w:val="both"/>
      </w:pPr>
      <w:r>
        <w:rPr>
          <w:rFonts w:ascii="仿宋_GB2312" w:hAnsi="仿宋_GB2312" w:eastAsia="仿宋_GB2312"/>
          <w:sz w:val="32"/>
        </w:rPr>
        <w:t>新疆巴州尉犁县人民法院2024年度，实有人数60人，其中：在职人员38人，减少3人；离休人员0人，增加0人；退休人员22人,增加4人。</w:t>
      </w:r>
    </w:p>
    <w:p w14:paraId="1337EFB5">
      <w:pPr>
        <w:spacing w:line="580" w:lineRule="exact"/>
        <w:ind w:firstLine="640"/>
        <w:jc w:val="both"/>
      </w:pPr>
      <w:r>
        <w:rPr>
          <w:rFonts w:ascii="仿宋_GB2312" w:hAnsi="仿宋_GB2312" w:eastAsia="仿宋_GB2312"/>
          <w:sz w:val="32"/>
        </w:rPr>
        <w:t>新疆巴州尉犁县人民法院无下属预算单位，下设7个科室，分别是：立案庭（诉讼服务中心）、综合审判庭、执行局、政治部、综合办公室（司法员警大队）、塔里木人民法庭、墩阔坦人民法庭。</w:t>
      </w:r>
    </w:p>
    <w:p w14:paraId="514945EA">
      <w:r>
        <w:br w:type="page"/>
      </w:r>
    </w:p>
    <w:p w14:paraId="24FDE9D4">
      <w:pPr>
        <w:spacing w:line="240" w:lineRule="auto"/>
        <w:jc w:val="center"/>
        <w:outlineLvl w:val="1"/>
      </w:pPr>
      <w:r>
        <w:rPr>
          <w:rFonts w:ascii="黑体" w:hAnsi="黑体" w:eastAsia="黑体"/>
          <w:sz w:val="32"/>
        </w:rPr>
        <w:t>第二部分 部门决算情况说明</w:t>
      </w:r>
    </w:p>
    <w:p w14:paraId="7CD0247D">
      <w:pPr>
        <w:spacing w:line="640" w:lineRule="exact"/>
        <w:ind w:firstLine="640"/>
        <w:jc w:val="both"/>
        <w:outlineLvl w:val="2"/>
      </w:pPr>
      <w:r>
        <w:rPr>
          <w:rFonts w:ascii="黑体" w:hAnsi="黑体" w:eastAsia="黑体"/>
          <w:sz w:val="32"/>
        </w:rPr>
        <w:t>一、收入支出决算总体情况说明</w:t>
      </w:r>
    </w:p>
    <w:p w14:paraId="2C688D1D">
      <w:pPr>
        <w:spacing w:line="580" w:lineRule="exact"/>
        <w:ind w:firstLine="640"/>
        <w:jc w:val="both"/>
      </w:pPr>
      <w:r>
        <w:rPr>
          <w:rFonts w:ascii="仿宋_GB2312" w:hAnsi="仿宋_GB2312" w:eastAsia="仿宋_GB2312"/>
          <w:b/>
          <w:sz w:val="32"/>
        </w:rPr>
        <w:t>2024年度收入总计1,445.72万元，</w:t>
      </w:r>
      <w:r>
        <w:rPr>
          <w:rFonts w:ascii="仿宋_GB2312" w:hAnsi="仿宋_GB2312" w:eastAsia="仿宋_GB2312"/>
          <w:b w:val="0"/>
          <w:sz w:val="32"/>
        </w:rPr>
        <w:t>其中：本年收入合计1,445.72万元，使用非财政拨款结余（含专用结余）0.00万元，年初结转和结余0.00万元。</w:t>
      </w:r>
    </w:p>
    <w:p w14:paraId="63683076">
      <w:pPr>
        <w:spacing w:line="580" w:lineRule="exact"/>
        <w:ind w:firstLine="640"/>
        <w:jc w:val="both"/>
      </w:pPr>
      <w:r>
        <w:rPr>
          <w:rFonts w:ascii="仿宋_GB2312" w:hAnsi="仿宋_GB2312" w:eastAsia="仿宋_GB2312"/>
          <w:b/>
          <w:sz w:val="32"/>
        </w:rPr>
        <w:t>2024年度支出总计1,445.72万元，</w:t>
      </w:r>
      <w:r>
        <w:rPr>
          <w:rFonts w:ascii="仿宋_GB2312" w:hAnsi="仿宋_GB2312" w:eastAsia="仿宋_GB2312"/>
          <w:b w:val="0"/>
          <w:sz w:val="32"/>
        </w:rPr>
        <w:t>其中：本年支出合计1,445.72万元，结余分配0.00万元，年末结转和结余0.00万元。</w:t>
      </w:r>
    </w:p>
    <w:p w14:paraId="42E32843">
      <w:pPr>
        <w:spacing w:line="580" w:lineRule="exact"/>
        <w:ind w:firstLine="640"/>
        <w:jc w:val="both"/>
      </w:pPr>
      <w:r>
        <w:rPr>
          <w:rFonts w:ascii="仿宋_GB2312" w:hAnsi="仿宋_GB2312" w:eastAsia="仿宋_GB2312"/>
          <w:b w:val="0"/>
          <w:sz w:val="32"/>
        </w:rPr>
        <w:t>收入支出总体与上年相比，减少72.02万元，下降4.75%，主要原因是：本年在职人员减少，相关人员经费减少；中央转移支付资金项目经费较上年减少。</w:t>
      </w:r>
    </w:p>
    <w:p w14:paraId="014278EE">
      <w:pPr>
        <w:spacing w:line="640" w:lineRule="exact"/>
        <w:ind w:firstLine="640"/>
        <w:jc w:val="both"/>
        <w:outlineLvl w:val="2"/>
      </w:pPr>
      <w:r>
        <w:rPr>
          <w:rFonts w:ascii="黑体" w:hAnsi="黑体" w:eastAsia="黑体"/>
          <w:sz w:val="32"/>
        </w:rPr>
        <w:t>二、收入决算情况说明</w:t>
      </w:r>
    </w:p>
    <w:p w14:paraId="638121FC">
      <w:pPr>
        <w:spacing w:line="580" w:lineRule="exact"/>
        <w:ind w:firstLine="640"/>
        <w:jc w:val="both"/>
      </w:pPr>
      <w:r>
        <w:rPr>
          <w:rFonts w:ascii="仿宋_GB2312" w:hAnsi="仿宋_GB2312" w:eastAsia="仿宋_GB2312"/>
          <w:b/>
          <w:sz w:val="32"/>
        </w:rPr>
        <w:t>本年收入1,445.72万元，</w:t>
      </w:r>
      <w:r>
        <w:rPr>
          <w:rFonts w:ascii="仿宋_GB2312" w:hAnsi="仿宋_GB2312" w:eastAsia="仿宋_GB2312"/>
          <w:b w:val="0"/>
          <w:sz w:val="32"/>
        </w:rPr>
        <w:t>其中：财政拨款收入1,445.72万元，占100.00%；上级补助收入0.00万元，占0.00%；事业收入0.00万元，占0.00%；经营收入0.00万元，占0.00%；附属单位上缴收入0.00万元，占0.00%；其他收入0.00万元，占0.00%。</w:t>
      </w:r>
    </w:p>
    <w:p w14:paraId="6D2D87BF">
      <w:pPr>
        <w:spacing w:line="640" w:lineRule="exact"/>
        <w:ind w:firstLine="640"/>
        <w:jc w:val="both"/>
        <w:outlineLvl w:val="2"/>
      </w:pPr>
      <w:r>
        <w:rPr>
          <w:rFonts w:ascii="黑体" w:hAnsi="黑体" w:eastAsia="黑体"/>
          <w:sz w:val="32"/>
        </w:rPr>
        <w:t>三、支出决算情况说明</w:t>
      </w:r>
    </w:p>
    <w:p w14:paraId="460DC5A2">
      <w:pPr>
        <w:spacing w:line="580" w:lineRule="exact"/>
        <w:ind w:firstLine="640"/>
        <w:jc w:val="both"/>
      </w:pPr>
      <w:r>
        <w:rPr>
          <w:rFonts w:ascii="仿宋_GB2312" w:hAnsi="仿宋_GB2312" w:eastAsia="仿宋_GB2312"/>
          <w:b/>
          <w:sz w:val="32"/>
        </w:rPr>
        <w:t>本年支出1,445.72万元，</w:t>
      </w:r>
      <w:r>
        <w:rPr>
          <w:rFonts w:ascii="仿宋_GB2312" w:hAnsi="仿宋_GB2312" w:eastAsia="仿宋_GB2312"/>
          <w:b w:val="0"/>
          <w:sz w:val="32"/>
        </w:rPr>
        <w:t>其中：基本支出1,112.63万元，占76.96%；项目支出333.10万元，占23.04%；上缴上级支出0.00万元，占0.00%；经营支出0.00万元，占0.00%；对附属单位补助支出0.00万元，占0.00%。</w:t>
      </w:r>
    </w:p>
    <w:p w14:paraId="050A7779">
      <w:pPr>
        <w:spacing w:line="640" w:lineRule="exact"/>
        <w:ind w:firstLine="640"/>
        <w:jc w:val="both"/>
        <w:outlineLvl w:val="2"/>
      </w:pPr>
      <w:r>
        <w:rPr>
          <w:rFonts w:ascii="黑体" w:hAnsi="黑体" w:eastAsia="黑体"/>
          <w:sz w:val="32"/>
        </w:rPr>
        <w:t>四、财政拨款收入支出决算总体情况说明</w:t>
      </w:r>
    </w:p>
    <w:p w14:paraId="5020FC5C">
      <w:pPr>
        <w:spacing w:line="580" w:lineRule="exact"/>
        <w:ind w:firstLine="640"/>
        <w:jc w:val="both"/>
      </w:pPr>
      <w:r>
        <w:rPr>
          <w:rFonts w:ascii="仿宋_GB2312" w:hAnsi="仿宋_GB2312" w:eastAsia="仿宋_GB2312"/>
          <w:b/>
          <w:sz w:val="32"/>
        </w:rPr>
        <w:t>2024年度财政拨款收入总计1,445.72万元，</w:t>
      </w:r>
      <w:r>
        <w:rPr>
          <w:rFonts w:ascii="仿宋_GB2312" w:hAnsi="仿宋_GB2312" w:eastAsia="仿宋_GB2312"/>
          <w:b w:val="0"/>
          <w:sz w:val="32"/>
        </w:rPr>
        <w:t>其中：年初财政拨款结转和结余0.00万元，本年财政拨款收入1,445.72万元。</w:t>
      </w:r>
      <w:r>
        <w:rPr>
          <w:rFonts w:ascii="仿宋_GB2312" w:hAnsi="仿宋_GB2312" w:eastAsia="仿宋_GB2312"/>
          <w:b/>
          <w:sz w:val="32"/>
        </w:rPr>
        <w:t>财政拨款支出总计1,445.72万元，</w:t>
      </w:r>
      <w:r>
        <w:rPr>
          <w:rFonts w:ascii="仿宋_GB2312" w:hAnsi="仿宋_GB2312" w:eastAsia="仿宋_GB2312"/>
          <w:b w:val="0"/>
          <w:sz w:val="32"/>
        </w:rPr>
        <w:t>其中：年末财政拨款结转和结余0.00万元，本年财政拨款支出1,445.72万元。</w:t>
      </w:r>
    </w:p>
    <w:p w14:paraId="7357168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减少72.02万元，下降4.75%，主要原因是：本年在职人员减少，相关人员经费减少；中央转移支付资金项目经费较上年减少。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年初预算数1,453.35万元，决算数1,445.72万元，预决算差异率-0.52%，主要原因是：本年在职人员减少，年中调减人员经费，导致预决算存在差异。</w:t>
      </w:r>
    </w:p>
    <w:p w14:paraId="3C4D3D71">
      <w:pPr>
        <w:spacing w:line="640" w:lineRule="exact"/>
        <w:ind w:firstLine="640"/>
        <w:jc w:val="both"/>
        <w:outlineLvl w:val="2"/>
      </w:pPr>
      <w:r>
        <w:rPr>
          <w:rFonts w:ascii="黑体" w:hAnsi="黑体" w:eastAsia="黑体"/>
          <w:sz w:val="32"/>
        </w:rPr>
        <w:t>五、一般公共预算财政拨款支出决算情况说明</w:t>
      </w:r>
    </w:p>
    <w:p w14:paraId="0F611FAA">
      <w:pPr>
        <w:spacing w:line="640" w:lineRule="exact"/>
        <w:ind w:firstLine="640"/>
        <w:jc w:val="both"/>
        <w:outlineLvl w:val="3"/>
      </w:pPr>
      <w:r>
        <w:rPr>
          <w:rFonts w:ascii="楷体_GB2312" w:hAnsi="楷体_GB2312" w:eastAsia="楷体_GB2312"/>
          <w:b/>
          <w:sz w:val="32"/>
        </w:rPr>
        <w:t>（一）一般公共预算财政拨款支出决算总体情况</w:t>
      </w:r>
    </w:p>
    <w:p w14:paraId="520C0ECF">
      <w:pPr>
        <w:spacing w:line="580" w:lineRule="exact"/>
        <w:ind w:firstLine="640"/>
        <w:jc w:val="both"/>
      </w:pPr>
      <w:r>
        <w:rPr>
          <w:rFonts w:ascii="仿宋_GB2312" w:hAnsi="仿宋_GB2312" w:eastAsia="仿宋_GB2312"/>
          <w:b/>
          <w:sz w:val="32"/>
        </w:rPr>
        <w:t>2024年度一般公共预算财政拨款支出1,445.72万元，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减少72.02万元，下降4.75%，主要原因是：本年在职人员减少，相关人员经费减少；中央转移支付资金项目经费较上年减少。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年初预算数1,453.35万元，决算数1,445.72万元，预决算差异率-0.52%，主要原因是：本年在职人员减少，年中调减人员经费，导致预决算存在差异。</w:t>
      </w:r>
    </w:p>
    <w:p w14:paraId="1A144D55">
      <w:pPr>
        <w:spacing w:line="640" w:lineRule="exact"/>
        <w:ind w:firstLine="640"/>
        <w:jc w:val="both"/>
        <w:outlineLvl w:val="3"/>
      </w:pPr>
      <w:r>
        <w:rPr>
          <w:rFonts w:ascii="楷体_GB2312" w:hAnsi="楷体_GB2312" w:eastAsia="楷体_GB2312"/>
          <w:b/>
          <w:sz w:val="32"/>
        </w:rPr>
        <w:t>（二）一般公共预算财政拨款支出决算结构情况</w:t>
      </w:r>
    </w:p>
    <w:p w14:paraId="3699B886">
      <w:pPr>
        <w:spacing w:line="580" w:lineRule="exact"/>
        <w:ind w:firstLine="640"/>
        <w:jc w:val="both"/>
      </w:pPr>
      <w:r>
        <w:rPr>
          <w:rFonts w:ascii="仿宋_GB2312" w:hAnsi="仿宋_GB2312" w:eastAsia="仿宋_GB2312"/>
          <w:b w:val="0"/>
          <w:sz w:val="32"/>
        </w:rPr>
        <w:t>1.公共安全支出(类)1198.12万元,占82.87%。</w:t>
      </w:r>
    </w:p>
    <w:p w14:paraId="5050069E">
      <w:pPr>
        <w:spacing w:line="580" w:lineRule="exact"/>
        <w:ind w:firstLine="640"/>
        <w:jc w:val="both"/>
      </w:pPr>
      <w:r>
        <w:rPr>
          <w:rFonts w:ascii="仿宋_GB2312" w:hAnsi="仿宋_GB2312" w:eastAsia="仿宋_GB2312"/>
          <w:b w:val="0"/>
          <w:sz w:val="32"/>
        </w:rPr>
        <w:t>2.教育支出(类)2.05万元,占0.14%。</w:t>
      </w:r>
    </w:p>
    <w:p w14:paraId="38D82BD9">
      <w:pPr>
        <w:spacing w:line="580" w:lineRule="exact"/>
        <w:ind w:firstLine="640"/>
        <w:jc w:val="both"/>
      </w:pPr>
      <w:r>
        <w:rPr>
          <w:rFonts w:ascii="仿宋_GB2312" w:hAnsi="仿宋_GB2312" w:eastAsia="仿宋_GB2312"/>
          <w:b w:val="0"/>
          <w:sz w:val="32"/>
        </w:rPr>
        <w:t>3.社会保障和就业支出(类)128.79万元,占8.91%。</w:t>
      </w:r>
    </w:p>
    <w:p w14:paraId="653861C7">
      <w:pPr>
        <w:spacing w:line="580" w:lineRule="exact"/>
        <w:ind w:firstLine="640"/>
        <w:jc w:val="both"/>
      </w:pPr>
      <w:r>
        <w:rPr>
          <w:rFonts w:ascii="仿宋_GB2312" w:hAnsi="仿宋_GB2312" w:eastAsia="仿宋_GB2312"/>
          <w:b w:val="0"/>
          <w:sz w:val="32"/>
        </w:rPr>
        <w:t>4.卫生健康支出(类)44.97万元,占3.11%。</w:t>
      </w:r>
    </w:p>
    <w:p w14:paraId="1279FE13">
      <w:pPr>
        <w:spacing w:line="580" w:lineRule="exact"/>
        <w:ind w:firstLine="640"/>
        <w:jc w:val="both"/>
      </w:pPr>
      <w:r>
        <w:rPr>
          <w:rFonts w:ascii="仿宋_GB2312" w:hAnsi="仿宋_GB2312" w:eastAsia="仿宋_GB2312"/>
          <w:b w:val="0"/>
          <w:sz w:val="32"/>
        </w:rPr>
        <w:t>5.住房保障支出(类)71.8万元,占4.97%。</w:t>
      </w:r>
    </w:p>
    <w:p w14:paraId="77D8B83C">
      <w:pPr>
        <w:spacing w:line="640" w:lineRule="exact"/>
        <w:ind w:firstLine="640"/>
        <w:jc w:val="both"/>
        <w:outlineLvl w:val="3"/>
      </w:pPr>
      <w:r>
        <w:rPr>
          <w:rFonts w:ascii="楷体_GB2312" w:hAnsi="楷体_GB2312" w:eastAsia="楷体_GB2312"/>
          <w:b/>
          <w:sz w:val="32"/>
        </w:rPr>
        <w:t>（三）一般公共预算财政拨款支出决算具体情况</w:t>
      </w:r>
    </w:p>
    <w:p w14:paraId="51CD099B">
      <w:pPr>
        <w:spacing w:line="580" w:lineRule="exact"/>
        <w:ind w:firstLine="640"/>
        <w:jc w:val="both"/>
      </w:pPr>
      <w:r>
        <w:rPr>
          <w:rFonts w:ascii="仿宋_GB2312" w:hAnsi="仿宋_GB2312" w:eastAsia="仿宋_GB2312"/>
          <w:b w:val="0"/>
          <w:sz w:val="32"/>
        </w:rPr>
        <w:t>1.公共安全支出(类)法院(款)行政运行(项):支出决算数为853.83万元，比上年决算减少65.62万元，下降7.14%,主要原因是：本年在职人员减少，相应人员经费较上年减少。</w:t>
      </w:r>
    </w:p>
    <w:p w14:paraId="78A39796">
      <w:pPr>
        <w:spacing w:line="580" w:lineRule="exact"/>
        <w:ind w:firstLine="640"/>
        <w:jc w:val="both"/>
      </w:pPr>
      <w:r>
        <w:rPr>
          <w:rFonts w:ascii="仿宋_GB2312" w:hAnsi="仿宋_GB2312" w:eastAsia="仿宋_GB2312"/>
          <w:b w:val="0"/>
          <w:sz w:val="32"/>
        </w:rPr>
        <w:t>2.公共安全支出(类)法院(款)一般行政管理事务(项):支出决算数为5万元，比上年决算减少2.00万元，下降28.57%,主要原因是：本年为民办实事工作队项目经费较上年减少。</w:t>
      </w:r>
    </w:p>
    <w:p w14:paraId="3DB5F258">
      <w:pPr>
        <w:spacing w:line="580" w:lineRule="exact"/>
        <w:ind w:firstLine="640"/>
        <w:jc w:val="both"/>
      </w:pPr>
      <w:r>
        <w:rPr>
          <w:rFonts w:ascii="仿宋_GB2312" w:hAnsi="仿宋_GB2312" w:eastAsia="仿宋_GB2312"/>
          <w:b w:val="0"/>
          <w:sz w:val="32"/>
        </w:rPr>
        <w:t>3.公共安全支出(类)法院(款)事业运行(项):支出决算数为11.19万元，比上年决算增加0.05万元，增长0.45%,主要原因是：本年在职人员工资调增，导致相关人员经费较上年有所增加。</w:t>
      </w:r>
    </w:p>
    <w:p w14:paraId="2B9C2250">
      <w:pPr>
        <w:spacing w:line="580" w:lineRule="exact"/>
        <w:ind w:firstLine="640"/>
        <w:jc w:val="both"/>
      </w:pPr>
      <w:r>
        <w:rPr>
          <w:rFonts w:ascii="仿宋_GB2312" w:hAnsi="仿宋_GB2312" w:eastAsia="仿宋_GB2312"/>
          <w:b w:val="0"/>
          <w:sz w:val="32"/>
        </w:rPr>
        <w:t>4.公共安全支出(类)法院(款)其他法院支出(项):支出决算数为328.1万元，比上年决算减少41.14万元，下降11.14%,主要原因是：本年中央转移支付资金项目经费较上年减少。</w:t>
      </w:r>
    </w:p>
    <w:p w14:paraId="7EFF8355">
      <w:pPr>
        <w:spacing w:line="580" w:lineRule="exact"/>
        <w:ind w:firstLine="640"/>
        <w:jc w:val="both"/>
      </w:pPr>
      <w:r>
        <w:rPr>
          <w:rFonts w:ascii="仿宋_GB2312" w:hAnsi="仿宋_GB2312" w:eastAsia="仿宋_GB2312"/>
          <w:b w:val="0"/>
          <w:sz w:val="32"/>
        </w:rPr>
        <w:t>5.教育支出(类)进修及培训(款)培训支出(项):支出决算数为2.05万元，比上年决算减少0.76万元，下降27.05%,主要原因是：严控经费支出，厉行节约，减少培训费支出。</w:t>
      </w:r>
    </w:p>
    <w:p w14:paraId="137CDD14">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6.社会保障和就业支出(类)行政事业单位养老支出(款)行政单位离退休(项):支出决算数为16.19万元，比上年决算增加5.55万元，增长52.16%,主要原因是：本年退休人员增加，退休费支出增加。</w:t>
      </w:r>
    </w:p>
    <w:p w14:paraId="00FCA3DA">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72.26万元，比上年决算减少1.15万元，下降1.57%,主要原因是：本年在职人员减少，单位基本养老保险缴费较上年减少。</w:t>
      </w:r>
    </w:p>
    <w:p w14:paraId="45876474">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8.社会保障和就业支出(类)行政事业单位养老支出(款)机关事业单位职业年金缴费支出(项):支出决算数为40.35万元，比上年决算增加18.11万元，增长81.43%,主要原因是：本年新增退休人员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393A1180">
      <w:pPr>
        <w:spacing w:line="580" w:lineRule="exact"/>
        <w:ind w:firstLine="640"/>
        <w:jc w:val="both"/>
      </w:pPr>
      <w:r>
        <w:rPr>
          <w:rFonts w:ascii="仿宋_GB2312" w:hAnsi="仿宋_GB2312" w:eastAsia="仿宋_GB2312"/>
          <w:b w:val="0"/>
          <w:sz w:val="32"/>
        </w:rPr>
        <w:t>9.卫生健康支出(类)行政事业单位医疗(款)行政单位医疗(项):支出决算数为30.25万元，比上年决算增加1.64万元，增长5.73%,主要原因是：本年在职人员工资基数调增，医疗缴费基数上涨，相应行政单位医疗支出增加。</w:t>
      </w:r>
    </w:p>
    <w:p w14:paraId="1F22EC62">
      <w:pPr>
        <w:spacing w:line="580" w:lineRule="exact"/>
        <w:ind w:firstLine="640"/>
        <w:jc w:val="both"/>
      </w:pPr>
      <w:r>
        <w:rPr>
          <w:rFonts w:ascii="仿宋_GB2312" w:hAnsi="仿宋_GB2312" w:eastAsia="仿宋_GB2312"/>
          <w:b w:val="0"/>
          <w:sz w:val="32"/>
        </w:rPr>
        <w:t>10.卫生健康支出(类)行政事业单位医疗(款)事业单位医疗(项):支出决算数为0.7万元，比上年决算增加0.12万元，增长20.69%,主要原因是：本年在职人员工资基数调增，医疗缴费基数上涨，相应事业单位医疗支出增加。</w:t>
      </w:r>
    </w:p>
    <w:p w14:paraId="51D053B2">
      <w:pPr>
        <w:spacing w:line="580" w:lineRule="exact"/>
        <w:ind w:firstLine="640"/>
        <w:jc w:val="both"/>
      </w:pPr>
      <w:r>
        <w:rPr>
          <w:rFonts w:ascii="仿宋_GB2312" w:hAnsi="仿宋_GB2312" w:eastAsia="仿宋_GB2312"/>
          <w:b w:val="0"/>
          <w:sz w:val="32"/>
        </w:rPr>
        <w:t>11.卫生健康支出(类)行政事业单位医疗(款)公务员医疗补助(项):支出决算数为12.92万元，比上年决算减少0.92万元，下降6.65%,主要原因是：本年在职人员减少，公务员医疗补助较上年减少。</w:t>
      </w:r>
    </w:p>
    <w:p w14:paraId="59A400BC">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12.卫生健康支出(类)行政事业单位医疗(款)其他行政事业单位医疗支出(项):支出决算数为1.1万元，比上年决算减少0.31万元，下降21.99%,主要原因是：本年在职人员减少，其他行政事业单位医疗支出较上年减少。</w:t>
      </w:r>
    </w:p>
    <w:p w14:paraId="37222345">
      <w:pPr>
        <w:spacing w:line="580" w:lineRule="exact"/>
        <w:ind w:firstLine="640"/>
        <w:jc w:val="both"/>
      </w:pPr>
      <w:r>
        <w:rPr>
          <w:rFonts w:ascii="仿宋_GB2312" w:hAnsi="仿宋_GB2312" w:eastAsia="仿宋_GB2312"/>
          <w:b w:val="0"/>
          <w:sz w:val="32"/>
        </w:rPr>
        <w:t>13.住房保障支出(类)住房改革支出(款)住房公积金(项):支出决算数为71.8万元，比上年决算增加14.45万元，增长25.20%,主要原因是：本年在职人员工资基数调增，公积金缴费基数上涨，相应支出增加。</w:t>
      </w:r>
    </w:p>
    <w:p w14:paraId="10DA262C">
      <w:pPr>
        <w:spacing w:line="640" w:lineRule="exact"/>
        <w:ind w:firstLine="640"/>
        <w:jc w:val="both"/>
        <w:outlineLvl w:val="2"/>
      </w:pPr>
      <w:r>
        <w:rPr>
          <w:rFonts w:ascii="黑体" w:hAnsi="黑体" w:eastAsia="黑体"/>
          <w:sz w:val="32"/>
        </w:rPr>
        <w:t>六、一般公共预算财政拨款基本支出决算情况说明</w:t>
      </w:r>
    </w:p>
    <w:p w14:paraId="11A552C6">
      <w:pPr>
        <w:spacing w:line="580" w:lineRule="exact"/>
        <w:ind w:firstLine="640"/>
        <w:jc w:val="both"/>
      </w:pPr>
      <w:r>
        <w:rPr>
          <w:rFonts w:ascii="仿宋_GB2312" w:hAnsi="仿宋_GB2312" w:eastAsia="仿宋_GB2312"/>
          <w:b w:val="0"/>
          <w:sz w:val="32"/>
        </w:rPr>
        <w:t>2024年度一般公共预算财政拨款基本支出1,112.63万元，其中：</w:t>
      </w:r>
      <w:r>
        <w:rPr>
          <w:rFonts w:ascii="仿宋_GB2312" w:hAnsi="仿宋_GB2312" w:eastAsia="仿宋_GB2312"/>
          <w:b/>
          <w:sz w:val="32"/>
        </w:rPr>
        <w:t>人员经费1,029.90万元，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03054E09">
      <w:pPr>
        <w:spacing w:line="580" w:lineRule="exact"/>
        <w:ind w:firstLine="640"/>
        <w:jc w:val="both"/>
      </w:pPr>
      <w:r>
        <w:rPr>
          <w:rFonts w:ascii="仿宋_GB2312" w:hAnsi="仿宋_GB2312" w:eastAsia="仿宋_GB2312"/>
          <w:b/>
          <w:sz w:val="32"/>
        </w:rPr>
        <w:t>公用经费82.72万元，</w:t>
      </w:r>
      <w:r>
        <w:rPr>
          <w:rFonts w:ascii="仿宋_GB2312" w:hAnsi="仿宋_GB2312" w:eastAsia="仿宋_GB2312"/>
          <w:b w:val="0"/>
          <w:sz w:val="32"/>
        </w:rPr>
        <w:t>包括：水费、电费、取暖费、物业管理费、培训费、委托业务费、工会经费、福利费、公务用车运行维护费、其他商品和服务支出。</w:t>
      </w:r>
    </w:p>
    <w:p w14:paraId="23AABBE2">
      <w:pPr>
        <w:spacing w:line="640" w:lineRule="exact"/>
        <w:ind w:firstLine="640"/>
        <w:jc w:val="both"/>
        <w:outlineLvl w:val="2"/>
      </w:pPr>
      <w:r>
        <w:rPr>
          <w:rFonts w:ascii="黑体" w:hAnsi="黑体" w:eastAsia="黑体"/>
          <w:sz w:val="32"/>
        </w:rPr>
        <w:t>七、政府性基金预算财政拨款收入支出决算情况说明</w:t>
      </w:r>
    </w:p>
    <w:p w14:paraId="0BCE2F1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E1A33BA">
      <w:pPr>
        <w:spacing w:line="640" w:lineRule="exact"/>
        <w:ind w:firstLine="640"/>
        <w:jc w:val="both"/>
        <w:outlineLvl w:val="2"/>
      </w:pPr>
      <w:r>
        <w:rPr>
          <w:rFonts w:ascii="黑体" w:hAnsi="黑体" w:eastAsia="黑体"/>
          <w:sz w:val="32"/>
        </w:rPr>
        <w:t>八、国有资本经营预算财政拨款收入支出决算情况说明</w:t>
      </w:r>
    </w:p>
    <w:p w14:paraId="57B50FF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1C4873A">
      <w:pPr>
        <w:spacing w:line="640" w:lineRule="exact"/>
        <w:ind w:firstLine="640"/>
        <w:jc w:val="both"/>
        <w:outlineLvl w:val="2"/>
      </w:pPr>
      <w:r>
        <w:rPr>
          <w:rFonts w:ascii="黑体" w:hAnsi="黑体" w:eastAsia="黑体"/>
          <w:sz w:val="32"/>
        </w:rPr>
        <w:t>九、财政拨款“三公”经费支出决算情况说明</w:t>
      </w:r>
    </w:p>
    <w:p w14:paraId="6B393DB0">
      <w:pPr>
        <w:spacing w:line="580" w:lineRule="exact"/>
        <w:ind w:firstLine="640"/>
        <w:jc w:val="both"/>
      </w:pPr>
      <w:r>
        <w:rPr>
          <w:rFonts w:ascii="仿宋_GB2312" w:hAnsi="仿宋_GB2312" w:eastAsia="仿宋_GB2312"/>
          <w:b/>
          <w:sz w:val="32"/>
        </w:rPr>
        <w:t>2024年度财政拨款“三公”经费支出28.82万元，</w:t>
      </w:r>
      <w:r>
        <w:rPr>
          <w:rFonts w:ascii="仿宋_GB2312" w:hAnsi="仿宋_GB2312" w:eastAsia="仿宋_GB2312"/>
          <w:b w:val="0"/>
          <w:sz w:val="32"/>
        </w:rPr>
        <w:t>比上年减少1.18万元，下降3.93%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28.82万元，占100.00%，比上年减少1.18万元，下降3.93%，主要原因是：严格落实中央八项规定精神，厉行节约，减少公务用车运行维护费。公务接待费支出0.00万元，占0.00%，比上年增加0.00万元，增长0.00%，主要原因是：2023年与2024年均未安排公务接待费支出。</w:t>
      </w:r>
    </w:p>
    <w:p w14:paraId="7458159A">
      <w:pPr>
        <w:spacing w:line="580" w:lineRule="exact"/>
        <w:ind w:firstLine="640"/>
        <w:jc w:val="both"/>
      </w:pPr>
      <w:r>
        <w:rPr>
          <w:rFonts w:ascii="仿宋_GB2312" w:hAnsi="仿宋_GB2312" w:eastAsia="仿宋_GB2312"/>
          <w:b/>
          <w:sz w:val="32"/>
        </w:rPr>
        <w:t>具体情况如下：</w:t>
      </w:r>
    </w:p>
    <w:p w14:paraId="52BD4AC3">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0369637">
      <w:pPr>
        <w:spacing w:line="580" w:lineRule="exact"/>
        <w:ind w:firstLine="640"/>
        <w:jc w:val="both"/>
      </w:pPr>
      <w:r>
        <w:rPr>
          <w:rFonts w:ascii="仿宋_GB2312" w:hAnsi="仿宋_GB2312" w:eastAsia="仿宋_GB2312"/>
          <w:b w:val="0"/>
          <w:sz w:val="32"/>
        </w:rPr>
        <w:t>公务用车购置及运行维护费28.82万元，其中：公务用车购置费0.00万元，公务用车运行维护费28.82万元。公务用车运行维护费开支内容包括车辆加油费、维修费、保险费、审车费、过路费。公务用车购置数0辆，公务用车保有量15辆。国有资产占用情况中固定资产车辆15辆，与公务用车保有量差异原因是：本部门固定资产车辆与公务用车保有量一致无差异。</w:t>
      </w:r>
    </w:p>
    <w:p w14:paraId="34B892A1">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A550D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28.82万元，决算数28.82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28.82万元，决算数28.82万元，预决算差异率0.00%，主要原因是：严格按照预算执行，预决算无差异。公务接待费全年预算数0.00万元，决算数0.00万元，预决算差异率0.00%，主要原因是：本部门无公务接待费。</w:t>
      </w:r>
    </w:p>
    <w:p w14:paraId="33CEC266">
      <w:pPr>
        <w:spacing w:line="640" w:lineRule="exact"/>
        <w:ind w:firstLine="640"/>
        <w:jc w:val="both"/>
        <w:outlineLvl w:val="2"/>
      </w:pPr>
      <w:r>
        <w:rPr>
          <w:rFonts w:ascii="黑体" w:hAnsi="黑体" w:eastAsia="黑体"/>
          <w:sz w:val="32"/>
        </w:rPr>
        <w:t>十、其他重要事项的情况说明</w:t>
      </w:r>
    </w:p>
    <w:p w14:paraId="2B5B957E">
      <w:pPr>
        <w:spacing w:line="640" w:lineRule="exact"/>
        <w:ind w:firstLine="640"/>
        <w:jc w:val="both"/>
        <w:outlineLvl w:val="3"/>
      </w:pPr>
      <w:r>
        <w:rPr>
          <w:rFonts w:ascii="楷体_GB2312" w:hAnsi="楷体_GB2312" w:eastAsia="楷体_GB2312"/>
          <w:b/>
          <w:sz w:val="32"/>
        </w:rPr>
        <w:t>（一）机关运行经费及公用经费支出情况</w:t>
      </w:r>
    </w:p>
    <w:p w14:paraId="374B8F46">
      <w:pPr>
        <w:spacing w:line="580" w:lineRule="exact"/>
        <w:ind w:firstLine="640"/>
        <w:jc w:val="both"/>
      </w:pPr>
      <w:r>
        <w:rPr>
          <w:rFonts w:ascii="仿宋_GB2312" w:hAnsi="仿宋_GB2312" w:eastAsia="仿宋_GB2312"/>
          <w:b w:val="0"/>
          <w:sz w:val="32"/>
        </w:rPr>
        <w:t>2024年度新疆巴州尉犁县人民法院（行政单位和参照公务员法管理事业单位）机关运行经费支出82.72万元，比上年减少3.03万元，下降3.53%，主要原因是：严格控制经费，合理节约办公用品，减少不必要开支。</w:t>
      </w:r>
    </w:p>
    <w:p w14:paraId="7D76F687">
      <w:pPr>
        <w:spacing w:line="640" w:lineRule="exact"/>
        <w:ind w:firstLine="640"/>
        <w:jc w:val="both"/>
        <w:outlineLvl w:val="3"/>
      </w:pPr>
      <w:r>
        <w:rPr>
          <w:rFonts w:ascii="楷体_GB2312" w:hAnsi="楷体_GB2312" w:eastAsia="楷体_GB2312"/>
          <w:b/>
          <w:sz w:val="32"/>
        </w:rPr>
        <w:t>（二）政府采购情况</w:t>
      </w:r>
    </w:p>
    <w:p w14:paraId="51F17D46">
      <w:pPr>
        <w:spacing w:line="580" w:lineRule="exact"/>
        <w:ind w:firstLine="640"/>
        <w:jc w:val="both"/>
      </w:pPr>
      <w:r>
        <w:rPr>
          <w:rFonts w:ascii="仿宋_GB2312" w:hAnsi="仿宋_GB2312" w:eastAsia="仿宋_GB2312"/>
          <w:b w:val="0"/>
          <w:sz w:val="32"/>
        </w:rPr>
        <w:t>2024年度政府采购支出总额112.74万元，其中：政府采购货物支出41.41万元、政府采购工程支出36.33万元、政府采购服务支出35.01万元。</w:t>
      </w:r>
    </w:p>
    <w:p w14:paraId="14082508">
      <w:pPr>
        <w:spacing w:line="580" w:lineRule="exact"/>
        <w:ind w:firstLine="640"/>
        <w:jc w:val="both"/>
      </w:pPr>
      <w:r>
        <w:rPr>
          <w:rFonts w:ascii="仿宋_GB2312" w:hAnsi="仿宋_GB2312" w:eastAsia="仿宋_GB2312"/>
          <w:b w:val="0"/>
          <w:sz w:val="32"/>
        </w:rPr>
        <w:t>授予中小企业合同金额85.38万元，占政府采购支出总额的75.73%，其中：授予小微企业合同金额73.29万元，占政府采购支出总额的65.01%。</w:t>
      </w:r>
    </w:p>
    <w:p w14:paraId="1290C4DF">
      <w:pPr>
        <w:spacing w:line="640" w:lineRule="exact"/>
        <w:ind w:firstLine="640"/>
        <w:jc w:val="both"/>
        <w:outlineLvl w:val="3"/>
      </w:pPr>
      <w:r>
        <w:rPr>
          <w:rFonts w:ascii="楷体_GB2312" w:hAnsi="楷体_GB2312" w:eastAsia="楷体_GB2312"/>
          <w:b/>
          <w:sz w:val="32"/>
        </w:rPr>
        <w:t>（三）国有资产占用情况说明</w:t>
      </w:r>
    </w:p>
    <w:p w14:paraId="4F8EDD48">
      <w:pPr>
        <w:spacing w:line="580" w:lineRule="exact"/>
        <w:ind w:firstLine="640"/>
        <w:jc w:val="both"/>
      </w:pPr>
      <w:r>
        <w:rPr>
          <w:rFonts w:ascii="仿宋_GB2312" w:hAnsi="仿宋_GB2312" w:eastAsia="仿宋_GB2312"/>
          <w:b w:val="0"/>
          <w:sz w:val="32"/>
        </w:rPr>
        <w:t>截至2024年12月31日，房屋6,218.80平方米，价值979.23万元。车辆15辆，价值196.64万元，其中：副部（省）级及以上领导用车0辆、主要负责人用车2辆、机要通信用车0辆、应急保障用车0辆、执法执勤用车11辆、特种专业技术用车0辆、离退休干部服务用车0辆、其他用车2辆，其他用车主要是：一般公务用车。单价100万元（含）以上设备（不含车辆）2台（套）。</w:t>
      </w:r>
    </w:p>
    <w:p w14:paraId="0AE2ADA8">
      <w:pPr>
        <w:spacing w:line="640" w:lineRule="exact"/>
        <w:ind w:firstLine="640"/>
        <w:jc w:val="both"/>
        <w:outlineLvl w:val="2"/>
      </w:pPr>
      <w:r>
        <w:rPr>
          <w:rFonts w:ascii="黑体" w:hAnsi="黑体" w:eastAsia="黑体"/>
          <w:sz w:val="32"/>
        </w:rPr>
        <w:t>十一、预算绩效的情况说明</w:t>
      </w:r>
    </w:p>
    <w:p w14:paraId="2546C8C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根据预算绩效管理要求，本部门2024年度预算绩效管理形成整体支出绩效自评表1个，全年预算总额1,445.72万元，实际执行总额1,445.72万元；预算绩效评价项目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333.1</w:t>
      </w:r>
      <w:r>
        <w:rPr>
          <w:rFonts w:ascii="仿宋_GB2312" w:hAnsi="仿宋_GB2312" w:eastAsia="仿宋_GB2312"/>
          <w:b w:val="0"/>
          <w:sz w:val="32"/>
        </w:rPr>
        <w:t>0万元，全年执行数</w:t>
      </w:r>
      <w:r>
        <w:rPr>
          <w:rFonts w:hint="eastAsia" w:ascii="仿宋_GB2312" w:hAnsi="仿宋_GB2312" w:eastAsia="仿宋_GB2312"/>
          <w:b w:val="0"/>
          <w:sz w:val="32"/>
        </w:rPr>
        <w:t>333.1</w:t>
      </w:r>
      <w:r>
        <w:rPr>
          <w:rFonts w:ascii="仿宋_GB2312" w:hAnsi="仿宋_GB2312" w:eastAsia="仿宋_GB2312"/>
          <w:b w:val="0"/>
          <w:sz w:val="32"/>
        </w:rPr>
        <w:t>0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业务流程持续优化；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7003F47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70683F4">
        <w:tblPrEx>
          <w:tblCellMar>
            <w:top w:w="0" w:type="dxa"/>
            <w:left w:w="108" w:type="dxa"/>
            <w:bottom w:w="0" w:type="dxa"/>
            <w:right w:w="108" w:type="dxa"/>
          </w:tblCellMar>
        </w:tblPrEx>
        <w:tc>
          <w:tcPr>
            <w:tcW w:w="8840" w:type="dxa"/>
            <w:gridSpan w:val="8"/>
            <w:vAlign w:val="center"/>
          </w:tcPr>
          <w:p w14:paraId="5EC79291">
            <w:pPr>
              <w:jc w:val="center"/>
            </w:pPr>
            <w:r>
              <w:rPr>
                <w:rFonts w:ascii="宋体" w:hAnsi="宋体" w:eastAsia="宋体"/>
                <w:sz w:val="24"/>
              </w:rPr>
              <w:t>部门整体支出绩效自评表</w:t>
            </w:r>
          </w:p>
        </w:tc>
      </w:tr>
      <w:tr w14:paraId="76B64721">
        <w:tblPrEx>
          <w:tblCellMar>
            <w:top w:w="0" w:type="dxa"/>
            <w:left w:w="108" w:type="dxa"/>
            <w:bottom w:w="0" w:type="dxa"/>
            <w:right w:w="108" w:type="dxa"/>
          </w:tblCellMar>
        </w:tblPrEx>
        <w:tc>
          <w:tcPr>
            <w:tcW w:w="8840" w:type="dxa"/>
            <w:gridSpan w:val="8"/>
            <w:vAlign w:val="center"/>
          </w:tcPr>
          <w:p w14:paraId="0C691F76">
            <w:pPr>
              <w:jc w:val="center"/>
            </w:pPr>
            <w:r>
              <w:rPr>
                <w:rFonts w:ascii="宋体" w:hAnsi="宋体" w:eastAsia="宋体"/>
                <w:sz w:val="24"/>
              </w:rPr>
              <w:t>（2024年度）</w:t>
            </w:r>
          </w:p>
        </w:tc>
      </w:tr>
      <w:tr w14:paraId="25F055C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50C6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A6F48">
            <w:pPr>
              <w:jc w:val="center"/>
            </w:pPr>
            <w:r>
              <w:rPr>
                <w:rFonts w:ascii="宋体" w:hAnsi="宋体" w:eastAsia="宋体"/>
                <w:sz w:val="16"/>
              </w:rPr>
              <w:t>新疆巴州尉犁县人民法院</w:t>
            </w:r>
          </w:p>
        </w:tc>
      </w:tr>
      <w:tr w14:paraId="23540B9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26ED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F51C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7C65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86B4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5618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84D7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CE2B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3FF40">
            <w:pPr>
              <w:jc w:val="center"/>
            </w:pPr>
            <w:r>
              <w:rPr>
                <w:rFonts w:ascii="宋体" w:hAnsi="宋体" w:eastAsia="宋体"/>
                <w:sz w:val="16"/>
              </w:rPr>
              <w:t>得分</w:t>
            </w:r>
          </w:p>
        </w:tc>
      </w:tr>
      <w:tr w14:paraId="643CA6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2592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DCE7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3CC46">
            <w:pPr>
              <w:jc w:val="center"/>
            </w:pPr>
            <w:r>
              <w:rPr>
                <w:rFonts w:ascii="宋体" w:hAnsi="宋体" w:eastAsia="宋体"/>
                <w:sz w:val="16"/>
              </w:rPr>
              <w:t>1,453.35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85A59">
            <w:pPr>
              <w:jc w:val="center"/>
            </w:pPr>
            <w:r>
              <w:rPr>
                <w:rFonts w:ascii="宋体" w:hAnsi="宋体" w:eastAsia="宋体"/>
                <w:sz w:val="16"/>
              </w:rPr>
              <w:t>1,445.72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DCCF9">
            <w:pPr>
              <w:jc w:val="center"/>
            </w:pPr>
            <w:r>
              <w:rPr>
                <w:rFonts w:ascii="宋体" w:hAnsi="宋体" w:eastAsia="宋体"/>
                <w:sz w:val="16"/>
              </w:rPr>
              <w:t>1,445.72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5F2B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250E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ECE5D">
            <w:pPr>
              <w:jc w:val="center"/>
            </w:pPr>
            <w:r>
              <w:rPr>
                <w:rFonts w:ascii="宋体" w:hAnsi="宋体" w:eastAsia="宋体"/>
                <w:sz w:val="16"/>
              </w:rPr>
              <w:t>10</w:t>
            </w:r>
          </w:p>
        </w:tc>
      </w:tr>
      <w:tr w14:paraId="408FDB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EB78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08102">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2B949">
            <w:pPr>
              <w:jc w:val="center"/>
            </w:pPr>
            <w:r>
              <w:rPr>
                <w:rFonts w:ascii="宋体" w:hAnsi="宋体" w:eastAsia="宋体"/>
                <w:sz w:val="16"/>
              </w:rPr>
              <w:t>274.00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827F7">
            <w:pPr>
              <w:jc w:val="center"/>
            </w:pPr>
            <w:r>
              <w:rPr>
                <w:rFonts w:ascii="宋体" w:hAnsi="宋体" w:eastAsia="宋体"/>
                <w:sz w:val="16"/>
              </w:rPr>
              <w:t>328.10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53883">
            <w:pPr>
              <w:jc w:val="center"/>
            </w:pPr>
            <w:r>
              <w:rPr>
                <w:rFonts w:ascii="宋体" w:hAnsi="宋体" w:eastAsia="宋体"/>
                <w:sz w:val="16"/>
              </w:rPr>
              <w:t>328.10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5DB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113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9B5DE">
            <w:pPr>
              <w:jc w:val="center"/>
            </w:pPr>
            <w:r>
              <w:rPr>
                <w:rFonts w:ascii="宋体" w:hAnsi="宋体" w:eastAsia="宋体"/>
                <w:sz w:val="16"/>
              </w:rPr>
              <w:t>-</w:t>
            </w:r>
          </w:p>
        </w:tc>
      </w:tr>
      <w:tr w14:paraId="04E3F0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F50E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06EC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62819">
            <w:pPr>
              <w:jc w:val="center"/>
            </w:pPr>
            <w:r>
              <w:rPr>
                <w:rFonts w:ascii="宋体" w:hAnsi="宋体" w:eastAsia="宋体"/>
                <w:sz w:val="16"/>
              </w:rPr>
              <w:t>1,179.35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641E5">
            <w:pPr>
              <w:jc w:val="center"/>
            </w:pPr>
            <w:r>
              <w:rPr>
                <w:rFonts w:ascii="宋体" w:hAnsi="宋体" w:eastAsia="宋体"/>
                <w:sz w:val="16"/>
              </w:rPr>
              <w:t>1,117.62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8DCED">
            <w:pPr>
              <w:jc w:val="center"/>
            </w:pPr>
            <w:r>
              <w:rPr>
                <w:rFonts w:ascii="宋体" w:hAnsi="宋体" w:eastAsia="宋体"/>
                <w:sz w:val="16"/>
              </w:rPr>
              <w:t>1,117.62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BDD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8B18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1125E">
            <w:pPr>
              <w:jc w:val="center"/>
            </w:pPr>
            <w:r>
              <w:rPr>
                <w:rFonts w:ascii="宋体" w:hAnsi="宋体" w:eastAsia="宋体"/>
                <w:sz w:val="16"/>
              </w:rPr>
              <w:t>-</w:t>
            </w:r>
          </w:p>
        </w:tc>
      </w:tr>
      <w:tr w14:paraId="5CF839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835D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D8CC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F78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4CBE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5E04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16B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38F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1E573">
            <w:pPr>
              <w:jc w:val="center"/>
            </w:pPr>
            <w:r>
              <w:rPr>
                <w:rFonts w:ascii="宋体" w:hAnsi="宋体" w:eastAsia="宋体"/>
                <w:sz w:val="16"/>
              </w:rPr>
              <w:t>-</w:t>
            </w:r>
          </w:p>
        </w:tc>
      </w:tr>
      <w:tr w14:paraId="098750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13A6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D21D3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9BB22B">
            <w:pPr>
              <w:jc w:val="center"/>
            </w:pPr>
            <w:r>
              <w:rPr>
                <w:rFonts w:ascii="宋体" w:hAnsi="宋体" w:eastAsia="宋体"/>
                <w:sz w:val="16"/>
              </w:rPr>
              <w:t>实际完成情况</w:t>
            </w:r>
          </w:p>
        </w:tc>
      </w:tr>
      <w:tr w14:paraId="19F6BB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7F380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EB4740">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轮台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20662">
            <w:pPr>
              <w:jc w:val="both"/>
            </w:pPr>
            <w:r>
              <w:rPr>
                <w:rFonts w:ascii="宋体" w:hAnsi="宋体" w:eastAsia="宋体"/>
                <w:sz w:val="16"/>
              </w:rPr>
              <w:t>继续深化提升审判执行工作质效，全面提升法官队伍整体职业素养,发挥科技法庭、网络直播法庭、远程执行查控等大数据和高科技设备的技术运用，收案3893件，案件调解1845件，调解成功1820件，调解成功率99.29%，法定审限期内结案率达到92.94%。在增进法院可持续发展及群众满意度的同时，有序保障了司法审判各项工作的顺利开展，达到了积极履行维护人民群众合法权益的预期目标，彰显了司法为民、公正司法。</w:t>
            </w:r>
          </w:p>
        </w:tc>
      </w:tr>
      <w:tr w14:paraId="7B81D48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6050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BC91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06BD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A620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9B2C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F3A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9C19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D9110">
            <w:pPr>
              <w:jc w:val="center"/>
            </w:pPr>
            <w:r>
              <w:rPr>
                <w:rFonts w:ascii="宋体" w:hAnsi="宋体" w:eastAsia="宋体"/>
                <w:sz w:val="16"/>
              </w:rPr>
              <w:t>得分</w:t>
            </w:r>
          </w:p>
        </w:tc>
      </w:tr>
      <w:tr w14:paraId="14B685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4891D">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16FD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E0C25">
            <w:pPr>
              <w:jc w:val="center"/>
            </w:pPr>
            <w:r>
              <w:rPr>
                <w:rFonts w:ascii="宋体" w:hAnsi="宋体" w:eastAsia="宋体"/>
                <w:sz w:val="16"/>
              </w:rPr>
              <w:t>案件受理数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59DD8">
            <w:pPr>
              <w:jc w:val="center"/>
            </w:pPr>
            <w:r>
              <w:rPr>
                <w:rFonts w:ascii="宋体" w:hAnsi="宋体" w:eastAsia="宋体"/>
                <w:sz w:val="16"/>
              </w:rPr>
              <w:t>&gt;=3600件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035F8">
            <w:pPr>
              <w:jc w:val="center"/>
            </w:pPr>
            <w:r>
              <w:rPr>
                <w:rFonts w:ascii="宋体" w:hAnsi="宋体" w:eastAsia="宋体"/>
                <w:sz w:val="16"/>
              </w:rPr>
              <w:t>尉犁县人民法院工作报告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184B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25961">
            <w:pPr>
              <w:jc w:val="center"/>
            </w:pPr>
            <w:r>
              <w:rPr>
                <w:rFonts w:ascii="宋体" w:hAnsi="宋体" w:eastAsia="宋体"/>
                <w:sz w:val="16"/>
              </w:rPr>
              <w:t>3893件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89E1A">
            <w:pPr>
              <w:jc w:val="center"/>
            </w:pPr>
            <w:r>
              <w:rPr>
                <w:rFonts w:ascii="宋体" w:hAnsi="宋体" w:eastAsia="宋体"/>
                <w:sz w:val="16"/>
              </w:rPr>
              <w:t>30</w:t>
            </w:r>
          </w:p>
        </w:tc>
      </w:tr>
      <w:tr w14:paraId="3CA367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3778A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F8A5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145D8">
            <w:pPr>
              <w:jc w:val="center"/>
            </w:pPr>
            <w:r>
              <w:rPr>
                <w:rFonts w:ascii="宋体" w:hAnsi="宋体" w:eastAsia="宋体"/>
                <w:sz w:val="16"/>
              </w:rPr>
              <w:t>一审服判息诉率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AFD6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4C95D">
            <w:pPr>
              <w:jc w:val="center"/>
            </w:pPr>
            <w:r>
              <w:rPr>
                <w:rFonts w:ascii="宋体" w:hAnsi="宋体" w:eastAsia="宋体"/>
                <w:sz w:val="16"/>
              </w:rPr>
              <w:t>尉犁县人民法院工作报告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03BA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0871A">
            <w:pPr>
              <w:jc w:val="center"/>
            </w:pPr>
            <w:r>
              <w:rPr>
                <w:rFonts w:ascii="宋体" w:hAnsi="宋体" w:eastAsia="宋体"/>
                <w:sz w:val="16"/>
              </w:rPr>
              <w:t>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CD1BE">
            <w:pPr>
              <w:jc w:val="center"/>
            </w:pPr>
            <w:r>
              <w:rPr>
                <w:rFonts w:ascii="宋体" w:hAnsi="宋体" w:eastAsia="宋体"/>
                <w:sz w:val="16"/>
              </w:rPr>
              <w:t>28.64</w:t>
            </w:r>
          </w:p>
        </w:tc>
      </w:tr>
      <w:tr w14:paraId="391589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D512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1F9A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CD9BB">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5FD1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A0EFAA">
            <w:pPr>
              <w:jc w:val="center"/>
            </w:pPr>
            <w:r>
              <w:rPr>
                <w:rFonts w:ascii="宋体" w:hAnsi="宋体" w:eastAsia="宋体"/>
                <w:sz w:val="16"/>
              </w:rPr>
              <w:t>尉犁县人民法院工作报告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A902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175FA">
            <w:pPr>
              <w:jc w:val="center"/>
            </w:pPr>
            <w:r>
              <w:rPr>
                <w:rFonts w:ascii="宋体" w:hAnsi="宋体" w:eastAsia="宋体"/>
                <w:sz w:val="16"/>
              </w:rPr>
              <w:t>92.94%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A833C">
            <w:pPr>
              <w:jc w:val="center"/>
            </w:pPr>
            <w:r>
              <w:rPr>
                <w:rFonts w:ascii="宋体" w:hAnsi="宋体" w:eastAsia="宋体"/>
                <w:sz w:val="16"/>
              </w:rPr>
              <w:t>19.57</w:t>
            </w:r>
          </w:p>
        </w:tc>
      </w:tr>
      <w:tr w14:paraId="4DE66EC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A31CD">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0E76C">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99D8D">
            <w:pPr>
              <w:jc w:val="center"/>
            </w:pPr>
            <w:r>
              <w:rPr>
                <w:rFonts w:ascii="宋体" w:hAnsi="宋体" w:eastAsia="宋体"/>
                <w:sz w:val="16"/>
              </w:rPr>
              <w:t>案件当事人满意度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5D17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258F6">
            <w:pPr>
              <w:jc w:val="center"/>
            </w:pPr>
            <w:r>
              <w:rPr>
                <w:rFonts w:ascii="宋体" w:hAnsi="宋体" w:eastAsia="宋体"/>
                <w:sz w:val="16"/>
              </w:rPr>
              <w:t>尉犁县人民法院工作报告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2CFB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DAD45">
            <w:pPr>
              <w:jc w:val="center"/>
            </w:pPr>
            <w:r>
              <w:rPr>
                <w:rFonts w:ascii="宋体" w:hAnsi="宋体" w:eastAsia="宋体"/>
                <w:sz w:val="16"/>
              </w:rPr>
              <w:t>94.28%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4FC5E">
            <w:pPr>
              <w:jc w:val="center"/>
            </w:pPr>
            <w:r>
              <w:rPr>
                <w:rFonts w:ascii="宋体" w:hAnsi="宋体" w:eastAsia="宋体"/>
                <w:sz w:val="16"/>
              </w:rPr>
              <w:t>9.92</w:t>
            </w:r>
          </w:p>
        </w:tc>
      </w:tr>
    </w:tbl>
    <w:p w14:paraId="3B01E8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C60D6BA">
        <w:tblPrEx>
          <w:tblCellMar>
            <w:top w:w="0" w:type="dxa"/>
            <w:left w:w="108" w:type="dxa"/>
            <w:bottom w:w="0" w:type="dxa"/>
            <w:right w:w="108" w:type="dxa"/>
          </w:tblCellMar>
        </w:tblPrEx>
        <w:tc>
          <w:tcPr>
            <w:tcW w:w="8848" w:type="dxa"/>
            <w:gridSpan w:val="14"/>
            <w:vAlign w:val="center"/>
          </w:tcPr>
          <w:p w14:paraId="05DDCF1B">
            <w:pPr>
              <w:jc w:val="center"/>
            </w:pPr>
            <w:r>
              <w:rPr>
                <w:rFonts w:ascii="宋体" w:hAnsi="宋体" w:eastAsia="宋体"/>
                <w:sz w:val="24"/>
              </w:rPr>
              <w:t>项目支出绩效自评表</w:t>
            </w:r>
          </w:p>
        </w:tc>
      </w:tr>
      <w:tr w14:paraId="37CE0BC0">
        <w:tblPrEx>
          <w:tblCellMar>
            <w:top w:w="0" w:type="dxa"/>
            <w:left w:w="108" w:type="dxa"/>
            <w:bottom w:w="0" w:type="dxa"/>
            <w:right w:w="108" w:type="dxa"/>
          </w:tblCellMar>
        </w:tblPrEx>
        <w:tc>
          <w:tcPr>
            <w:tcW w:w="8848" w:type="dxa"/>
            <w:gridSpan w:val="14"/>
            <w:vAlign w:val="center"/>
          </w:tcPr>
          <w:p w14:paraId="59209E5F">
            <w:pPr>
              <w:jc w:val="center"/>
            </w:pPr>
            <w:r>
              <w:rPr>
                <w:rFonts w:ascii="宋体" w:hAnsi="宋体" w:eastAsia="宋体"/>
                <w:sz w:val="24"/>
              </w:rPr>
              <w:t>(2024年度)</w:t>
            </w:r>
          </w:p>
        </w:tc>
      </w:tr>
      <w:tr w14:paraId="7815C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0D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F66F8F">
            <w:pPr>
              <w:jc w:val="center"/>
            </w:pPr>
            <w:r>
              <w:rPr>
                <w:rFonts w:ascii="宋体" w:hAnsi="宋体" w:eastAsia="宋体"/>
                <w:sz w:val="16"/>
              </w:rPr>
              <w:t>2024年</w:t>
            </w:r>
            <w:bookmarkStart w:id="0" w:name="_GoBack"/>
            <w:r>
              <w:rPr>
                <w:rFonts w:hint="eastAsia" w:ascii="宋体" w:hAnsi="宋体"/>
                <w:sz w:val="16"/>
                <w:lang w:eastAsia="zh-CN"/>
              </w:rPr>
              <w:t>为民办实事</w:t>
            </w:r>
            <w:bookmarkEnd w:id="0"/>
            <w:r>
              <w:rPr>
                <w:rFonts w:ascii="宋体" w:hAnsi="宋体" w:eastAsia="宋体"/>
                <w:sz w:val="16"/>
              </w:rPr>
              <w:t>工作队经费</w:t>
            </w:r>
          </w:p>
        </w:tc>
      </w:tr>
      <w:tr w14:paraId="43EF0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35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21BBC">
            <w:pPr>
              <w:jc w:val="center"/>
            </w:pPr>
            <w:r>
              <w:rPr>
                <w:rFonts w:ascii="宋体" w:hAnsi="宋体" w:eastAsia="宋体"/>
                <w:sz w:val="16"/>
              </w:rPr>
              <w:t>新疆巴州尉犁县人民法院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33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4EA47B">
            <w:pPr>
              <w:jc w:val="center"/>
            </w:pPr>
            <w:r>
              <w:rPr>
                <w:rFonts w:ascii="宋体" w:hAnsi="宋体" w:eastAsia="宋体"/>
                <w:sz w:val="16"/>
              </w:rPr>
              <w:t>新疆巴州尉犁县人民法院</w:t>
            </w:r>
          </w:p>
        </w:tc>
      </w:tr>
      <w:tr w14:paraId="52C99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03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057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AD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2D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35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A0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CA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58FC">
            <w:pPr>
              <w:jc w:val="center"/>
            </w:pPr>
            <w:r>
              <w:rPr>
                <w:rFonts w:ascii="宋体" w:hAnsi="宋体" w:eastAsia="宋体"/>
                <w:sz w:val="16"/>
              </w:rPr>
              <w:t>得分</w:t>
            </w:r>
          </w:p>
        </w:tc>
      </w:tr>
      <w:tr w14:paraId="3C411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957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8D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9AA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C91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E5A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82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80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0492">
            <w:pPr>
              <w:jc w:val="center"/>
            </w:pPr>
            <w:r>
              <w:rPr>
                <w:rFonts w:ascii="宋体" w:hAnsi="宋体" w:eastAsia="宋体"/>
                <w:sz w:val="16"/>
              </w:rPr>
              <w:t>10.00</w:t>
            </w:r>
          </w:p>
        </w:tc>
      </w:tr>
      <w:tr w14:paraId="4F22A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FE1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1F2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4F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49F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5399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F1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A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073E">
            <w:pPr>
              <w:jc w:val="center"/>
            </w:pPr>
            <w:r>
              <w:rPr>
                <w:rFonts w:ascii="宋体" w:hAnsi="宋体" w:eastAsia="宋体"/>
                <w:sz w:val="16"/>
              </w:rPr>
              <w:t>-</w:t>
            </w:r>
          </w:p>
        </w:tc>
      </w:tr>
      <w:tr w14:paraId="18851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856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97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F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CE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3FA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2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6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5840">
            <w:pPr>
              <w:jc w:val="center"/>
            </w:pPr>
            <w:r>
              <w:rPr>
                <w:rFonts w:ascii="宋体" w:hAnsi="宋体" w:eastAsia="宋体"/>
                <w:sz w:val="16"/>
              </w:rPr>
              <w:t>-</w:t>
            </w:r>
          </w:p>
        </w:tc>
      </w:tr>
      <w:tr w14:paraId="6123C2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15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5AA2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DFADF">
            <w:pPr>
              <w:jc w:val="center"/>
            </w:pPr>
            <w:r>
              <w:rPr>
                <w:rFonts w:ascii="宋体" w:hAnsi="宋体" w:eastAsia="宋体"/>
                <w:sz w:val="16"/>
              </w:rPr>
              <w:t>总体目标完成情况</w:t>
            </w:r>
          </w:p>
        </w:tc>
      </w:tr>
      <w:tr w14:paraId="6C351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6A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1225C">
            <w:pPr>
              <w:jc w:val="both"/>
            </w:pPr>
            <w:r>
              <w:rPr>
                <w:rFonts w:ascii="宋体" w:hAnsi="宋体" w:eastAsia="宋体"/>
                <w:sz w:val="16"/>
              </w:rPr>
              <w:t>我院驻点尉犁县古勒巴格乡库克喀依那木村，现有工作队队员4人。为确保村基础设施建设完善，开展修缮村道两边围栏、困难群众房屋工作；组织实施困难群众的关心关爱活动，进行访贫问苦，购置慰问品,提升群众获得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8CC5B7">
            <w:pPr>
              <w:jc w:val="both"/>
            </w:pPr>
            <w:r>
              <w:rPr>
                <w:rFonts w:ascii="宋体" w:hAnsi="宋体" w:eastAsia="宋体"/>
                <w:sz w:val="16"/>
              </w:rPr>
              <w:t>为全面贯彻新时代党的治疆方略，努力做好群众工作，落实惠民政策，我院开展完成</w:t>
            </w:r>
            <w:r>
              <w:rPr>
                <w:rFonts w:hint="eastAsia" w:ascii="宋体" w:hAnsi="宋体"/>
                <w:sz w:val="16"/>
                <w:lang w:eastAsia="zh-CN"/>
              </w:rPr>
              <w:t>为民办实事</w:t>
            </w:r>
            <w:r>
              <w:rPr>
                <w:rFonts w:ascii="宋体" w:hAnsi="宋体" w:eastAsia="宋体"/>
                <w:sz w:val="16"/>
              </w:rPr>
              <w:t>工作队经费项目，确保尉犁县古勒巴格乡下库克喀依那木村工作队共4名工作人员，工作经费落实到实处。开展修缮村道两边围栏、困难群众房屋工作，组织实施困难群众的关心关爱活动，进行访贫问苦，购置慰问品，切实做到为村民办实事、解民忧，着力解决村民</w:t>
            </w:r>
            <w:r>
              <w:rPr>
                <w:rFonts w:hint="eastAsia" w:ascii="宋体" w:hAnsi="宋体"/>
                <w:sz w:val="16"/>
                <w:lang w:eastAsia="zh-CN"/>
              </w:rPr>
              <w:t>急难愁盼问题</w:t>
            </w:r>
            <w:r>
              <w:rPr>
                <w:rFonts w:ascii="宋体" w:hAnsi="宋体" w:eastAsia="宋体"/>
                <w:sz w:val="16"/>
              </w:rPr>
              <w:t>提升群众满意度。</w:t>
            </w:r>
          </w:p>
        </w:tc>
      </w:tr>
      <w:tr w14:paraId="43273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C8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D4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14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54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6E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A3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E7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F70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4C7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9B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E9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D1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85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8C25">
            <w:pPr>
              <w:jc w:val="center"/>
            </w:pPr>
            <w:r>
              <w:rPr>
                <w:rFonts w:ascii="宋体" w:hAnsi="宋体" w:eastAsia="宋体"/>
                <w:sz w:val="16"/>
              </w:rPr>
              <w:t>偏差原因分析及改进措施</w:t>
            </w:r>
          </w:p>
        </w:tc>
      </w:tr>
      <w:tr w14:paraId="3FE0AE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976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7BB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D0F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F068">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BC3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0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0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1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9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6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E9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D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D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B451">
            <w:pPr>
              <w:jc w:val="center"/>
            </w:pPr>
          </w:p>
        </w:tc>
      </w:tr>
      <w:tr w14:paraId="10775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A0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5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1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7C63">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FCE8">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6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A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E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5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1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65A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3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7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4A45">
            <w:pPr>
              <w:jc w:val="center"/>
            </w:pPr>
          </w:p>
        </w:tc>
      </w:tr>
      <w:tr w14:paraId="053DC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A6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42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8D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0C6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8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A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A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0F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D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4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8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A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0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027">
            <w:pPr>
              <w:jc w:val="center"/>
            </w:pPr>
          </w:p>
        </w:tc>
      </w:tr>
      <w:tr w14:paraId="6D44B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5C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4B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63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FEA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7AD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C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D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6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9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62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9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3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2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9F53">
            <w:pPr>
              <w:jc w:val="center"/>
            </w:pPr>
          </w:p>
        </w:tc>
      </w:tr>
      <w:tr w14:paraId="34B8C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99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BEC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2E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6CB6">
            <w:pPr>
              <w:jc w:val="center"/>
            </w:pPr>
            <w:r>
              <w:rPr>
                <w:rFonts w:ascii="宋体" w:hAnsi="宋体" w:eastAsia="宋体"/>
                <w:sz w:val="16"/>
              </w:rPr>
              <w:t>访贫问苦工作经费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9F98">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3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0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1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1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47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E1E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3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D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0671">
            <w:pPr>
              <w:jc w:val="center"/>
            </w:pPr>
          </w:p>
        </w:tc>
      </w:tr>
      <w:tr w14:paraId="5A3C5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2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9C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9D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8D2A">
            <w:pPr>
              <w:jc w:val="center"/>
            </w:pPr>
            <w:r>
              <w:rPr>
                <w:rFonts w:ascii="宋体" w:hAnsi="宋体" w:eastAsia="宋体"/>
                <w:sz w:val="16"/>
              </w:rPr>
              <w:t>基础设施建设经费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09B6">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6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0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D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30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45C2">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7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6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8ABE">
            <w:pPr>
              <w:jc w:val="center"/>
            </w:pPr>
          </w:p>
        </w:tc>
      </w:tr>
      <w:tr w14:paraId="5B1FC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6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E1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01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8EA1">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EDA5">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E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0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41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1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6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F271">
            <w:pPr>
              <w:jc w:val="center"/>
            </w:pPr>
            <w:r>
              <w:rPr>
                <w:rFonts w:ascii="宋体" w:hAnsi="宋体" w:eastAsia="宋体"/>
                <w:sz w:val="16"/>
              </w:rPr>
              <w: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DA20">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10EE">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C148">
            <w:pPr>
              <w:jc w:val="center"/>
            </w:pPr>
            <w:r>
              <w:rPr>
                <w:rFonts w:ascii="宋体" w:hAnsi="宋体" w:eastAsia="宋体"/>
                <w:sz w:val="16"/>
              </w:rPr>
              <w:t>开展民族团结，创建美丽乡村等积极动员活动多，使</w:t>
            </w:r>
            <w:r>
              <w:rPr>
                <w:rFonts w:hint="eastAsia" w:ascii="宋体" w:hAnsi="宋体"/>
                <w:sz w:val="16"/>
                <w:lang w:eastAsia="zh-CN"/>
              </w:rPr>
              <w:t>得</w:t>
            </w:r>
            <w:r>
              <w:rPr>
                <w:rFonts w:ascii="宋体" w:hAnsi="宋体" w:eastAsia="宋体"/>
                <w:sz w:val="16"/>
              </w:rPr>
              <w:t>受益人数超过预期数</w:t>
            </w:r>
          </w:p>
        </w:tc>
      </w:tr>
      <w:tr w14:paraId="6DA7C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BF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A4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02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0F76">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86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E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6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E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A0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1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5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7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1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D108">
            <w:pPr>
              <w:jc w:val="center"/>
            </w:pPr>
          </w:p>
        </w:tc>
      </w:tr>
      <w:tr w14:paraId="531337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AB64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948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0FB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83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9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616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4E1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FC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4F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99A1">
            <w:pPr>
              <w:jc w:val="center"/>
            </w:pPr>
            <w:r>
              <w:rPr>
                <w:rFonts w:ascii="宋体" w:hAnsi="宋体" w:eastAsia="宋体"/>
                <w:sz w:val="16"/>
              </w:rPr>
              <w:t>99.60分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D4682"/>
        </w:tc>
      </w:tr>
    </w:tbl>
    <w:p w14:paraId="5C01641C">
      <w:r>
        <w:br w:type="page"/>
      </w:r>
    </w:p>
    <w:p w14:paraId="7176007E">
      <w:pPr>
        <w:spacing w:line="640" w:lineRule="exact"/>
        <w:ind w:firstLine="640"/>
        <w:jc w:val="both"/>
        <w:outlineLvl w:val="2"/>
      </w:pPr>
      <w:r>
        <w:rPr>
          <w:rFonts w:ascii="黑体" w:hAnsi="黑体" w:eastAsia="黑体"/>
          <w:sz w:val="32"/>
        </w:rPr>
        <w:t>十二、其他需说明的事项</w:t>
      </w:r>
    </w:p>
    <w:p w14:paraId="5D8D2845">
      <w:pPr>
        <w:spacing w:line="580" w:lineRule="exact"/>
        <w:ind w:firstLine="640"/>
        <w:jc w:val="both"/>
      </w:pPr>
      <w:r>
        <w:rPr>
          <w:rFonts w:ascii="仿宋_GB2312" w:hAnsi="仿宋_GB2312" w:eastAsia="仿宋_GB2312"/>
          <w:b w:val="0"/>
          <w:sz w:val="32"/>
        </w:rPr>
        <w:t>本年本部门SM项目1个，全年预算数328.10万元，全年执行数328.10万元。</w:t>
      </w:r>
    </w:p>
    <w:p w14:paraId="061ECDBD">
      <w:r>
        <w:br w:type="page"/>
      </w:r>
    </w:p>
    <w:p w14:paraId="1E388E2E">
      <w:pPr>
        <w:spacing w:line="240" w:lineRule="auto"/>
        <w:jc w:val="center"/>
        <w:outlineLvl w:val="1"/>
      </w:pPr>
      <w:r>
        <w:rPr>
          <w:rFonts w:ascii="黑体" w:hAnsi="黑体" w:eastAsia="黑体"/>
          <w:sz w:val="32"/>
        </w:rPr>
        <w:t>第三部分 专业名词解释</w:t>
      </w:r>
    </w:p>
    <w:p w14:paraId="63610D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0273B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437B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CDCE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DF0B0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42D1E7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35FA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7C6D9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7B48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D9B0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FAC3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46B1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FFAA2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73E34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BF07D8">
      <w:r>
        <w:br w:type="page"/>
      </w:r>
    </w:p>
    <w:p w14:paraId="3A79AB5D">
      <w:pPr>
        <w:spacing w:line="240" w:lineRule="auto"/>
        <w:jc w:val="center"/>
        <w:outlineLvl w:val="1"/>
      </w:pPr>
      <w:r>
        <w:rPr>
          <w:rFonts w:ascii="黑体" w:hAnsi="黑体" w:eastAsia="黑体"/>
          <w:sz w:val="32"/>
        </w:rPr>
        <w:t>第四部分 部门决算报表（见附表）</w:t>
      </w:r>
    </w:p>
    <w:p w14:paraId="033514AC">
      <w:pPr>
        <w:spacing w:line="240" w:lineRule="auto"/>
        <w:ind w:firstLine="640"/>
        <w:jc w:val="both"/>
      </w:pPr>
      <w:r>
        <w:rPr>
          <w:rFonts w:ascii="仿宋_GB2312" w:hAnsi="仿宋_GB2312" w:eastAsia="仿宋_GB2312"/>
          <w:b w:val="0"/>
          <w:sz w:val="32"/>
        </w:rPr>
        <w:t>一、《收入支出决算总表》</w:t>
      </w:r>
    </w:p>
    <w:p w14:paraId="608A7D05">
      <w:pPr>
        <w:spacing w:line="240" w:lineRule="auto"/>
        <w:ind w:firstLine="640"/>
        <w:jc w:val="both"/>
      </w:pPr>
      <w:r>
        <w:rPr>
          <w:rFonts w:ascii="仿宋_GB2312" w:hAnsi="仿宋_GB2312" w:eastAsia="仿宋_GB2312"/>
          <w:b w:val="0"/>
          <w:sz w:val="32"/>
        </w:rPr>
        <w:t>二、《收入决算表》</w:t>
      </w:r>
    </w:p>
    <w:p w14:paraId="2B10D114">
      <w:pPr>
        <w:spacing w:line="240" w:lineRule="auto"/>
        <w:ind w:firstLine="640"/>
        <w:jc w:val="both"/>
      </w:pPr>
      <w:r>
        <w:rPr>
          <w:rFonts w:ascii="仿宋_GB2312" w:hAnsi="仿宋_GB2312" w:eastAsia="仿宋_GB2312"/>
          <w:b w:val="0"/>
          <w:sz w:val="32"/>
        </w:rPr>
        <w:t>三、《支出决算表》</w:t>
      </w:r>
    </w:p>
    <w:p w14:paraId="1BECF780">
      <w:pPr>
        <w:spacing w:line="240" w:lineRule="auto"/>
        <w:ind w:firstLine="640"/>
        <w:jc w:val="both"/>
      </w:pPr>
      <w:r>
        <w:rPr>
          <w:rFonts w:ascii="仿宋_GB2312" w:hAnsi="仿宋_GB2312" w:eastAsia="仿宋_GB2312"/>
          <w:b w:val="0"/>
          <w:sz w:val="32"/>
        </w:rPr>
        <w:t>四、《财政拨款收入支出决算总表》</w:t>
      </w:r>
    </w:p>
    <w:p w14:paraId="0981AB59">
      <w:pPr>
        <w:spacing w:line="240" w:lineRule="auto"/>
        <w:ind w:firstLine="640"/>
        <w:jc w:val="both"/>
      </w:pPr>
      <w:r>
        <w:rPr>
          <w:rFonts w:ascii="仿宋_GB2312" w:hAnsi="仿宋_GB2312" w:eastAsia="仿宋_GB2312"/>
          <w:b w:val="0"/>
          <w:sz w:val="32"/>
        </w:rPr>
        <w:t>五、《一般公共预算财政拨款支出决算表》</w:t>
      </w:r>
    </w:p>
    <w:p w14:paraId="5349A0DE">
      <w:pPr>
        <w:spacing w:line="240" w:lineRule="auto"/>
        <w:ind w:firstLine="640"/>
        <w:jc w:val="both"/>
      </w:pPr>
      <w:r>
        <w:rPr>
          <w:rFonts w:ascii="仿宋_GB2312" w:hAnsi="仿宋_GB2312" w:eastAsia="仿宋_GB2312"/>
          <w:b w:val="0"/>
          <w:sz w:val="32"/>
        </w:rPr>
        <w:t>六、《一般公共预算财政拨款基本支出决算表》</w:t>
      </w:r>
    </w:p>
    <w:p w14:paraId="1F68E8D1">
      <w:pPr>
        <w:spacing w:line="240" w:lineRule="auto"/>
        <w:ind w:firstLine="640"/>
        <w:jc w:val="both"/>
      </w:pPr>
      <w:r>
        <w:rPr>
          <w:rFonts w:ascii="仿宋_GB2312" w:hAnsi="仿宋_GB2312" w:eastAsia="仿宋_GB2312"/>
          <w:b w:val="0"/>
          <w:sz w:val="32"/>
        </w:rPr>
        <w:t>七、《政府性基金预算财政拨款收入支出决算表》</w:t>
      </w:r>
    </w:p>
    <w:p w14:paraId="03C3EA4F">
      <w:pPr>
        <w:spacing w:line="240" w:lineRule="auto"/>
        <w:ind w:firstLine="640"/>
        <w:jc w:val="both"/>
      </w:pPr>
      <w:r>
        <w:rPr>
          <w:rFonts w:ascii="仿宋_GB2312" w:hAnsi="仿宋_GB2312" w:eastAsia="仿宋_GB2312"/>
          <w:b w:val="0"/>
          <w:sz w:val="32"/>
        </w:rPr>
        <w:t>八、《国有资本经营预算财政拨款收入支出决算表》</w:t>
      </w:r>
    </w:p>
    <w:p w14:paraId="6C47A20A">
      <w:pPr>
        <w:spacing w:line="240" w:lineRule="auto"/>
        <w:ind w:firstLine="640"/>
        <w:jc w:val="both"/>
      </w:pPr>
      <w:r>
        <w:rPr>
          <w:rFonts w:ascii="仿宋_GB2312" w:hAnsi="仿宋_GB2312" w:eastAsia="仿宋_GB2312"/>
          <w:b w:val="0"/>
          <w:sz w:val="32"/>
        </w:rPr>
        <w:t>九、《财政拨款“三公”经费支出决算表》</w:t>
      </w:r>
    </w:p>
    <w:p w14:paraId="4D89B2D0">
      <w:pPr>
        <w:spacing w:line="240" w:lineRule="auto"/>
        <w:ind w:firstLine="640"/>
        <w:jc w:val="both"/>
      </w:pPr>
    </w:p>
    <w:p w14:paraId="73E22DDD">
      <w:pPr>
        <w:spacing w:line="240" w:lineRule="auto"/>
        <w:ind w:firstLine="640"/>
        <w:jc w:val="both"/>
      </w:pPr>
    </w:p>
    <w:p w14:paraId="25244614">
      <w:pPr>
        <w:spacing w:line="240" w:lineRule="auto"/>
        <w:ind w:firstLine="640"/>
        <w:jc w:val="both"/>
      </w:pPr>
    </w:p>
    <w:p w14:paraId="4EE281F9">
      <w:pPr>
        <w:spacing w:line="240" w:lineRule="auto"/>
        <w:ind w:firstLine="640"/>
        <w:jc w:val="both"/>
      </w:pPr>
    </w:p>
    <w:p w14:paraId="33D64E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BE6590"/>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5322</Words>
  <Characters>6107</Characters>
  <Lines>0</Lines>
  <Paragraphs>0</Paragraphs>
  <TotalTime>7</TotalTime>
  <ScaleCrop>false</ScaleCrop>
  <LinksUpToDate>false</LinksUpToDate>
  <CharactersWithSpaces>6115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