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8981B5"/>
    <w:p w14:paraId="6958DEB1">
      <w:pPr>
        <w:spacing w:line="540" w:lineRule="exact"/>
        <w:jc w:val="center"/>
        <w:rPr>
          <w:rFonts w:hint="default" w:ascii="Times New Roman" w:hAnsi="Times New Roman" w:eastAsia="华文中宋" w:cs="Times New Roman"/>
          <w:b/>
          <w:kern w:val="0"/>
          <w:sz w:val="52"/>
          <w:szCs w:val="52"/>
        </w:rPr>
      </w:pPr>
    </w:p>
    <w:p w14:paraId="3B0003BE">
      <w:pPr>
        <w:spacing w:line="540" w:lineRule="exact"/>
        <w:rPr>
          <w:rFonts w:hint="default" w:ascii="Times New Roman" w:hAnsi="Times New Roman" w:eastAsia="华文中宋" w:cs="Times New Roman"/>
          <w:b/>
          <w:kern w:val="0"/>
          <w:sz w:val="52"/>
          <w:szCs w:val="52"/>
        </w:rPr>
      </w:pPr>
    </w:p>
    <w:p w14:paraId="0CEB02FC">
      <w:pPr>
        <w:spacing w:line="540" w:lineRule="exact"/>
        <w:jc w:val="center"/>
        <w:rPr>
          <w:rFonts w:hint="default" w:ascii="Times New Roman" w:hAnsi="Times New Roman" w:eastAsia="华文中宋" w:cs="Times New Roman"/>
          <w:b/>
          <w:kern w:val="0"/>
          <w:sz w:val="52"/>
          <w:szCs w:val="52"/>
        </w:rPr>
      </w:pPr>
    </w:p>
    <w:p w14:paraId="5EDE2C3B">
      <w:pPr>
        <w:spacing w:line="540" w:lineRule="exact"/>
        <w:jc w:val="center"/>
        <w:rPr>
          <w:rFonts w:hint="default" w:ascii="Times New Roman" w:hAnsi="Times New Roman" w:eastAsia="华文中宋" w:cs="Times New Roman"/>
          <w:b/>
          <w:kern w:val="0"/>
          <w:sz w:val="52"/>
          <w:szCs w:val="52"/>
        </w:rPr>
      </w:pPr>
    </w:p>
    <w:p w14:paraId="7A88D210">
      <w:pPr>
        <w:spacing w:line="540" w:lineRule="exact"/>
        <w:jc w:val="center"/>
        <w:rPr>
          <w:rFonts w:hint="default" w:ascii="Times New Roman" w:hAnsi="Times New Roman" w:eastAsia="方正小标宋_GBK" w:cs="Times New Roman"/>
          <w:kern w:val="0"/>
          <w:sz w:val="48"/>
          <w:szCs w:val="48"/>
        </w:rPr>
      </w:pPr>
      <w:r>
        <w:rPr>
          <w:rFonts w:hint="eastAsia" w:eastAsia="方正小标宋_GBK" w:cs="Times New Roman"/>
          <w:kern w:val="0"/>
          <w:sz w:val="48"/>
          <w:szCs w:val="48"/>
          <w:lang w:val="en-US" w:eastAsia="zh-CN"/>
        </w:rPr>
        <w:t>2024年</w:t>
      </w:r>
      <w:r>
        <w:rPr>
          <w:rFonts w:hint="default" w:ascii="Times New Roman" w:hAnsi="Times New Roman" w:eastAsia="方正小标宋_GBK" w:cs="Times New Roman"/>
          <w:kern w:val="0"/>
          <w:sz w:val="48"/>
          <w:szCs w:val="48"/>
        </w:rPr>
        <w:t>综合业务费用项目</w:t>
      </w:r>
    </w:p>
    <w:p w14:paraId="35E4D202">
      <w:pPr>
        <w:spacing w:line="540" w:lineRule="exact"/>
        <w:jc w:val="center"/>
        <w:rPr>
          <w:rStyle w:val="21"/>
          <w:rFonts w:hint="default"/>
        </w:rPr>
      </w:pPr>
      <w:r>
        <w:rPr>
          <w:rFonts w:hint="default" w:ascii="Times New Roman" w:hAnsi="Times New Roman" w:eastAsia="方正小标宋_GBK" w:cs="Times New Roman"/>
          <w:kern w:val="0"/>
          <w:sz w:val="48"/>
          <w:szCs w:val="48"/>
        </w:rPr>
        <w:t>支出绩效评价报告</w:t>
      </w:r>
    </w:p>
    <w:p w14:paraId="1932C9BE">
      <w:pPr>
        <w:spacing w:line="540" w:lineRule="exact"/>
        <w:jc w:val="center"/>
        <w:rPr>
          <w:rFonts w:hint="default" w:ascii="Times New Roman" w:hAnsi="Times New Roman" w:eastAsia="华文中宋" w:cs="Times New Roman"/>
          <w:b/>
          <w:kern w:val="0"/>
          <w:sz w:val="52"/>
          <w:szCs w:val="52"/>
        </w:rPr>
      </w:pPr>
    </w:p>
    <w:p w14:paraId="124BE118">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6482B83A">
      <w:pPr>
        <w:spacing w:line="540" w:lineRule="exact"/>
        <w:jc w:val="center"/>
        <w:rPr>
          <w:rFonts w:hint="default" w:ascii="Times New Roman" w:hAnsi="Times New Roman" w:eastAsia="仿宋_GB2312" w:cs="Times New Roman"/>
          <w:kern w:val="0"/>
          <w:sz w:val="30"/>
          <w:szCs w:val="30"/>
        </w:rPr>
      </w:pPr>
    </w:p>
    <w:p w14:paraId="7907C405">
      <w:pPr>
        <w:spacing w:line="540" w:lineRule="exact"/>
        <w:jc w:val="center"/>
        <w:rPr>
          <w:rFonts w:hint="default" w:ascii="Times New Roman" w:hAnsi="Times New Roman" w:eastAsia="仿宋_GB2312" w:cs="Times New Roman"/>
          <w:kern w:val="0"/>
          <w:sz w:val="30"/>
          <w:szCs w:val="30"/>
        </w:rPr>
      </w:pPr>
    </w:p>
    <w:p w14:paraId="2CE14DE1">
      <w:pPr>
        <w:spacing w:line="540" w:lineRule="exact"/>
        <w:jc w:val="center"/>
        <w:rPr>
          <w:rFonts w:hint="default" w:ascii="Times New Roman" w:hAnsi="Times New Roman" w:eastAsia="仿宋_GB2312" w:cs="Times New Roman"/>
          <w:kern w:val="0"/>
          <w:sz w:val="30"/>
          <w:szCs w:val="30"/>
        </w:rPr>
      </w:pPr>
    </w:p>
    <w:p w14:paraId="786EAE0F">
      <w:pPr>
        <w:pStyle w:val="2"/>
        <w:rPr>
          <w:rFonts w:hint="default" w:ascii="Times New Roman" w:hAnsi="Times New Roman" w:cs="Times New Roman"/>
        </w:rPr>
      </w:pPr>
    </w:p>
    <w:p w14:paraId="43F563B2">
      <w:pPr>
        <w:spacing w:line="540" w:lineRule="exact"/>
        <w:jc w:val="center"/>
        <w:rPr>
          <w:rFonts w:hint="default" w:ascii="Times New Roman" w:hAnsi="Times New Roman" w:eastAsia="仿宋_GB2312" w:cs="Times New Roman"/>
          <w:kern w:val="0"/>
          <w:sz w:val="30"/>
          <w:szCs w:val="30"/>
        </w:rPr>
      </w:pPr>
    </w:p>
    <w:p w14:paraId="6ED744A3">
      <w:pPr>
        <w:spacing w:line="540" w:lineRule="exact"/>
        <w:rPr>
          <w:rFonts w:hint="default" w:ascii="Times New Roman" w:hAnsi="Times New Roman" w:eastAsia="仿宋_GB2312" w:cs="Times New Roman"/>
          <w:kern w:val="0"/>
          <w:sz w:val="30"/>
          <w:szCs w:val="30"/>
        </w:rPr>
      </w:pPr>
    </w:p>
    <w:p w14:paraId="673FC898">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项目名称：</w:t>
      </w:r>
      <w:r>
        <w:rPr>
          <w:rFonts w:hint="eastAsia" w:ascii="Times New Roman" w:hAnsi="Times New Roman" w:eastAsia="仿宋_GB2312" w:cs="Times New Roman"/>
          <w:kern w:val="0"/>
          <w:sz w:val="36"/>
          <w:szCs w:val="36"/>
          <w:lang w:eastAsia="zh-CN"/>
        </w:rPr>
        <w:t>综合业务费用</w:t>
      </w:r>
    </w:p>
    <w:p w14:paraId="4EA1E679">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ascii="Times New Roman" w:hAnsi="Times New Roman" w:eastAsia="仿宋_GB2312" w:cs="Times New Roman"/>
          <w:kern w:val="0"/>
          <w:sz w:val="36"/>
          <w:szCs w:val="36"/>
          <w:lang w:val="en-US" w:eastAsia="zh-CN"/>
        </w:rPr>
        <w:t>若羌县人民法院</w:t>
      </w:r>
    </w:p>
    <w:p w14:paraId="1D25B524">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w:t>
      </w:r>
      <w:r>
        <w:rPr>
          <w:rFonts w:hint="eastAsia" w:ascii="Times New Roman" w:hAnsi="Times New Roman" w:eastAsia="仿宋_GB2312" w:cs="Times New Roman"/>
          <w:kern w:val="0"/>
          <w:sz w:val="36"/>
          <w:szCs w:val="36"/>
          <w:lang w:val="en-US" w:eastAsia="zh-CN"/>
        </w:rPr>
        <w:t>若羌县人民法院</w:t>
      </w:r>
    </w:p>
    <w:p w14:paraId="55E0FE6F">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项目负责人（签章）：艾合买提·卡德尔</w:t>
      </w:r>
    </w:p>
    <w:p w14:paraId="423C2A90">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填报时间：2025年3月28日</w:t>
      </w:r>
    </w:p>
    <w:p w14:paraId="22D2041A">
      <w:pPr>
        <w:spacing w:line="540" w:lineRule="exact"/>
        <w:jc w:val="center"/>
        <w:rPr>
          <w:rFonts w:hint="default" w:ascii="Times New Roman" w:hAnsi="Times New Roman" w:eastAsia="仿宋_GB2312" w:cs="Times New Roman"/>
          <w:kern w:val="0"/>
          <w:sz w:val="30"/>
          <w:szCs w:val="30"/>
        </w:rPr>
      </w:pPr>
    </w:p>
    <w:p w14:paraId="06A56BDF">
      <w:pPr>
        <w:spacing w:line="540" w:lineRule="exact"/>
        <w:jc w:val="center"/>
        <w:rPr>
          <w:rFonts w:hint="default" w:ascii="Times New Roman" w:hAnsi="Times New Roman" w:eastAsia="仿宋_GB2312" w:cs="Times New Roman"/>
          <w:kern w:val="0"/>
          <w:sz w:val="30"/>
          <w:szCs w:val="30"/>
        </w:rPr>
      </w:pPr>
    </w:p>
    <w:p w14:paraId="06F9586D">
      <w:pPr>
        <w:spacing w:line="540" w:lineRule="exact"/>
        <w:rPr>
          <w:rStyle w:val="15"/>
          <w:rFonts w:hint="default" w:ascii="Times New Roman" w:hAnsi="Times New Roman" w:eastAsia="黑体" w:cs="Times New Roman"/>
          <w:b w:val="0"/>
          <w:spacing w:val="-4"/>
          <w:sz w:val="32"/>
          <w:szCs w:val="32"/>
        </w:rPr>
      </w:pPr>
    </w:p>
    <w:p w14:paraId="61C1004C">
      <w:pPr>
        <w:spacing w:line="540" w:lineRule="exact"/>
        <w:ind w:firstLine="640"/>
        <w:rPr>
          <w:rStyle w:val="15"/>
          <w:rFonts w:hint="default" w:ascii="Times New Roman" w:hAnsi="Times New Roman" w:eastAsia="黑体" w:cs="Times New Roman"/>
          <w:b w:val="0"/>
          <w:spacing w:val="-4"/>
          <w:sz w:val="32"/>
          <w:szCs w:val="32"/>
        </w:rPr>
      </w:pPr>
    </w:p>
    <w:p w14:paraId="0BED9B1E">
      <w:pPr>
        <w:spacing w:line="560" w:lineRule="exact"/>
        <w:rPr>
          <w:rFonts w:hint="default" w:ascii="Times New Roman" w:hAnsi="Times New Roman" w:eastAsia="黑体" w:cs="Times New Roman"/>
          <w:bCs/>
          <w:sz w:val="32"/>
          <w:szCs w:val="32"/>
        </w:rPr>
        <w:sectPr>
          <w:pgSz w:w="11906" w:h="16838"/>
          <w:pgMar w:top="1440" w:right="1558" w:bottom="1440" w:left="1800" w:header="851" w:footer="992" w:gutter="0"/>
          <w:cols w:space="425" w:num="1"/>
          <w:docGrid w:type="lines" w:linePitch="312" w:charSpace="0"/>
        </w:sectPr>
      </w:pPr>
    </w:p>
    <w:p w14:paraId="02BB4ED8">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66D75A41">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7D9D1A16">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71800118">
      <w:pPr>
        <w:pStyle w:val="2"/>
        <w:numPr>
          <w:ilvl w:val="0"/>
          <w:numId w:val="0"/>
        </w:numPr>
        <w:spacing w:before="0" w:after="0" w:line="560" w:lineRule="exact"/>
        <w:ind w:firstLine="640"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b w:val="0"/>
          <w:bCs w:val="0"/>
          <w:kern w:val="2"/>
          <w:lang w:val="en-US" w:eastAsia="zh-CN"/>
        </w:rPr>
        <w:t>根据《中共中央办公厅国务院办公厅关于加强政法经费保障工作的意见的通知》（厅字[2009]32号）有关规定设立中央政法纪检监察转移支付资金项目，保障法院忠实履行法律审判职能，为经济社会发展营造良好环境，维护地方司法公平正义。</w:t>
      </w: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01D271BA">
      <w:pPr>
        <w:spacing w:line="560" w:lineRule="exact"/>
        <w:ind w:firstLine="640" w:firstLineChars="20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主要内容：围绕</w:t>
      </w:r>
      <w:r>
        <w:rPr>
          <w:rFonts w:hint="eastAsia" w:eastAsia="仿宋_GB2312" w:cs="Times New Roman"/>
          <w:b w:val="0"/>
          <w:bCs w:val="0"/>
          <w:sz w:val="32"/>
          <w:szCs w:val="32"/>
          <w:lang w:eastAsia="zh-CN"/>
        </w:rPr>
        <w:t>法治</w:t>
      </w:r>
      <w:r>
        <w:rPr>
          <w:rFonts w:hint="default" w:ascii="Times New Roman" w:hAnsi="Times New Roman" w:eastAsia="仿宋_GB2312" w:cs="Times New Roman"/>
          <w:b w:val="0"/>
          <w:bCs w:val="0"/>
          <w:sz w:val="32"/>
          <w:szCs w:val="32"/>
        </w:rPr>
        <w:t>工作大局，依法惩处破坏经济发展环境的各类犯罪。依法打击各类刑事犯罪，维护社会和谐稳定。强化对审判活动的监督，维护司法公正。科学合理地保障每个部门的办案经费需求，及时配备所需的业务装备，推进全院信息化建设。</w:t>
      </w:r>
    </w:p>
    <w:p w14:paraId="292B54F9">
      <w:pPr>
        <w:spacing w:line="560" w:lineRule="exact"/>
        <w:ind w:firstLine="640" w:firstLineChars="20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实施情况：受理案件2684件，审结案件2498件，案件审结率达到94.52%，业务装备经费采购及时性达到100%，科学、合理地保障每个部门的办案经费需求、合理使用装备经费，充分发挥了人民法院中央政法转移支付项目资金效益，维护了社会稳定、惩治犯罪和化解矛盾。</w:t>
      </w:r>
    </w:p>
    <w:p w14:paraId="2085B8A6">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4EB2B29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3D85F72B">
      <w:pPr>
        <w:spacing w:line="560" w:lineRule="exact"/>
        <w:ind w:firstLine="640" w:firstLineChars="200"/>
        <w:rPr>
          <w:rFonts w:hint="default"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该项目年初预算数</w:t>
      </w:r>
      <w:r>
        <w:rPr>
          <w:rFonts w:hint="default" w:ascii="Times New Roman" w:hAnsi="Times New Roman" w:eastAsia="仿宋_GB2312" w:cs="Times New Roman"/>
          <w:b w:val="0"/>
          <w:bCs w:val="0"/>
          <w:sz w:val="32"/>
          <w:szCs w:val="32"/>
          <w:lang w:eastAsia="zh-CN"/>
        </w:rPr>
        <w:t>248</w:t>
      </w:r>
      <w:r>
        <w:rPr>
          <w:rFonts w:hint="eastAsia" w:ascii="Times New Roman" w:hAnsi="Times New Roman" w:eastAsia="仿宋_GB2312" w:cs="Times New Roman"/>
          <w:b w:val="0"/>
          <w:bCs w:val="0"/>
          <w:sz w:val="32"/>
          <w:szCs w:val="32"/>
        </w:rPr>
        <w:t>万元，全年预算数</w:t>
      </w:r>
      <w:r>
        <w:rPr>
          <w:rFonts w:hint="default" w:ascii="Times New Roman" w:hAnsi="Times New Roman" w:eastAsia="仿宋_GB2312" w:cs="Times New Roman"/>
          <w:b w:val="0"/>
          <w:bCs w:val="0"/>
          <w:sz w:val="32"/>
          <w:szCs w:val="32"/>
          <w:lang w:eastAsia="zh-CN"/>
        </w:rPr>
        <w:t>307</w:t>
      </w:r>
      <w:r>
        <w:rPr>
          <w:rFonts w:hint="eastAsia" w:ascii="Times New Roman" w:hAnsi="Times New Roman" w:eastAsia="仿宋_GB2312" w:cs="Times New Roman"/>
          <w:b w:val="0"/>
          <w:bCs w:val="0"/>
          <w:sz w:val="32"/>
          <w:szCs w:val="32"/>
        </w:rPr>
        <w:t>万元，实际总投入</w:t>
      </w:r>
      <w:r>
        <w:rPr>
          <w:rFonts w:hint="default" w:ascii="Times New Roman" w:hAnsi="Times New Roman" w:eastAsia="仿宋_GB2312" w:cs="Times New Roman"/>
          <w:b w:val="0"/>
          <w:bCs w:val="0"/>
          <w:sz w:val="32"/>
          <w:szCs w:val="32"/>
          <w:lang w:eastAsia="zh-CN"/>
        </w:rPr>
        <w:t>306.74</w:t>
      </w:r>
      <w:r>
        <w:rPr>
          <w:rFonts w:hint="eastAsia" w:ascii="Times New Roman" w:hAnsi="Times New Roman" w:eastAsia="仿宋_GB2312" w:cs="Times New Roman"/>
          <w:b w:val="0"/>
          <w:bCs w:val="0"/>
          <w:sz w:val="32"/>
          <w:szCs w:val="32"/>
        </w:rPr>
        <w:t>万元，该项目资金已全部落实到位，资金来源为</w:t>
      </w:r>
      <w:r>
        <w:rPr>
          <w:rFonts w:hint="eastAsia" w:ascii="Times New Roman" w:hAnsi="Times New Roman" w:eastAsia="仿宋_GB2312" w:cs="Times New Roman"/>
          <w:b w:val="0"/>
          <w:bCs w:val="0"/>
          <w:sz w:val="32"/>
          <w:szCs w:val="32"/>
          <w:lang w:eastAsia="zh-CN"/>
        </w:rPr>
        <w:t>中央财政拨款</w:t>
      </w:r>
      <w:r>
        <w:rPr>
          <w:rFonts w:hint="eastAsia" w:ascii="Times New Roman" w:hAnsi="Times New Roman" w:eastAsia="仿宋_GB2312" w:cs="Times New Roman"/>
          <w:b w:val="0"/>
          <w:bCs w:val="0"/>
          <w:sz w:val="32"/>
          <w:szCs w:val="32"/>
        </w:rPr>
        <w:t>。</w:t>
      </w:r>
    </w:p>
    <w:p w14:paraId="7DB8D24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64853874">
      <w:pPr>
        <w:spacing w:line="560" w:lineRule="exact"/>
        <w:ind w:firstLine="640" w:firstLineChars="200"/>
        <w:rPr>
          <w:rFonts w:hint="eastAsia"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该项目年初预算数</w:t>
      </w:r>
      <w:r>
        <w:rPr>
          <w:rFonts w:hint="default" w:ascii="Times New Roman" w:hAnsi="Times New Roman" w:eastAsia="仿宋_GB2312" w:cs="Times New Roman"/>
          <w:b w:val="0"/>
          <w:bCs w:val="0"/>
          <w:sz w:val="32"/>
          <w:szCs w:val="32"/>
          <w:lang w:eastAsia="zh-CN"/>
        </w:rPr>
        <w:t>248</w:t>
      </w:r>
      <w:r>
        <w:rPr>
          <w:rFonts w:hint="eastAsia" w:ascii="Times New Roman" w:hAnsi="Times New Roman" w:eastAsia="仿宋_GB2312" w:cs="Times New Roman"/>
          <w:b w:val="0"/>
          <w:bCs w:val="0"/>
          <w:sz w:val="32"/>
          <w:szCs w:val="32"/>
        </w:rPr>
        <w:t>万元，全年预算数</w:t>
      </w:r>
      <w:r>
        <w:rPr>
          <w:rFonts w:hint="default" w:ascii="Times New Roman" w:hAnsi="Times New Roman" w:eastAsia="仿宋_GB2312" w:cs="Times New Roman"/>
          <w:b w:val="0"/>
          <w:bCs w:val="0"/>
          <w:sz w:val="32"/>
          <w:szCs w:val="32"/>
          <w:lang w:eastAsia="zh-CN"/>
        </w:rPr>
        <w:t>307</w:t>
      </w:r>
      <w:r>
        <w:rPr>
          <w:rFonts w:hint="eastAsia" w:ascii="Times New Roman" w:hAnsi="Times New Roman" w:eastAsia="仿宋_GB2312" w:cs="Times New Roman"/>
          <w:b w:val="0"/>
          <w:bCs w:val="0"/>
          <w:sz w:val="32"/>
          <w:szCs w:val="32"/>
        </w:rPr>
        <w:t>万元，全年执行数</w:t>
      </w:r>
      <w:r>
        <w:rPr>
          <w:rFonts w:hint="default" w:ascii="Times New Roman" w:hAnsi="Times New Roman" w:eastAsia="仿宋_GB2312" w:cs="Times New Roman"/>
          <w:b w:val="0"/>
          <w:bCs w:val="0"/>
          <w:sz w:val="32"/>
          <w:szCs w:val="32"/>
          <w:lang w:eastAsia="zh-CN"/>
        </w:rPr>
        <w:t>306.74</w:t>
      </w:r>
      <w:r>
        <w:rPr>
          <w:rFonts w:hint="eastAsia" w:ascii="Times New Roman" w:hAnsi="Times New Roman" w:eastAsia="仿宋_GB2312" w:cs="Times New Roman"/>
          <w:b w:val="0"/>
          <w:bCs w:val="0"/>
          <w:sz w:val="32"/>
          <w:szCs w:val="32"/>
        </w:rPr>
        <w:t>万元，预算执行率为</w:t>
      </w:r>
      <w:r>
        <w:rPr>
          <w:rFonts w:hint="default" w:ascii="Times New Roman" w:hAnsi="Times New Roman" w:eastAsia="仿宋_GB2312" w:cs="Times New Roman"/>
          <w:b w:val="0"/>
          <w:bCs w:val="0"/>
          <w:sz w:val="32"/>
          <w:szCs w:val="32"/>
          <w:lang w:eastAsia="zh-CN"/>
        </w:rPr>
        <w:t>99.9</w:t>
      </w:r>
      <w:r>
        <w:rPr>
          <w:rFonts w:hint="eastAsia" w:ascii="Times New Roman" w:hAnsi="Times New Roman" w:eastAsia="仿宋_GB2312" w:cs="Times New Roman"/>
          <w:b w:val="0"/>
          <w:bCs w:val="0"/>
          <w:sz w:val="32"/>
          <w:szCs w:val="32"/>
        </w:rPr>
        <w:t>%</w:t>
      </w:r>
      <w:r>
        <w:rPr>
          <w:rFonts w:hint="eastAsia" w:ascii="Times New Roman" w:hAnsi="Times New Roman" w:eastAsia="仿宋_GB2312" w:cs="Times New Roman"/>
          <w:b w:val="0"/>
          <w:bCs w:val="0"/>
          <w:sz w:val="32"/>
          <w:szCs w:val="32"/>
          <w:lang w:eastAsia="zh-CN"/>
        </w:rPr>
        <w:t>。</w:t>
      </w:r>
      <w:r>
        <w:rPr>
          <w:rFonts w:hint="eastAsia" w:ascii="Times New Roman" w:hAnsi="Times New Roman" w:eastAsia="仿宋_GB2312" w:cs="Times New Roman"/>
          <w:b w:val="0"/>
          <w:bCs w:val="0"/>
          <w:sz w:val="32"/>
          <w:szCs w:val="32"/>
        </w:rPr>
        <w:t>用于：</w:t>
      </w:r>
      <w:r>
        <w:rPr>
          <w:rFonts w:hint="eastAsia" w:ascii="Times New Roman" w:hAnsi="Times New Roman" w:eastAsia="仿宋_GB2312" w:cs="Times New Roman"/>
          <w:b w:val="0"/>
          <w:bCs w:val="0"/>
          <w:sz w:val="32"/>
          <w:szCs w:val="32"/>
          <w:lang w:eastAsia="zh-CN"/>
        </w:rPr>
        <w:t>办案业务经费</w:t>
      </w:r>
      <w:r>
        <w:rPr>
          <w:rFonts w:hint="default" w:ascii="Times New Roman" w:hAnsi="Times New Roman" w:eastAsia="仿宋_GB2312" w:cs="Times New Roman"/>
          <w:b w:val="0"/>
          <w:bCs w:val="0"/>
          <w:sz w:val="32"/>
          <w:szCs w:val="32"/>
          <w:lang w:eastAsia="zh-CN"/>
        </w:rPr>
        <w:t>164</w:t>
      </w:r>
      <w:r>
        <w:rPr>
          <w:rFonts w:hint="eastAsia" w:ascii="Times New Roman" w:hAnsi="Times New Roman" w:eastAsia="仿宋_GB2312" w:cs="Times New Roman"/>
          <w:b w:val="0"/>
          <w:bCs w:val="0"/>
          <w:sz w:val="32"/>
          <w:szCs w:val="32"/>
          <w:lang w:val="en-US" w:eastAsia="zh-CN"/>
        </w:rPr>
        <w:t>万元，业务装备经费</w:t>
      </w:r>
      <w:r>
        <w:rPr>
          <w:rFonts w:hint="default" w:ascii="Times New Roman" w:hAnsi="Times New Roman" w:eastAsia="仿宋_GB2312" w:cs="Times New Roman"/>
          <w:b w:val="0"/>
          <w:bCs w:val="0"/>
          <w:sz w:val="32"/>
          <w:szCs w:val="32"/>
          <w:lang w:eastAsia="zh-CN"/>
        </w:rPr>
        <w:t>142.74</w:t>
      </w:r>
      <w:r>
        <w:rPr>
          <w:rFonts w:hint="eastAsia" w:ascii="Times New Roman" w:hAnsi="Times New Roman" w:eastAsia="仿宋_GB2312" w:cs="Times New Roman"/>
          <w:b w:val="0"/>
          <w:bCs w:val="0"/>
          <w:sz w:val="32"/>
          <w:szCs w:val="32"/>
          <w:lang w:val="en-US" w:eastAsia="zh-CN"/>
        </w:rPr>
        <w:t>万元</w:t>
      </w:r>
      <w:r>
        <w:rPr>
          <w:rFonts w:hint="eastAsia" w:ascii="Times New Roman" w:hAnsi="Times New Roman" w:eastAsia="仿宋_GB2312" w:cs="Times New Roman"/>
          <w:b w:val="0"/>
          <w:bCs w:val="0"/>
          <w:sz w:val="32"/>
          <w:szCs w:val="32"/>
        </w:rPr>
        <w:t>。</w:t>
      </w:r>
    </w:p>
    <w:p w14:paraId="0AEEE216">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01F24610">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5F2A7073">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根据中央专项资金配置到位及经费管理使用情况，科学、合理地保障每个部门的办案经费需求、合理使用装备经费，推进我院信息化建设。通过最大限度审理办结全年案件既定</w:t>
      </w:r>
      <w:r>
        <w:rPr>
          <w:rFonts w:hint="eastAsia" w:eastAsia="仿宋_GB2312" w:cs="Times New Roman"/>
          <w:sz w:val="32"/>
          <w:szCs w:val="32"/>
          <w:lang w:val="en-US" w:eastAsia="zh-CN"/>
        </w:rPr>
        <w:t>2200</w:t>
      </w:r>
      <w:r>
        <w:rPr>
          <w:rFonts w:hint="default" w:ascii="Times New Roman" w:hAnsi="Times New Roman" w:eastAsia="仿宋_GB2312" w:cs="Times New Roman"/>
          <w:sz w:val="32"/>
          <w:szCs w:val="32"/>
        </w:rPr>
        <w:t>件案件数量，让</w:t>
      </w:r>
      <w:r>
        <w:rPr>
          <w:rFonts w:hint="eastAsia" w:eastAsia="仿宋_GB2312" w:cs="Times New Roman"/>
          <w:sz w:val="32"/>
          <w:szCs w:val="32"/>
          <w:lang w:eastAsia="zh-CN"/>
        </w:rPr>
        <w:t>一审案件</w:t>
      </w:r>
      <w:r>
        <w:rPr>
          <w:rFonts w:hint="default" w:ascii="Times New Roman" w:hAnsi="Times New Roman" w:eastAsia="仿宋_GB2312" w:cs="Times New Roman"/>
          <w:sz w:val="32"/>
          <w:szCs w:val="32"/>
        </w:rPr>
        <w:t>审结率保持在90%以上，达到充分发挥人民法院中央政法转移支付项目资金效益，以维护社会稳定、惩治犯罪和化解矛盾。</w:t>
      </w:r>
    </w:p>
    <w:p w14:paraId="271ABF3D">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rPr>
        <w:t>阶段性目标：</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1）受理案件数量，</w:t>
      </w:r>
      <w:r>
        <w:rPr>
          <w:rFonts w:hint="eastAsia" w:eastAsia="仿宋_GB2312" w:cs="Times New Roman"/>
          <w:sz w:val="32"/>
          <w:szCs w:val="32"/>
          <w:lang w:val="en-US" w:eastAsia="zh-CN"/>
        </w:rPr>
        <w:t>上半年</w:t>
      </w:r>
      <w:r>
        <w:rPr>
          <w:rFonts w:hint="eastAsia" w:ascii="Times New Roman" w:hAnsi="Times New Roman" w:eastAsia="仿宋_GB2312" w:cs="Times New Roman"/>
          <w:sz w:val="32"/>
          <w:szCs w:val="32"/>
          <w:lang w:val="en-US" w:eastAsia="zh-CN"/>
        </w:rPr>
        <w:t>不少于</w:t>
      </w:r>
      <w:r>
        <w:rPr>
          <w:rFonts w:hint="default" w:ascii="Times New Roman" w:hAnsi="Times New Roman" w:eastAsia="仿宋_GB2312" w:cs="Times New Roman"/>
          <w:sz w:val="32"/>
          <w:szCs w:val="32"/>
          <w:lang w:eastAsia="zh-CN"/>
        </w:rPr>
        <w:t>1150</w:t>
      </w:r>
      <w:r>
        <w:rPr>
          <w:rFonts w:hint="eastAsia" w:ascii="Times New Roman" w:hAnsi="Times New Roman" w:eastAsia="仿宋_GB2312" w:cs="Times New Roman"/>
          <w:sz w:val="32"/>
          <w:szCs w:val="32"/>
          <w:lang w:val="en-US" w:eastAsia="zh-CN"/>
        </w:rPr>
        <w:t>件，全年不少于</w:t>
      </w:r>
      <w:r>
        <w:rPr>
          <w:rFonts w:hint="default" w:ascii="Times New Roman" w:hAnsi="Times New Roman" w:eastAsia="仿宋_GB2312" w:cs="Times New Roman"/>
          <w:sz w:val="32"/>
          <w:szCs w:val="32"/>
          <w:lang w:eastAsia="zh-CN"/>
        </w:rPr>
        <w:t>2300</w:t>
      </w:r>
      <w:r>
        <w:rPr>
          <w:rFonts w:hint="eastAsia" w:ascii="Times New Roman" w:hAnsi="Times New Roman" w:eastAsia="仿宋_GB2312" w:cs="Times New Roman"/>
          <w:sz w:val="32"/>
          <w:szCs w:val="32"/>
          <w:lang w:val="en-US" w:eastAsia="zh-CN"/>
        </w:rPr>
        <w:t>件。</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2）审结案件数量，</w:t>
      </w:r>
      <w:r>
        <w:rPr>
          <w:rFonts w:hint="eastAsia" w:eastAsia="仿宋_GB2312" w:cs="Times New Roman"/>
          <w:sz w:val="32"/>
          <w:szCs w:val="32"/>
          <w:lang w:val="en-US" w:eastAsia="zh-CN"/>
        </w:rPr>
        <w:t>上半年</w:t>
      </w:r>
      <w:r>
        <w:rPr>
          <w:rFonts w:hint="eastAsia" w:ascii="Times New Roman" w:hAnsi="Times New Roman" w:eastAsia="仿宋_GB2312" w:cs="Times New Roman"/>
          <w:sz w:val="32"/>
          <w:szCs w:val="32"/>
          <w:lang w:val="en-US" w:eastAsia="zh-CN"/>
        </w:rPr>
        <w:t>不少于</w:t>
      </w:r>
      <w:r>
        <w:rPr>
          <w:rFonts w:hint="eastAsia" w:eastAsia="仿宋_GB2312" w:cs="Times New Roman"/>
          <w:sz w:val="32"/>
          <w:szCs w:val="32"/>
          <w:lang w:val="en-US" w:eastAsia="zh-CN"/>
        </w:rPr>
        <w:t>1100</w:t>
      </w:r>
      <w:r>
        <w:rPr>
          <w:rFonts w:hint="eastAsia" w:ascii="Times New Roman" w:hAnsi="Times New Roman" w:eastAsia="仿宋_GB2312" w:cs="Times New Roman"/>
          <w:sz w:val="32"/>
          <w:szCs w:val="32"/>
          <w:lang w:val="en-US" w:eastAsia="zh-CN"/>
        </w:rPr>
        <w:t>件，全年不少于</w:t>
      </w:r>
      <w:r>
        <w:rPr>
          <w:rFonts w:hint="eastAsia" w:eastAsia="仿宋_GB2312" w:cs="Times New Roman"/>
          <w:sz w:val="32"/>
          <w:szCs w:val="32"/>
          <w:lang w:val="en-US" w:eastAsia="zh-CN"/>
        </w:rPr>
        <w:t>2200</w:t>
      </w:r>
      <w:r>
        <w:rPr>
          <w:rFonts w:hint="eastAsia" w:ascii="Times New Roman" w:hAnsi="Times New Roman" w:eastAsia="仿宋_GB2312" w:cs="Times New Roman"/>
          <w:sz w:val="32"/>
          <w:szCs w:val="32"/>
          <w:lang w:val="en-US" w:eastAsia="zh-CN"/>
        </w:rPr>
        <w:t>件。（3）全年审计案件率需超过</w:t>
      </w:r>
      <w:r>
        <w:rPr>
          <w:rFonts w:hint="eastAsia" w:eastAsia="仿宋_GB2312" w:cs="Times New Roman"/>
          <w:sz w:val="32"/>
          <w:szCs w:val="32"/>
          <w:lang w:val="en-US" w:eastAsia="zh-CN"/>
        </w:rPr>
        <w:t>9</w:t>
      </w:r>
      <w:r>
        <w:rPr>
          <w:rFonts w:hint="eastAsia" w:ascii="Times New Roman" w:hAnsi="Times New Roman" w:eastAsia="仿宋_GB2312" w:cs="Times New Roman"/>
          <w:sz w:val="32"/>
          <w:szCs w:val="32"/>
          <w:lang w:val="en-US" w:eastAsia="zh-CN"/>
        </w:rPr>
        <w:t>0%。</w:t>
      </w:r>
    </w:p>
    <w:p w14:paraId="06A84AF3">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334A7F35">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455BC166">
      <w:pPr>
        <w:spacing w:line="560" w:lineRule="exact"/>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rPr>
        <w:t>绩效评价目的</w:t>
      </w:r>
    </w:p>
    <w:p w14:paraId="40B7186C">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通过绩效评价，客观地评判项目的管理绩效，了解和掌握2024年综合业务费用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并加强项目绩效管理，同时为项目后续资金投入、分配和管理提供决策依据。</w:t>
      </w:r>
    </w:p>
    <w:p w14:paraId="40C37C57">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eastAsia" w:ascii="Times New Roman" w:hAnsi="Times New Roman" w:eastAsia="仿宋_GB2312" w:cs="Times New Roman"/>
          <w:b w:val="0"/>
          <w:bCs w:val="0"/>
          <w:highlight w:val="none"/>
          <w:lang w:val="en-US" w:eastAsia="zh-CN"/>
        </w:rPr>
        <w:t>2</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14:paraId="0775EAA8">
      <w:pPr>
        <w:pageBreakBefore w:val="0"/>
        <w:kinsoku/>
        <w:wordWrap/>
        <w:overflowPunct/>
        <w:topLinePunct w:val="0"/>
        <w:autoSpaceDE/>
        <w:autoSpaceDN/>
        <w:bidi w:val="0"/>
        <w:adjustRightInd/>
        <w:snapToGrid/>
        <w:spacing w:line="560" w:lineRule="exact"/>
        <w:ind w:firstLine="640" w:firstLineChars="200"/>
        <w:textAlignment w:val="auto"/>
        <w:rPr>
          <w:rFonts w:hint="default"/>
          <w:color w:val="auto"/>
          <w:lang w:val="en-US"/>
        </w:rPr>
      </w:pPr>
      <w:r>
        <w:rPr>
          <w:rFonts w:hint="eastAsia" w:eastAsia="仿宋_GB2312" w:cs="Times New Roman"/>
          <w:sz w:val="32"/>
          <w:szCs w:val="32"/>
          <w:highlight w:val="none"/>
          <w:lang w:val="en-US" w:eastAsia="zh-CN"/>
        </w:rPr>
        <w:t>本项目预算绩效评价报告的评价对象是</w:t>
      </w:r>
      <w:r>
        <w:rPr>
          <w:rFonts w:hint="eastAsia" w:ascii="Times New Roman" w:hAnsi="Times New Roman" w:eastAsia="仿宋_GB2312" w:cs="Times New Roman"/>
          <w:sz w:val="32"/>
          <w:szCs w:val="32"/>
          <w:highlight w:val="none"/>
          <w:lang w:val="en-US" w:eastAsia="zh-CN"/>
        </w:rPr>
        <w:t>202</w:t>
      </w:r>
      <w:r>
        <w:rPr>
          <w:rFonts w:hint="eastAsia" w:eastAsia="仿宋_GB2312" w:cs="Times New Roman"/>
          <w:sz w:val="32"/>
          <w:szCs w:val="32"/>
          <w:highlight w:val="none"/>
          <w:lang w:val="en-US" w:eastAsia="zh-CN"/>
        </w:rPr>
        <w:t>4</w:t>
      </w:r>
      <w:r>
        <w:rPr>
          <w:rFonts w:hint="eastAsia" w:ascii="Times New Roman" w:hAnsi="Times New Roman" w:eastAsia="仿宋_GB2312" w:cs="Times New Roman"/>
          <w:sz w:val="32"/>
          <w:szCs w:val="32"/>
          <w:highlight w:val="none"/>
          <w:lang w:val="en-US" w:eastAsia="zh-CN"/>
        </w:rPr>
        <w:t>年</w:t>
      </w:r>
      <w:r>
        <w:rPr>
          <w:rFonts w:hint="eastAsia" w:eastAsia="仿宋_GB2312" w:cs="Times New Roman"/>
          <w:sz w:val="32"/>
          <w:szCs w:val="32"/>
          <w:highlight w:val="none"/>
          <w:lang w:val="en-US" w:eastAsia="zh-CN"/>
        </w:rPr>
        <w:t>综合业务费用及其预算执行情况。该项目由若羌县人民法院负责实施，旨在化解社会矛盾，为经济社会发展提供良好环境达到长治久安长期目标。项目预算涵盖从2024年01月01日至2024年12月31日的全部资金投入与支出，涉及资金总额为307万元。</w:t>
      </w:r>
    </w:p>
    <w:p w14:paraId="7E1770F7">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eastAsia"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绩效评价的范围</w:t>
      </w:r>
    </w:p>
    <w:p w14:paraId="195F1B81">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本次评价从项目决策（包括</w:t>
      </w:r>
      <w:r>
        <w:rPr>
          <w:rFonts w:hint="eastAsia" w:ascii="Times New Roman" w:hAnsi="Times New Roman" w:eastAsia="仿宋_GB2312" w:cs="Times New Roman"/>
          <w:color w:val="000000"/>
          <w:sz w:val="32"/>
          <w:szCs w:val="32"/>
          <w:lang w:eastAsia="zh-CN"/>
        </w:rPr>
        <w:t>项目立项</w:t>
      </w:r>
      <w:r>
        <w:rPr>
          <w:rFonts w:hint="default" w:ascii="Times New Roman" w:hAnsi="Times New Roman" w:eastAsia="仿宋_GB2312" w:cs="Times New Roman"/>
          <w:color w:val="000000"/>
          <w:sz w:val="32"/>
          <w:szCs w:val="32"/>
        </w:rPr>
        <w:t>绩效目标）、项目</w:t>
      </w:r>
      <w:r>
        <w:rPr>
          <w:rFonts w:hint="eastAsia" w:ascii="Times New Roman" w:hAnsi="Times New Roman" w:eastAsia="仿宋_GB2312" w:cs="Times New Roman"/>
          <w:color w:val="000000"/>
          <w:sz w:val="32"/>
          <w:szCs w:val="32"/>
          <w:lang w:eastAsia="zh-CN"/>
        </w:rPr>
        <w:t>过程</w:t>
      </w:r>
      <w:r>
        <w:rPr>
          <w:rFonts w:hint="default" w:ascii="Times New Roman" w:hAnsi="Times New Roman" w:eastAsia="仿宋_GB2312" w:cs="Times New Roman"/>
          <w:color w:val="000000"/>
          <w:sz w:val="32"/>
          <w:szCs w:val="32"/>
        </w:rPr>
        <w:t>（包括</w:t>
      </w:r>
      <w:r>
        <w:rPr>
          <w:rFonts w:hint="eastAsia" w:ascii="Times New Roman" w:hAnsi="Times New Roman" w:eastAsia="仿宋_GB2312" w:cs="Times New Roman"/>
          <w:color w:val="000000"/>
          <w:sz w:val="32"/>
          <w:szCs w:val="32"/>
          <w:lang w:eastAsia="zh-CN"/>
        </w:rPr>
        <w:t>资金管理</w:t>
      </w:r>
      <w:r>
        <w:rPr>
          <w:rFonts w:hint="default"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lang w:eastAsia="zh-CN"/>
        </w:rPr>
        <w:t>组织</w:t>
      </w:r>
      <w:r>
        <w:rPr>
          <w:rFonts w:hint="default" w:ascii="Times New Roman" w:hAnsi="Times New Roman" w:eastAsia="仿宋_GB2312" w:cs="Times New Roman"/>
          <w:color w:val="000000"/>
          <w:sz w:val="32"/>
          <w:szCs w:val="32"/>
        </w:rPr>
        <w:t>实施）、项目产出（包括项目产出数量、产出质量、产出时效和产出成本）</w:t>
      </w:r>
      <w:r>
        <w:rPr>
          <w:rFonts w:hint="eastAsia" w:ascii="Times New Roman" w:hAnsi="Times New Roman" w:eastAsia="仿宋_GB2312" w:cs="Times New Roman"/>
          <w:color w:val="000000"/>
          <w:sz w:val="32"/>
          <w:szCs w:val="32"/>
          <w:lang w:eastAsia="zh-CN"/>
        </w:rPr>
        <w:t>和</w:t>
      </w:r>
      <w:r>
        <w:rPr>
          <w:rFonts w:hint="default" w:ascii="Times New Roman" w:hAnsi="Times New Roman" w:eastAsia="仿宋_GB2312" w:cs="Times New Roman"/>
          <w:color w:val="000000"/>
          <w:sz w:val="32"/>
          <w:szCs w:val="32"/>
        </w:rPr>
        <w:t>项目效益四个维度进行20</w:t>
      </w:r>
      <w:r>
        <w:rPr>
          <w:rFonts w:hint="eastAsia" w:ascii="Times New Roman" w:hAnsi="Times New Roman" w:eastAsia="仿宋_GB2312" w:cs="Times New Roman"/>
          <w:color w:val="000000"/>
          <w:sz w:val="32"/>
          <w:szCs w:val="32"/>
          <w:lang w:val="en-US" w:eastAsia="zh-CN"/>
        </w:rPr>
        <w:t>24</w:t>
      </w:r>
      <w:r>
        <w:rPr>
          <w:rFonts w:hint="default" w:ascii="Times New Roman" w:hAnsi="Times New Roman" w:eastAsia="仿宋_GB2312" w:cs="Times New Roman"/>
          <w:color w:val="000000"/>
          <w:sz w:val="32"/>
          <w:szCs w:val="32"/>
        </w:rPr>
        <w:t>年中央政法纪检监察转移支付资金评价，评价核心为资金的支出完成情况和效果。</w:t>
      </w:r>
    </w:p>
    <w:p w14:paraId="3321D65E">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（二）绩效评价原则、评价指标体系（详情见表1）、评价方法、评价标准。</w:t>
      </w:r>
    </w:p>
    <w:p w14:paraId="081A4078">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4D01C67F">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6D7F691C">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2A8D7D9A">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66ECDFA0">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71891B0E">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09ECB799">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3CDD9127">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7D0C9EB7">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022999B3">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35FBA54E">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6C1CF93B">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0F96B76F">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1089152D">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1E0B09F9">
      <w:pPr>
        <w:pStyle w:val="2"/>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63C46EA2">
      <w:pPr>
        <w:pStyle w:val="2"/>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44FDE2B2">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4EA6D610">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64EDA9BD">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w:t>
      </w:r>
      <w:r>
        <w:rPr>
          <w:rFonts w:hint="eastAsia" w:eastAsia="仿宋_GB2312" w:cs="Times New Roman"/>
          <w:color w:val="000000"/>
          <w:spacing w:val="17"/>
          <w:sz w:val="32"/>
          <w:szCs w:val="32"/>
          <w:lang w:eastAsia="zh-CN"/>
        </w:rPr>
        <w:t>因</w:t>
      </w:r>
      <w:r>
        <w:rPr>
          <w:rFonts w:hint="default" w:ascii="Times New Roman" w:hAnsi="Times New Roman" w:eastAsia="仿宋_GB2312" w:cs="Times New Roman"/>
          <w:color w:val="000000"/>
          <w:spacing w:val="17"/>
          <w:sz w:val="32"/>
          <w:szCs w:val="32"/>
          <w:highlight w:val="none"/>
        </w:rPr>
        <w:t>素分析法。是指综合分析影响绩效目标实现、实施效果的内外部因素的方法。</w:t>
      </w:r>
    </w:p>
    <w:p w14:paraId="7D4DAC63">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14:paraId="100D154E">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绩效评价标准通常包括计划标准、行业标准、历史标准等，用于对绩效指标完成情况进行比较、分析、评价。本次评价主要采用了计划标准。</w:t>
      </w:r>
    </w:p>
    <w:p w14:paraId="2343C377">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由于我单位在设立此项目时，根据计划设置了多项指标，使用计划标准能够判断和分析项目实际完成情况以及与计划的差距，因此本次评价主要采用了计划标准。</w:t>
      </w:r>
    </w:p>
    <w:p w14:paraId="5679A8CF">
      <w:pPr>
        <w:pStyle w:val="2"/>
        <w:numPr>
          <w:ilvl w:val="0"/>
          <w:numId w:val="1"/>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666CB6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Cs/>
          <w:color w:val="auto"/>
          <w:sz w:val="32"/>
          <w:szCs w:val="32"/>
        </w:rPr>
      </w:pPr>
      <w:r>
        <w:rPr>
          <w:rFonts w:hint="eastAsia" w:eastAsia="仿宋_GB2312"/>
          <w:bCs/>
          <w:color w:val="auto"/>
          <w:sz w:val="32"/>
          <w:szCs w:val="32"/>
          <w:lang w:val="en-US" w:eastAsia="zh-CN"/>
        </w:rPr>
        <w:t>1.</w:t>
      </w:r>
      <w:r>
        <w:rPr>
          <w:rFonts w:hint="eastAsia" w:eastAsia="仿宋_GB2312"/>
          <w:bCs/>
          <w:color w:val="auto"/>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39361BB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Cs/>
          <w:color w:val="auto"/>
          <w:sz w:val="32"/>
          <w:szCs w:val="32"/>
        </w:rPr>
      </w:pPr>
      <w:r>
        <w:rPr>
          <w:rFonts w:hint="eastAsia" w:eastAsia="仿宋_GB2312"/>
          <w:bCs/>
          <w:color w:val="auto"/>
          <w:sz w:val="32"/>
          <w:szCs w:val="32"/>
          <w:lang w:val="en-US" w:eastAsia="zh-CN"/>
        </w:rPr>
        <w:t>2.</w:t>
      </w:r>
      <w:r>
        <w:rPr>
          <w:rFonts w:hint="eastAsia" w:eastAsia="仿宋_GB2312"/>
          <w:bCs/>
          <w:color w:val="auto"/>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5A6298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Cs/>
          <w:color w:val="auto"/>
          <w:sz w:val="32"/>
          <w:szCs w:val="32"/>
        </w:rPr>
      </w:pPr>
      <w:r>
        <w:rPr>
          <w:rFonts w:hint="eastAsia" w:eastAsia="仿宋_GB2312"/>
          <w:bCs/>
          <w:color w:val="auto"/>
          <w:sz w:val="32"/>
          <w:szCs w:val="32"/>
          <w:lang w:val="en-US" w:eastAsia="zh-CN"/>
        </w:rPr>
        <w:t>3.</w:t>
      </w:r>
      <w:r>
        <w:rPr>
          <w:rFonts w:hint="eastAsia" w:eastAsia="仿宋_GB2312"/>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03B62DA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bCs/>
          <w:color w:val="auto"/>
          <w:sz w:val="32"/>
          <w:szCs w:val="32"/>
          <w:lang w:eastAsia="zh-CN"/>
        </w:rPr>
      </w:pPr>
      <w:r>
        <w:rPr>
          <w:rFonts w:hint="eastAsia" w:ascii="Times New Roman" w:eastAsia="仿宋_GB2312"/>
          <w:bCs/>
          <w:color w:val="auto"/>
          <w:sz w:val="32"/>
          <w:szCs w:val="32"/>
          <w:lang w:val="en-US" w:eastAsia="zh-CN"/>
        </w:rPr>
        <w:t>4</w:t>
      </w:r>
      <w:r>
        <w:rPr>
          <w:rFonts w:hint="eastAsia" w:eastAsia="仿宋_GB2312"/>
          <w:bCs/>
          <w:color w:val="auto"/>
          <w:sz w:val="32"/>
          <w:szCs w:val="32"/>
          <w:lang w:val="en-US" w:eastAsia="zh-CN"/>
        </w:rPr>
        <w:t>.</w:t>
      </w:r>
      <w:r>
        <w:rPr>
          <w:rFonts w:hint="eastAsia" w:eastAsia="仿宋_GB2312"/>
          <w:bCs/>
          <w:color w:val="auto"/>
          <w:sz w:val="32"/>
          <w:szCs w:val="32"/>
          <w:lang w:eastAsia="zh-CN"/>
        </w:rPr>
        <w:t>撰写评价报告：将评价工作的过程、方法、结果和建议等形成书面报告，提交给相关方审阅和参考。评价报告应准确、清晰地反映评价工作的全貌和成果，为项目的持续改进和提升提供有价值的参考。</w:t>
      </w:r>
    </w:p>
    <w:p w14:paraId="15FDCBD2">
      <w:pPr>
        <w:numPr>
          <w:ilvl w:val="0"/>
          <w:numId w:val="2"/>
        </w:num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综合评价情况及评价结论（附相关评分表）</w:t>
      </w:r>
    </w:p>
    <w:p w14:paraId="06AB46EF">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一</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评价情况</w:t>
      </w:r>
    </w:p>
    <w:p w14:paraId="474EE79C">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本项目的综合评价基于对项目各方面绩效的深入分析与评估。从项目目标的达成情况来看，2024年综合业务费用</w:t>
      </w:r>
      <w:r>
        <w:rPr>
          <w:rFonts w:hint="eastAsia" w:eastAsia="仿宋_GB2312" w:cs="Times New Roman"/>
          <w:color w:val="auto"/>
          <w:sz w:val="32"/>
          <w:szCs w:val="32"/>
          <w:highlight w:val="none"/>
          <w:lang w:val="en-US" w:eastAsia="zh-CN"/>
        </w:rPr>
        <w:t>项目</w:t>
      </w:r>
      <w:r>
        <w:rPr>
          <w:rFonts w:hint="default" w:ascii="Times New Roman" w:hAnsi="Times New Roman" w:eastAsia="仿宋_GB2312" w:cs="Times New Roman"/>
          <w:sz w:val="32"/>
          <w:szCs w:val="32"/>
          <w:highlight w:val="none"/>
        </w:rPr>
        <w:t>在</w:t>
      </w:r>
      <w:r>
        <w:rPr>
          <w:rFonts w:hint="eastAsia" w:eastAsia="仿宋_GB2312" w:cs="Times New Roman"/>
          <w:sz w:val="32"/>
          <w:szCs w:val="32"/>
          <w:highlight w:val="none"/>
          <w:lang w:val="en-US" w:eastAsia="zh-CN"/>
        </w:rPr>
        <w:t>法院收案数、法院结案数</w:t>
      </w:r>
      <w:r>
        <w:rPr>
          <w:rFonts w:hint="default" w:ascii="Times New Roman" w:hAnsi="Times New Roman" w:eastAsia="仿宋_GB2312" w:cs="Times New Roman"/>
          <w:sz w:val="32"/>
          <w:szCs w:val="32"/>
          <w:highlight w:val="none"/>
        </w:rPr>
        <w:t>等方面表现出色，达到了预期的标准与要求。同时，项目也在</w:t>
      </w:r>
      <w:r>
        <w:rPr>
          <w:rFonts w:hint="eastAsia" w:eastAsia="仿宋_GB2312" w:cs="Times New Roman"/>
          <w:color w:val="auto"/>
          <w:sz w:val="32"/>
          <w:szCs w:val="32"/>
          <w:highlight w:val="none"/>
          <w:lang w:val="en-US" w:eastAsia="zh-CN"/>
        </w:rPr>
        <w:t>社会效益方面</w:t>
      </w:r>
      <w:r>
        <w:rPr>
          <w:rFonts w:hint="default" w:ascii="Times New Roman" w:hAnsi="Times New Roman" w:eastAsia="仿宋_GB2312" w:cs="Times New Roman"/>
          <w:sz w:val="32"/>
          <w:szCs w:val="32"/>
          <w:highlight w:val="none"/>
        </w:rPr>
        <w:t>取得了显著的成效，如</w:t>
      </w:r>
      <w:r>
        <w:rPr>
          <w:rFonts w:hint="eastAsia" w:eastAsia="仿宋_GB2312" w:cs="Times New Roman"/>
          <w:sz w:val="32"/>
          <w:szCs w:val="32"/>
          <w:highlight w:val="none"/>
          <w:lang w:val="en-US" w:eastAsia="zh-CN"/>
        </w:rPr>
        <w:t>提升村民幸福感</w:t>
      </w:r>
      <w:r>
        <w:rPr>
          <w:rFonts w:hint="default" w:ascii="Times New Roman" w:hAnsi="Times New Roman" w:eastAsia="仿宋_GB2312" w:cs="Times New Roman"/>
          <w:sz w:val="32"/>
          <w:szCs w:val="32"/>
          <w:highlight w:val="none"/>
        </w:rPr>
        <w:t>等。</w:t>
      </w:r>
    </w:p>
    <w:p w14:paraId="5CAE88E0">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val="en-US" w:eastAsia="zh-CN"/>
        </w:rPr>
        <w:t>若羌县人民法院</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301A652C">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w:t>
      </w:r>
      <w:r>
        <w:rPr>
          <w:rFonts w:hint="default" w:ascii="Times New Roman" w:hAnsi="Times New Roman" w:eastAsia="仿宋_GB2312" w:cs="Times New Roman"/>
          <w:sz w:val="32"/>
          <w:szCs w:val="32"/>
          <w:highlight w:val="none"/>
          <w:lang w:val="en-US" w:eastAsia="zh-CN"/>
        </w:rPr>
        <w:t>经济效益、社会效益、</w:t>
      </w:r>
      <w:r>
        <w:rPr>
          <w:rFonts w:hint="eastAsia" w:eastAsia="仿宋_GB2312" w:cs="Times New Roman"/>
          <w:sz w:val="32"/>
          <w:szCs w:val="32"/>
          <w:highlight w:val="none"/>
          <w:lang w:val="en-US" w:eastAsia="zh-CN"/>
        </w:rPr>
        <w:t>满意度</w:t>
      </w:r>
      <w:r>
        <w:rPr>
          <w:rFonts w:hint="default" w:ascii="Times New Roman" w:hAnsi="Times New Roman" w:eastAsia="仿宋_GB2312" w:cs="Times New Roman"/>
          <w:sz w:val="32"/>
          <w:szCs w:val="32"/>
          <w:highlight w:val="none"/>
        </w:rPr>
        <w:t>等方面产生了积极的影响。具体而言，</w:t>
      </w:r>
      <w:r>
        <w:rPr>
          <w:rFonts w:hint="eastAsia" w:eastAsia="仿宋_GB2312" w:cs="Times New Roman"/>
          <w:sz w:val="32"/>
          <w:szCs w:val="32"/>
          <w:highlight w:val="none"/>
          <w:lang w:val="en-US" w:eastAsia="zh-CN"/>
        </w:rPr>
        <w:t>社会公众满意度</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办案人员满意度</w:t>
      </w:r>
      <w:r>
        <w:rPr>
          <w:rFonts w:hint="default" w:ascii="Times New Roman" w:hAnsi="Times New Roman" w:eastAsia="仿宋_GB2312" w:cs="Times New Roman"/>
          <w:sz w:val="32"/>
          <w:szCs w:val="32"/>
          <w:highlight w:val="none"/>
        </w:rPr>
        <w:t>等方面的提升，为项目的利益相关者带来了实实在在的利益。</w:t>
      </w:r>
    </w:p>
    <w:p w14:paraId="24D99892">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综上所述，2024年综合业务费用</w:t>
      </w:r>
      <w:r>
        <w:rPr>
          <w:rFonts w:hint="eastAsia" w:eastAsia="仿宋_GB2312" w:cs="Times New Roman"/>
          <w:color w:val="auto"/>
          <w:sz w:val="32"/>
          <w:szCs w:val="32"/>
          <w:highlight w:val="none"/>
          <w:lang w:val="en-US" w:eastAsia="zh-CN"/>
        </w:rPr>
        <w:t>项目</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14:paraId="4E5FADC0">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296A6BD1">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000000" w:themeColor="text1"/>
          <w:lang w:eastAsia="zh-CN"/>
          <w14:textFill>
            <w14:solidFill>
              <w14:schemeClr w14:val="tx1"/>
            </w14:solidFill>
          </w14:textFill>
        </w:rPr>
      </w:pPr>
      <w:r>
        <w:rPr>
          <w:rFonts w:hint="default" w:ascii="Times New Roman" w:hAnsi="Times New Roman" w:eastAsia="仿宋_GB2312" w:cs="Times New Roman"/>
          <w:b w:val="0"/>
          <w:bCs w:val="0"/>
          <w:color w:val="000000" w:themeColor="text1"/>
          <w14:textFill>
            <w14:solidFill>
              <w14:schemeClr w14:val="tx1"/>
            </w14:solidFill>
          </w14:textFill>
        </w:rPr>
        <w:t>运用绩效评价组制定的评价指标体系以及财政部《项目支出绩效评价管理办法》（财预〔2020〕10号）文件的评分标准，通过数据采集、问卷调查及访谈等方式，对本项目进行客</w:t>
      </w:r>
      <w:r>
        <w:rPr>
          <w:rFonts w:hint="default" w:ascii="Times New Roman" w:hAnsi="Times New Roman" w:eastAsia="仿宋_GB2312" w:cs="Times New Roman"/>
          <w:b w:val="0"/>
          <w:bCs w:val="0"/>
          <w:color w:val="000000" w:themeColor="text1"/>
          <w:highlight w:val="none"/>
          <w14:textFill>
            <w14:solidFill>
              <w14:schemeClr w14:val="tx1"/>
            </w14:solidFill>
          </w14:textFill>
        </w:rPr>
        <w:t xml:space="preserve">观评价，最终评分结果：总得分为 </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99.8</w:t>
      </w:r>
      <w:r>
        <w:rPr>
          <w:rFonts w:hint="default" w:ascii="Times New Roman" w:hAnsi="Times New Roman" w:eastAsia="仿宋_GB2312" w:cs="Times New Roman"/>
          <w:b w:val="0"/>
          <w:bCs w:val="0"/>
          <w:color w:val="000000" w:themeColor="text1"/>
          <w:highlight w:val="none"/>
          <w14:textFill>
            <w14:solidFill>
              <w14:schemeClr w14:val="tx1"/>
            </w14:solidFill>
          </w14:textFill>
        </w:rPr>
        <w:t xml:space="preserve">分，属于“优”。其中，项目决策类指标权重为20分，得分为 </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20</w:t>
      </w:r>
      <w:r>
        <w:rPr>
          <w:rFonts w:hint="default" w:ascii="Times New Roman" w:hAnsi="Times New Roman" w:eastAsia="仿宋_GB2312" w:cs="Times New Roman"/>
          <w:b w:val="0"/>
          <w:bCs w:val="0"/>
          <w:color w:val="000000" w:themeColor="text1"/>
          <w:highlight w:val="none"/>
          <w14:textFill>
            <w14:solidFill>
              <w14:schemeClr w14:val="tx1"/>
            </w14:solidFill>
          </w14:textFill>
        </w:rPr>
        <w:t xml:space="preserve">分，得分率为 </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100</w:t>
      </w:r>
      <w:r>
        <w:rPr>
          <w:rFonts w:hint="default" w:ascii="Times New Roman" w:hAnsi="Times New Roman" w:eastAsia="仿宋_GB2312" w:cs="Times New Roman"/>
          <w:b w:val="0"/>
          <w:bCs w:val="0"/>
          <w:color w:val="000000" w:themeColor="text1"/>
          <w:highlight w:val="none"/>
          <w14:textFill>
            <w14:solidFill>
              <w14:schemeClr w14:val="tx1"/>
            </w14:solidFill>
          </w14:textFill>
        </w:rPr>
        <w:t>%。项目过程类指标权重为20分，得分为</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19.9</w:t>
      </w:r>
      <w:r>
        <w:rPr>
          <w:rFonts w:hint="default" w:ascii="Times New Roman" w:hAnsi="Times New Roman" w:eastAsia="仿宋_GB2312" w:cs="Times New Roman"/>
          <w:b w:val="0"/>
          <w:bCs w:val="0"/>
          <w:color w:val="000000" w:themeColor="text1"/>
          <w:highlight w:val="none"/>
          <w14:textFill>
            <w14:solidFill>
              <w14:schemeClr w14:val="tx1"/>
            </w14:solidFill>
          </w14:textFill>
        </w:rPr>
        <w:t xml:space="preserve">分，得分率为 </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99.5</w:t>
      </w:r>
      <w:r>
        <w:rPr>
          <w:rFonts w:hint="default" w:ascii="Times New Roman" w:hAnsi="Times New Roman" w:eastAsia="仿宋_GB2312" w:cs="Times New Roman"/>
          <w:b w:val="0"/>
          <w:bCs w:val="0"/>
          <w:color w:val="000000" w:themeColor="text1"/>
          <w:highlight w:val="none"/>
          <w14:textFill>
            <w14:solidFill>
              <w14:schemeClr w14:val="tx1"/>
            </w14:solidFill>
          </w14:textFill>
        </w:rPr>
        <w:t>%。项目产出类指标权重为40分，得分为</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39.9</w:t>
      </w:r>
      <w:r>
        <w:rPr>
          <w:rFonts w:hint="default" w:ascii="Times New Roman" w:hAnsi="Times New Roman" w:eastAsia="仿宋_GB2312" w:cs="Times New Roman"/>
          <w:b w:val="0"/>
          <w:bCs w:val="0"/>
          <w:color w:val="000000" w:themeColor="text1"/>
          <w:highlight w:val="none"/>
          <w14:textFill>
            <w14:solidFill>
              <w14:schemeClr w14:val="tx1"/>
            </w14:solidFill>
          </w14:textFill>
        </w:rPr>
        <w:t>分，得分率为</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99.75</w:t>
      </w:r>
      <w:r>
        <w:rPr>
          <w:rFonts w:hint="default" w:ascii="Times New Roman" w:hAnsi="Times New Roman" w:eastAsia="仿宋_GB2312" w:cs="Times New Roman"/>
          <w:b w:val="0"/>
          <w:bCs w:val="0"/>
          <w:color w:val="000000" w:themeColor="text1"/>
          <w:highlight w:val="none"/>
          <w14:textFill>
            <w14:solidFill>
              <w14:schemeClr w14:val="tx1"/>
            </w14:solidFill>
          </w14:textFill>
        </w:rPr>
        <w:t>%。项目效益类指标权重为20分，得分为</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20</w:t>
      </w:r>
      <w:r>
        <w:rPr>
          <w:rFonts w:hint="default" w:ascii="Times New Roman" w:hAnsi="Times New Roman" w:eastAsia="仿宋_GB2312" w:cs="Times New Roman"/>
          <w:b w:val="0"/>
          <w:bCs w:val="0"/>
          <w:color w:val="000000" w:themeColor="text1"/>
          <w:highlight w:val="none"/>
          <w14:textFill>
            <w14:solidFill>
              <w14:schemeClr w14:val="tx1"/>
            </w14:solidFill>
          </w14:textFill>
        </w:rPr>
        <w:t>分，得分率为</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100</w:t>
      </w:r>
      <w:r>
        <w:rPr>
          <w:rFonts w:hint="default" w:ascii="Times New Roman" w:hAnsi="Times New Roman" w:eastAsia="仿宋_GB2312" w:cs="Times New Roman"/>
          <w:b w:val="0"/>
          <w:bCs w:val="0"/>
          <w:color w:val="000000" w:themeColor="text1"/>
          <w:highlight w:val="none"/>
          <w14:textFill>
            <w14:solidFill>
              <w14:schemeClr w14:val="tx1"/>
            </w14:solidFill>
          </w14:textFill>
        </w:rPr>
        <w:t>%。具体打分情况详见：附件1综合评分表</w:t>
      </w:r>
      <w:r>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t>。</w:t>
      </w:r>
    </w:p>
    <w:p w14:paraId="5AADA44E">
      <w:pPr>
        <w:pStyle w:val="2"/>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2EC499DE">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2B1774B7">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67C51876">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48CB3AC4">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782BA2F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F0194DD">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5C63E714">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8ED0DBB">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4F3CDFD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98BAC8F">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7FAC9CB1">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91FDF80">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19.9</w:t>
            </w:r>
          </w:p>
        </w:tc>
      </w:tr>
      <w:tr w14:paraId="4C2665A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2FF6BD0">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496D179E">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3C6E980F">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39.9</w:t>
            </w:r>
          </w:p>
        </w:tc>
      </w:tr>
      <w:tr w14:paraId="4EB164D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543C66C">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077462AF">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8BEFC2B">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55858F1F">
        <w:tblPrEx>
          <w:tblCellMar>
            <w:top w:w="0" w:type="dxa"/>
            <w:left w:w="108" w:type="dxa"/>
            <w:bottom w:w="0" w:type="dxa"/>
            <w:right w:w="108" w:type="dxa"/>
          </w:tblCellMar>
        </w:tblPrEx>
        <w:trPr>
          <w:trHeight w:val="305"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0ADEE54">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37534153">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2D0646BE">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99.8</w:t>
            </w:r>
          </w:p>
        </w:tc>
      </w:tr>
    </w:tbl>
    <w:p w14:paraId="65F1C684">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55BA4361">
      <w:pPr>
        <w:pStyle w:val="2"/>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75D37FB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yellow"/>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069D91C8">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0C27EBD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4EF4B988">
      <w:pPr>
        <w:pStyle w:val="2"/>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该项目根据《中共中央办公厅国务院办公厅关于加强政法经费保障工作的意见的通知》（厅字[2009]32号）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eastAsia="仿宋_GB2312" w:cs="Times New Roman"/>
          <w:b w:val="0"/>
          <w:bCs w:val="0"/>
          <w:sz w:val="32"/>
          <w:szCs w:val="32"/>
          <w:lang w:val="en-US" w:eastAsia="zh-CN"/>
        </w:rPr>
        <w:t>此项权重分值为3分，得分为3分。</w:t>
      </w:r>
    </w:p>
    <w:p w14:paraId="0540723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563FF18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w:t>
      </w:r>
      <w:r>
        <w:rPr>
          <w:rFonts w:hint="eastAsia" w:eastAsia="仿宋_GB2312" w:cs="Times New Roman"/>
          <w:sz w:val="32"/>
          <w:szCs w:val="32"/>
          <w:lang w:eastAsia="zh-CN"/>
        </w:rPr>
        <w:t>财务预算</w:t>
      </w:r>
      <w:r>
        <w:rPr>
          <w:rFonts w:hint="default" w:ascii="Times New Roman" w:hAnsi="Times New Roman" w:eastAsia="仿宋_GB2312" w:cs="Times New Roman"/>
          <w:sz w:val="32"/>
          <w:szCs w:val="32"/>
        </w:rPr>
        <w:t>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eastAsia="仿宋_GB2312" w:cs="Times New Roman"/>
          <w:sz w:val="32"/>
          <w:szCs w:val="32"/>
          <w:lang w:val="en-US" w:eastAsia="zh-CN"/>
        </w:rPr>
        <w:t>此项权重分值为3分，得分为3分。</w:t>
      </w:r>
    </w:p>
    <w:p w14:paraId="0FB7AFC2">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0B00C3F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0850EF5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年</w:t>
      </w:r>
      <w:r>
        <w:rPr>
          <w:rFonts w:hint="eastAsia" w:eastAsia="仿宋_GB2312" w:cs="Times New Roman"/>
          <w:sz w:val="32"/>
          <w:szCs w:val="32"/>
          <w:lang w:val="en-US" w:eastAsia="zh-CN"/>
        </w:rPr>
        <w:t>综合业务费用</w:t>
      </w:r>
      <w:r>
        <w:rPr>
          <w:rFonts w:hint="default" w:ascii="Times New Roman" w:hAnsi="Times New Roman" w:eastAsia="仿宋_GB2312" w:cs="Times New Roman"/>
          <w:sz w:val="32"/>
          <w:szCs w:val="32"/>
          <w:lang w:val="en-US" w:eastAsia="zh-CN"/>
        </w:rPr>
        <w:t>项目设立了项目绩效目标，与法院实际业务具有相关性，项目的预期产出效益和效果也均能符合正常的业绩水平，并且与预算确定的项目投资额或资金量相匹配。</w:t>
      </w:r>
      <w:r>
        <w:rPr>
          <w:rFonts w:hint="eastAsia" w:eastAsia="仿宋_GB2312" w:cs="Times New Roman"/>
          <w:sz w:val="32"/>
          <w:szCs w:val="32"/>
          <w:lang w:val="en-US" w:eastAsia="zh-CN"/>
        </w:rPr>
        <w:t>此项权重分值为3分，得分为3分。</w:t>
      </w:r>
    </w:p>
    <w:p w14:paraId="345517B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7A5C1B83">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sz w:val="32"/>
          <w:szCs w:val="32"/>
          <w:lang w:val="en-US" w:eastAsia="zh-CN"/>
        </w:rPr>
        <w:t>202</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年</w:t>
      </w:r>
      <w:r>
        <w:rPr>
          <w:rFonts w:hint="eastAsia" w:eastAsia="仿宋_GB2312" w:cs="Times New Roman"/>
          <w:sz w:val="32"/>
          <w:szCs w:val="32"/>
          <w:lang w:val="en-US" w:eastAsia="zh-CN"/>
        </w:rPr>
        <w:t>综合业务费用</w:t>
      </w:r>
      <w:r>
        <w:rPr>
          <w:rFonts w:hint="default" w:ascii="Times New Roman" w:hAnsi="Times New Roman" w:eastAsia="仿宋_GB2312" w:cs="Times New Roman"/>
          <w:sz w:val="32"/>
          <w:szCs w:val="32"/>
          <w:lang w:val="en-US" w:eastAsia="zh-CN"/>
        </w:rPr>
        <w:t>项目</w:t>
      </w:r>
      <w:r>
        <w:rPr>
          <w:rFonts w:hint="default" w:ascii="Times New Roman" w:hAnsi="Times New Roman" w:eastAsia="仿宋_GB2312" w:cs="Times New Roman"/>
          <w:b w:val="0"/>
          <w:bCs w:val="0"/>
          <w:sz w:val="32"/>
          <w:szCs w:val="32"/>
          <w:lang w:val="en-US" w:eastAsia="zh-CN"/>
        </w:rPr>
        <w:t>将项目绩效目标细化分解为具体的绩效指标，一级指标共4条，二级指标共</w:t>
      </w:r>
      <w:r>
        <w:rPr>
          <w:rFonts w:hint="eastAsia" w:eastAsia="仿宋_GB2312" w:cs="Times New Roman"/>
          <w:b w:val="0"/>
          <w:bCs w:val="0"/>
          <w:sz w:val="32"/>
          <w:szCs w:val="32"/>
          <w:lang w:val="en-US" w:eastAsia="zh-CN"/>
        </w:rPr>
        <w:t>7</w:t>
      </w:r>
      <w:r>
        <w:rPr>
          <w:rFonts w:hint="default" w:ascii="Times New Roman" w:hAnsi="Times New Roman" w:eastAsia="仿宋_GB2312" w:cs="Times New Roman"/>
          <w:b w:val="0"/>
          <w:bCs w:val="0"/>
          <w:sz w:val="32"/>
          <w:szCs w:val="32"/>
          <w:lang w:val="en-US" w:eastAsia="zh-CN"/>
        </w:rPr>
        <w:t>条，三级指标共1</w:t>
      </w:r>
      <w:r>
        <w:rPr>
          <w:rFonts w:hint="eastAsia" w:eastAsia="仿宋_GB2312" w:cs="Times New Roman"/>
          <w:b w:val="0"/>
          <w:bCs w:val="0"/>
          <w:sz w:val="32"/>
          <w:szCs w:val="32"/>
          <w:lang w:val="en-US" w:eastAsia="zh-CN"/>
        </w:rPr>
        <w:t>5</w:t>
      </w:r>
      <w:r>
        <w:rPr>
          <w:rFonts w:hint="default" w:ascii="Times New Roman" w:hAnsi="Times New Roman" w:eastAsia="仿宋_GB2312" w:cs="Times New Roman"/>
          <w:b w:val="0"/>
          <w:bCs w:val="0"/>
          <w:sz w:val="32"/>
          <w:szCs w:val="32"/>
          <w:lang w:val="en-US" w:eastAsia="zh-CN"/>
        </w:rPr>
        <w:t>条，其中量化指标条数共1</w:t>
      </w:r>
      <w:r>
        <w:rPr>
          <w:rFonts w:hint="eastAsia" w:eastAsia="仿宋_GB2312" w:cs="Times New Roman"/>
          <w:b w:val="0"/>
          <w:bCs w:val="0"/>
          <w:sz w:val="32"/>
          <w:szCs w:val="32"/>
          <w:lang w:val="en-US" w:eastAsia="zh-CN"/>
        </w:rPr>
        <w:t>2</w:t>
      </w:r>
      <w:r>
        <w:rPr>
          <w:rFonts w:hint="default" w:ascii="Times New Roman" w:hAnsi="Times New Roman" w:eastAsia="仿宋_GB2312" w:cs="Times New Roman"/>
          <w:b w:val="0"/>
          <w:bCs w:val="0"/>
          <w:sz w:val="32"/>
          <w:szCs w:val="32"/>
          <w:lang w:val="en-US" w:eastAsia="zh-CN"/>
        </w:rPr>
        <w:t>条，所有绩效指标均通过清晰、可衡量的指标值予以体现，并且做到了与项目目标任务数或计划数相对应。此项权重分3分，得分3分。</w:t>
      </w:r>
    </w:p>
    <w:p w14:paraId="2BF65528">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1F4FA16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5D998E0A">
      <w:pPr>
        <w:pStyle w:val="2"/>
        <w:keepNext w:val="0"/>
        <w:keepLines w:val="0"/>
        <w:pageBreakBefore w:val="0"/>
        <w:widowControl/>
        <w:kinsoku/>
        <w:wordWrap/>
        <w:overflowPunct/>
        <w:topLinePunct w:val="0"/>
        <w:autoSpaceDE/>
        <w:autoSpaceDN/>
        <w:bidi w:val="0"/>
        <w:adjustRightInd/>
        <w:snapToGrid/>
        <w:spacing w:before="0" w:after="0" w:line="560" w:lineRule="exact"/>
        <w:ind w:firstLine="600" w:firstLineChars="200"/>
        <w:jc w:val="left"/>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预算编制经过科学论证，首先在明确预算目标的前提下，收集与预算编制相关的所有必要数据，对这些数据进行深入的分析，以了解单位的财务状况。其次，根据单位的具体情况和需求，选择合适的预算编制方法，全面、系统地反映组织的收入和支出情况，无有遗漏。最后，预算编制也遵循统一的财政政策和会计制度，确保预算的可比性和一致性。预算内容与项目内容相匹配，预算额度测算依据充分，按照标准编制，预算确定的项目投资额与工作任务相匹配。此项权重分4分，得分4分。</w:t>
      </w:r>
    </w:p>
    <w:p w14:paraId="60F4713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566FFCA6">
      <w:pPr>
        <w:pStyle w:val="2"/>
        <w:keepNext w:val="0"/>
        <w:keepLines w:val="0"/>
        <w:pageBreakBefore w:val="0"/>
        <w:widowControl/>
        <w:kinsoku/>
        <w:wordWrap/>
        <w:overflowPunct/>
        <w:topLinePunct w:val="0"/>
        <w:autoSpaceDE/>
        <w:autoSpaceDN/>
        <w:bidi w:val="0"/>
        <w:adjustRightInd/>
        <w:snapToGrid/>
        <w:spacing w:before="0" w:after="0" w:line="560" w:lineRule="exact"/>
        <w:ind w:firstLine="600" w:firstLineChars="200"/>
        <w:jc w:val="left"/>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预算资金分配依据充分，资金分配额度合理，与项目单位相适应。本项目清晰定义了项目的总体和阶段性目标，根据目标确定资金使用的优先级，确保关键活动得到优先支持。深入了解单位各部门或活动的实际需求，确保资金分配符合实际需求。加强与相关方的沟通和协调，确保资金分配决策得到广泛认可和支持。此项权重分4分，得分4分。</w:t>
      </w:r>
    </w:p>
    <w:p w14:paraId="5ABBCC27">
      <w:pPr>
        <w:pStyle w:val="2"/>
        <w:numPr>
          <w:ilvl w:val="0"/>
          <w:numId w:val="3"/>
        </w:numPr>
        <w:spacing w:before="0" w:after="0" w:line="560" w:lineRule="exact"/>
        <w:ind w:left="-13" w:leftChars="0" w:firstLine="643" w:firstLineChars="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74096D1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w:t>
      </w:r>
      <w:r>
        <w:rPr>
          <w:rFonts w:hint="default" w:ascii="Times New Roman" w:hAnsi="Times New Roman" w:eastAsia="仿宋_GB2312" w:cs="Times New Roman"/>
          <w:sz w:val="32"/>
          <w:szCs w:val="32"/>
          <w:highlight w:val="none"/>
          <w:lang w:val="en-US" w:eastAsia="zh-CN"/>
        </w:rPr>
        <w:t>由5个三级指标构成，权重分值为20分，实际得分</w:t>
      </w:r>
      <w:r>
        <w:rPr>
          <w:rFonts w:hint="eastAsia" w:eastAsia="仿宋_GB2312" w:cs="Times New Roman"/>
          <w:sz w:val="32"/>
          <w:szCs w:val="32"/>
          <w:highlight w:val="none"/>
          <w:lang w:val="en-US" w:eastAsia="zh-CN"/>
        </w:rPr>
        <w:t>19.9</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99.5</w:t>
      </w:r>
      <w:r>
        <w:rPr>
          <w:rFonts w:hint="default" w:ascii="Times New Roman" w:hAnsi="Times New Roman" w:eastAsia="仿宋_GB2312" w:cs="Times New Roman"/>
          <w:sz w:val="32"/>
          <w:szCs w:val="32"/>
          <w:highlight w:val="none"/>
          <w:lang w:val="en-US" w:eastAsia="zh-CN"/>
        </w:rPr>
        <w:t>%。</w:t>
      </w:r>
    </w:p>
    <w:p w14:paraId="7D5CBC91">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14:paraId="3DB1E23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14:paraId="5CDA8CA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307</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%，预算资金按计划进度执行。此项权重分4分，得分4分。</w:t>
      </w:r>
    </w:p>
    <w:p w14:paraId="5CB927B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14:paraId="04E5B43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306.74</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99.9</w:t>
      </w:r>
      <w:r>
        <w:rPr>
          <w:rFonts w:hint="default" w:ascii="Times New Roman" w:hAnsi="Times New Roman" w:eastAsia="仿宋_GB2312" w:cs="Times New Roman"/>
          <w:sz w:val="32"/>
          <w:szCs w:val="32"/>
          <w:highlight w:val="none"/>
          <w:lang w:val="en-US" w:eastAsia="zh-CN"/>
        </w:rPr>
        <w:t>%。此项权重分</w:t>
      </w:r>
      <w:r>
        <w:rPr>
          <w:rFonts w:hint="eastAsia" w:eastAsia="仿宋_GB2312" w:cs="Times New Roman"/>
          <w:sz w:val="32"/>
          <w:szCs w:val="32"/>
          <w:highlight w:val="none"/>
          <w:lang w:val="en-US" w:eastAsia="zh-CN"/>
        </w:rPr>
        <w:t>3.9</w:t>
      </w:r>
      <w:r>
        <w:rPr>
          <w:rFonts w:hint="default" w:ascii="Times New Roman" w:hAnsi="Times New Roman" w:eastAsia="仿宋_GB2312" w:cs="Times New Roman"/>
          <w:sz w:val="32"/>
          <w:szCs w:val="32"/>
          <w:highlight w:val="none"/>
          <w:lang w:val="en-US" w:eastAsia="zh-CN"/>
        </w:rPr>
        <w:t>分，得分</w:t>
      </w:r>
      <w:r>
        <w:rPr>
          <w:rFonts w:hint="eastAsia" w:eastAsia="仿宋_GB2312" w:cs="Times New Roman"/>
          <w:sz w:val="32"/>
          <w:szCs w:val="32"/>
          <w:highlight w:val="none"/>
          <w:lang w:val="en-US" w:eastAsia="zh-CN"/>
        </w:rPr>
        <w:t>3.9</w:t>
      </w:r>
      <w:r>
        <w:rPr>
          <w:rFonts w:hint="default" w:ascii="Times New Roman" w:hAnsi="Times New Roman" w:eastAsia="仿宋_GB2312" w:cs="Times New Roman"/>
          <w:sz w:val="32"/>
          <w:szCs w:val="32"/>
          <w:highlight w:val="none"/>
          <w:lang w:val="en-US" w:eastAsia="zh-CN"/>
        </w:rPr>
        <w:t>分。</w:t>
      </w:r>
    </w:p>
    <w:p w14:paraId="7B1F0A2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7045DD32">
      <w:pPr>
        <w:shd w:val="clear" w:color="auto" w:fill="auto"/>
        <w:spacing w:line="600" w:lineRule="exact"/>
        <w:ind w:firstLine="640" w:firstLineChars="200"/>
        <w:outlineLvl w:val="0"/>
        <w:rPr>
          <w:rFonts w:hint="eastAsia"/>
          <w:lang w:val="en-US" w:eastAsia="zh-CN"/>
        </w:rPr>
      </w:pPr>
      <w:r>
        <w:rPr>
          <w:rFonts w:hint="eastAsia" w:ascii="Times New Roman" w:hAnsi="Times New Roman" w:eastAsia="仿宋_GB2312" w:cs="Times New Roman"/>
          <w:sz w:val="32"/>
          <w:szCs w:val="32"/>
          <w:highlight w:val="none"/>
          <w:lang w:val="en-US" w:eastAsia="zh-CN"/>
        </w:rPr>
        <w:t>项目严格按照预期绩效目标执行预算资金。根据《行政单位财务规则》、《新疆维吾尔自治区政法经费分类保障暂行办法》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Fonts w:hint="eastAsia" w:ascii="Times New Roman" w:hAnsi="Times New Roman" w:eastAsia="仿宋_GB2312" w:cs="Times New Roman"/>
          <w:b w:val="0"/>
          <w:bCs w:val="0"/>
          <w:kern w:val="2"/>
          <w:sz w:val="30"/>
          <w:szCs w:val="24"/>
          <w:lang w:val="en-US" w:eastAsia="zh-CN" w:bidi="ar-SA"/>
        </w:rPr>
        <w:t>此项权重分4分，得分4分。</w:t>
      </w:r>
    </w:p>
    <w:p w14:paraId="42C9C280">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138EFDC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785601E5">
      <w:pPr>
        <w:pStyle w:val="2"/>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lang w:val="en-US" w:eastAsia="zh-CN"/>
        </w:rPr>
      </w:pPr>
      <w:r>
        <w:rPr>
          <w:rFonts w:hint="eastAsia" w:ascii="仿宋_GB2312" w:hAnsi="仿宋_GB2312" w:eastAsia="仿宋_GB2312" w:cs="仿宋_GB2312"/>
          <w:b w:val="0"/>
          <w:bCs w:val="0"/>
          <w:color w:val="auto"/>
          <w:sz w:val="32"/>
          <w:szCs w:val="32"/>
          <w:lang w:val="en-US" w:eastAsia="zh-CN"/>
        </w:rPr>
        <w:t>制定了《若羌县人民法院预算管理内部控制制度》、《若羌县人民法院收支管理内部控制制度》等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Fonts w:hint="eastAsia" w:ascii="Times New Roman" w:hAnsi="Times New Roman" w:eastAsia="仿宋_GB2312" w:cs="Times New Roman"/>
          <w:b w:val="0"/>
          <w:bCs w:val="0"/>
          <w:kern w:val="2"/>
          <w:sz w:val="30"/>
          <w:szCs w:val="24"/>
          <w:lang w:val="en-US" w:eastAsia="zh-CN" w:bidi="ar-SA"/>
        </w:rPr>
        <w:t>此项权重分4分，得分4分。</w:t>
      </w:r>
    </w:p>
    <w:p w14:paraId="0C013D56">
      <w:pPr>
        <w:shd w:val="clear" w:color="auto" w:fill="auto"/>
        <w:spacing w:line="600" w:lineRule="exact"/>
        <w:ind w:firstLine="640" w:firstLineChars="200"/>
        <w:outlineLvl w:val="0"/>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（2）制度执行有效性</w:t>
      </w:r>
    </w:p>
    <w:p w14:paraId="3C22D078">
      <w:pPr>
        <w:pStyle w:val="10"/>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default" w:ascii="仿宋_GB2312" w:hAnsi="仿宋_GB2312" w:eastAsia="仿宋_GB2312" w:cs="仿宋_GB2312"/>
          <w:b w:val="0"/>
          <w:bCs w:val="0"/>
          <w:color w:val="auto"/>
          <w:kern w:val="28"/>
          <w:sz w:val="32"/>
          <w:szCs w:val="32"/>
          <w:lang w:val="en-US" w:eastAsia="zh-CN" w:bidi="ar-SA"/>
        </w:rPr>
      </w:pPr>
      <w:r>
        <w:rPr>
          <w:rFonts w:hint="default" w:ascii="仿宋_GB2312" w:hAnsi="仿宋_GB2312" w:eastAsia="仿宋_GB2312" w:cs="仿宋_GB2312"/>
          <w:b w:val="0"/>
          <w:bCs w:val="0"/>
          <w:color w:val="auto"/>
          <w:kern w:val="28"/>
          <w:sz w:val="32"/>
          <w:szCs w:val="32"/>
          <w:lang w:val="en-US" w:eastAsia="zh-CN" w:bidi="ar-SA"/>
        </w:rPr>
        <w:t>项目遵守了《行政事业单位内部控制规范(试行) 》以及《政府会计制度》等相关法律法规和相关管理规定，严格执行本单位的内控制度，对资金使用的合法合规性进行监督，年末对资金使用效果进行评价。项目管理、实施人员落实到位，有效按照计划执行。项目执行情况等资料齐全，项目相关手续完备，及时进行归档。项目实施的人员条件、场地设备、信息支撑等落实到位。此项权重分4分，得分4分。</w:t>
      </w:r>
    </w:p>
    <w:p w14:paraId="78620797">
      <w:pPr>
        <w:pStyle w:val="10"/>
        <w:numPr>
          <w:ilvl w:val="0"/>
          <w:numId w:val="3"/>
        </w:numPr>
        <w:spacing w:line="560" w:lineRule="exact"/>
        <w:ind w:left="-13" w:leftChars="0" w:firstLine="643" w:firstLineChars="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bookmarkStart w:id="3" w:name="_GoBack"/>
      <w:bookmarkEnd w:id="3"/>
      <w:r>
        <w:rPr>
          <w:rFonts w:hint="default" w:ascii="Times New Roman" w:hAnsi="Times New Roman" w:eastAsia="楷体_GB2312" w:cs="Times New Roman"/>
          <w:b/>
          <w:bCs/>
          <w:sz w:val="32"/>
          <w:szCs w:val="32"/>
          <w:lang w:val="en-US" w:eastAsia="zh-CN"/>
        </w:rPr>
        <w:t>情况</w:t>
      </w:r>
    </w:p>
    <w:p w14:paraId="7ACA10E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w:t>
      </w:r>
      <w:r>
        <w:rPr>
          <w:rFonts w:hint="default" w:ascii="Times New Roman" w:hAnsi="Times New Roman" w:eastAsia="仿宋_GB2312" w:cs="Times New Roman"/>
          <w:sz w:val="32"/>
          <w:szCs w:val="32"/>
          <w:highlight w:val="none"/>
          <w:lang w:val="en-US" w:eastAsia="zh-CN"/>
        </w:rPr>
        <w:t>出成本四方面的内容，由</w:t>
      </w:r>
      <w:r>
        <w:rPr>
          <w:rFonts w:hint="eastAsia" w:eastAsia="仿宋_GB2312" w:cs="Times New Roman"/>
          <w:sz w:val="32"/>
          <w:szCs w:val="32"/>
          <w:highlight w:val="none"/>
          <w:lang w:val="en-US" w:eastAsia="zh-CN"/>
        </w:rPr>
        <w:t>15</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39.9</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99.75</w:t>
      </w:r>
      <w:r>
        <w:rPr>
          <w:rFonts w:hint="default" w:ascii="Times New Roman" w:hAnsi="Times New Roman" w:eastAsia="仿宋_GB2312" w:cs="Times New Roman"/>
          <w:sz w:val="32"/>
          <w:szCs w:val="32"/>
          <w:highlight w:val="none"/>
          <w:lang w:val="en-US" w:eastAsia="zh-CN"/>
        </w:rPr>
        <w:t>%。具体产出指标完成情况如下：</w:t>
      </w:r>
    </w:p>
    <w:p w14:paraId="22A39AA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4E9162B5">
      <w:pPr>
        <w:shd w:val="clear" w:color="auto" w:fill="auto"/>
        <w:spacing w:line="600" w:lineRule="exact"/>
        <w:ind w:firstLine="640" w:firstLineChars="200"/>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业务装备采购批次</w:t>
      </w:r>
      <w:r>
        <w:rPr>
          <w:rFonts w:hint="default" w:ascii="Times New Roman" w:hAnsi="Times New Roman" w:eastAsia="仿宋_GB2312" w:cs="Times New Roman"/>
          <w:sz w:val="32"/>
          <w:szCs w:val="32"/>
          <w:highlight w:val="none"/>
        </w:rPr>
        <w:t>，指标值：&gt;=4批，实际完成值：4批，指标完成率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val="en-US" w:eastAsia="zh-CN"/>
        </w:rPr>
        <w:t>。</w:t>
      </w:r>
    </w:p>
    <w:p w14:paraId="373AC204">
      <w:pPr>
        <w:shd w:val="clear" w:color="auto" w:fill="auto"/>
        <w:spacing w:line="600" w:lineRule="exact"/>
        <w:ind w:firstLine="640" w:firstLineChars="200"/>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2：法院结案数，指标值：&gt;=2200件，实际完成值：2498件，指标完成率113.55%，偏差原因为结案效率提升，今后将均衡结案。</w:t>
      </w:r>
    </w:p>
    <w:p w14:paraId="1A1E9B2B">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3：法院收案数，指标值：</w:t>
      </w:r>
      <w:r>
        <w:rPr>
          <w:rFonts w:hint="eastAsia" w:ascii="宋体" w:hAnsi="宋体" w:eastAsia="宋体" w:cs="宋体"/>
          <w:sz w:val="32"/>
          <w:szCs w:val="32"/>
          <w:highlight w:val="none"/>
          <w:lang w:val="en-US" w:eastAsia="zh-CN"/>
        </w:rPr>
        <w:t>&gt;=2300件</w:t>
      </w:r>
      <w:r>
        <w:rPr>
          <w:rFonts w:hint="eastAsia" w:eastAsia="仿宋_GB2312" w:cs="Times New Roman"/>
          <w:sz w:val="32"/>
          <w:szCs w:val="32"/>
          <w:highlight w:val="none"/>
          <w:lang w:val="en-US" w:eastAsia="zh-CN"/>
        </w:rPr>
        <w:t>，实际完成值：2684件，指标完成率116.7%。偏差原因为庭室实际收案数量较大，今后将加大调解力度。</w:t>
      </w:r>
    </w:p>
    <w:p w14:paraId="22C4423A">
      <w:pPr>
        <w:shd w:val="clear" w:color="auto" w:fill="auto"/>
        <w:spacing w:line="600" w:lineRule="exact"/>
        <w:ind w:firstLine="640" w:firstLineChars="200"/>
        <w:outlineLvl w:val="0"/>
        <w:rPr>
          <w:rFonts w:hint="default" w:eastAsia="仿宋_GB2312" w:cs="Times New Roman"/>
          <w:sz w:val="32"/>
          <w:szCs w:val="32"/>
          <w:highlight w:val="none"/>
          <w:lang w:val="en-US" w:eastAsia="zh-CN"/>
        </w:rPr>
      </w:pPr>
      <w:r>
        <w:rPr>
          <w:rFonts w:hint="default" w:ascii="仿宋_GB2312" w:hAnsi="仿宋_GB2312" w:eastAsia="仿宋_GB2312" w:cs="仿宋_GB2312"/>
          <w:b w:val="0"/>
          <w:bCs w:val="0"/>
          <w:color w:val="auto"/>
          <w:kern w:val="28"/>
          <w:sz w:val="32"/>
          <w:szCs w:val="32"/>
          <w:lang w:val="en-US" w:eastAsia="zh-CN" w:bidi="ar-SA"/>
        </w:rPr>
        <w:t>此项权重分</w:t>
      </w:r>
      <w:r>
        <w:rPr>
          <w:rFonts w:hint="eastAsia" w:ascii="仿宋_GB2312" w:hAnsi="仿宋_GB2312" w:eastAsia="仿宋_GB2312" w:cs="仿宋_GB2312"/>
          <w:b w:val="0"/>
          <w:bCs w:val="0"/>
          <w:color w:val="auto"/>
          <w:kern w:val="28"/>
          <w:sz w:val="32"/>
          <w:szCs w:val="32"/>
          <w:lang w:val="en-US" w:eastAsia="zh-CN" w:bidi="ar-SA"/>
        </w:rPr>
        <w:t>10</w:t>
      </w:r>
      <w:r>
        <w:rPr>
          <w:rFonts w:hint="default" w:ascii="仿宋_GB2312" w:hAnsi="仿宋_GB2312" w:eastAsia="仿宋_GB2312" w:cs="仿宋_GB2312"/>
          <w:b w:val="0"/>
          <w:bCs w:val="0"/>
          <w:color w:val="auto"/>
          <w:kern w:val="28"/>
          <w:sz w:val="32"/>
          <w:szCs w:val="32"/>
          <w:lang w:val="en-US" w:eastAsia="zh-CN" w:bidi="ar-SA"/>
        </w:rPr>
        <w:t>分，得分</w:t>
      </w:r>
      <w:r>
        <w:rPr>
          <w:rFonts w:hint="eastAsia" w:ascii="仿宋_GB2312" w:hAnsi="仿宋_GB2312" w:eastAsia="仿宋_GB2312" w:cs="仿宋_GB2312"/>
          <w:b w:val="0"/>
          <w:bCs w:val="0"/>
          <w:color w:val="auto"/>
          <w:kern w:val="28"/>
          <w:sz w:val="32"/>
          <w:szCs w:val="32"/>
          <w:lang w:val="en-US" w:eastAsia="zh-CN" w:bidi="ar-SA"/>
        </w:rPr>
        <w:t>10</w:t>
      </w:r>
      <w:r>
        <w:rPr>
          <w:rFonts w:hint="default" w:ascii="仿宋_GB2312" w:hAnsi="仿宋_GB2312" w:eastAsia="仿宋_GB2312" w:cs="仿宋_GB2312"/>
          <w:b w:val="0"/>
          <w:bCs w:val="0"/>
          <w:color w:val="auto"/>
          <w:kern w:val="28"/>
          <w:sz w:val="32"/>
          <w:szCs w:val="32"/>
          <w:lang w:val="en-US" w:eastAsia="zh-CN" w:bidi="ar-SA"/>
        </w:rPr>
        <w:t>分</w:t>
      </w:r>
      <w:r>
        <w:rPr>
          <w:rFonts w:hint="eastAsia" w:eastAsia="仿宋_GB2312" w:cs="Times New Roman"/>
          <w:sz w:val="32"/>
          <w:szCs w:val="32"/>
          <w:highlight w:val="none"/>
          <w:lang w:val="en-US" w:eastAsia="zh-CN"/>
        </w:rPr>
        <w:t>。</w:t>
      </w:r>
    </w:p>
    <w:p w14:paraId="1C8D9E0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5248BAC5">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法院案件审结率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&gt;=90%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94.52%</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105.02%，偏差原因为结案效率提升，今后将均衡结案。</w:t>
      </w:r>
    </w:p>
    <w:p w14:paraId="04932FBF">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装备验收合格率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p>
    <w:p w14:paraId="7DF5AF9D">
      <w:pPr>
        <w:shd w:val="clear" w:color="auto" w:fill="auto"/>
        <w:spacing w:line="600" w:lineRule="exact"/>
        <w:ind w:firstLine="640" w:firstLineChars="200"/>
        <w:outlineLvl w:val="0"/>
        <w:rPr>
          <w:rFonts w:hint="eastAsia"/>
          <w:lang w:val="en-US" w:eastAsia="zh-CN"/>
        </w:rPr>
      </w:pPr>
      <w:r>
        <w:rPr>
          <w:rFonts w:hint="default" w:ascii="仿宋_GB2312" w:hAnsi="仿宋_GB2312" w:eastAsia="仿宋_GB2312" w:cs="仿宋_GB2312"/>
          <w:b w:val="0"/>
          <w:bCs w:val="0"/>
          <w:color w:val="auto"/>
          <w:kern w:val="28"/>
          <w:sz w:val="32"/>
          <w:szCs w:val="32"/>
          <w:lang w:val="en-US" w:eastAsia="zh-CN" w:bidi="ar-SA"/>
        </w:rPr>
        <w:t>此项权重分</w:t>
      </w:r>
      <w:r>
        <w:rPr>
          <w:rFonts w:hint="eastAsia" w:ascii="仿宋_GB2312" w:hAnsi="仿宋_GB2312" w:eastAsia="仿宋_GB2312" w:cs="仿宋_GB2312"/>
          <w:b w:val="0"/>
          <w:bCs w:val="0"/>
          <w:color w:val="auto"/>
          <w:kern w:val="28"/>
          <w:sz w:val="32"/>
          <w:szCs w:val="32"/>
          <w:lang w:val="en-US" w:eastAsia="zh-CN" w:bidi="ar-SA"/>
        </w:rPr>
        <w:t>10</w:t>
      </w:r>
      <w:r>
        <w:rPr>
          <w:rFonts w:hint="default" w:ascii="仿宋_GB2312" w:hAnsi="仿宋_GB2312" w:eastAsia="仿宋_GB2312" w:cs="仿宋_GB2312"/>
          <w:b w:val="0"/>
          <w:bCs w:val="0"/>
          <w:color w:val="auto"/>
          <w:kern w:val="28"/>
          <w:sz w:val="32"/>
          <w:szCs w:val="32"/>
          <w:lang w:val="en-US" w:eastAsia="zh-CN" w:bidi="ar-SA"/>
        </w:rPr>
        <w:t>分，得分</w:t>
      </w:r>
      <w:r>
        <w:rPr>
          <w:rFonts w:hint="eastAsia" w:ascii="仿宋_GB2312" w:hAnsi="仿宋_GB2312" w:eastAsia="仿宋_GB2312" w:cs="仿宋_GB2312"/>
          <w:b w:val="0"/>
          <w:bCs w:val="0"/>
          <w:color w:val="auto"/>
          <w:kern w:val="28"/>
          <w:sz w:val="32"/>
          <w:szCs w:val="32"/>
          <w:lang w:val="en-US" w:eastAsia="zh-CN" w:bidi="ar-SA"/>
        </w:rPr>
        <w:t>10</w:t>
      </w:r>
      <w:r>
        <w:rPr>
          <w:rFonts w:hint="default" w:ascii="仿宋_GB2312" w:hAnsi="仿宋_GB2312" w:eastAsia="仿宋_GB2312" w:cs="仿宋_GB2312"/>
          <w:b w:val="0"/>
          <w:bCs w:val="0"/>
          <w:color w:val="auto"/>
          <w:kern w:val="28"/>
          <w:sz w:val="32"/>
          <w:szCs w:val="32"/>
          <w:lang w:val="en-US" w:eastAsia="zh-CN" w:bidi="ar-SA"/>
        </w:rPr>
        <w:t>分</w:t>
      </w:r>
      <w:r>
        <w:rPr>
          <w:rFonts w:hint="eastAsia" w:eastAsia="仿宋_GB2312" w:cs="Times New Roman"/>
          <w:sz w:val="32"/>
          <w:szCs w:val="32"/>
          <w:highlight w:val="none"/>
          <w:lang w:val="en-US" w:eastAsia="zh-CN"/>
        </w:rPr>
        <w:t>。</w:t>
      </w:r>
    </w:p>
    <w:p w14:paraId="12006B0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5A4B057C">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案件结案及时率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val="en-US" w:eastAsia="zh-CN"/>
        </w:rPr>
        <w:t>。</w:t>
      </w:r>
    </w:p>
    <w:p w14:paraId="797D4921">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2：装备采购完成时间，</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2024年11月30日前</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2024年11月12日</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val="en-US" w:eastAsia="zh-CN"/>
        </w:rPr>
        <w:t>。</w:t>
      </w:r>
    </w:p>
    <w:p w14:paraId="7B519876">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3：业务装备采购及时性，</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val="en-US" w:eastAsia="zh-CN"/>
        </w:rPr>
        <w:t>。</w:t>
      </w:r>
    </w:p>
    <w:p w14:paraId="307BD2F0">
      <w:pPr>
        <w:shd w:val="clear" w:color="auto" w:fill="auto"/>
        <w:spacing w:line="600" w:lineRule="exact"/>
        <w:ind w:firstLine="640" w:firstLineChars="200"/>
        <w:outlineLvl w:val="0"/>
        <w:rPr>
          <w:rFonts w:hint="eastAsia"/>
          <w:lang w:val="en-US" w:eastAsia="zh-CN"/>
        </w:rPr>
      </w:pPr>
      <w:r>
        <w:rPr>
          <w:rFonts w:hint="default" w:ascii="仿宋_GB2312" w:hAnsi="仿宋_GB2312" w:eastAsia="仿宋_GB2312" w:cs="仿宋_GB2312"/>
          <w:b w:val="0"/>
          <w:bCs w:val="0"/>
          <w:color w:val="auto"/>
          <w:kern w:val="28"/>
          <w:sz w:val="32"/>
          <w:szCs w:val="32"/>
          <w:lang w:val="en-US" w:eastAsia="zh-CN" w:bidi="ar-SA"/>
        </w:rPr>
        <w:t>此项权重分</w:t>
      </w:r>
      <w:r>
        <w:rPr>
          <w:rFonts w:hint="eastAsia" w:ascii="仿宋_GB2312" w:hAnsi="仿宋_GB2312" w:eastAsia="仿宋_GB2312" w:cs="仿宋_GB2312"/>
          <w:b w:val="0"/>
          <w:bCs w:val="0"/>
          <w:color w:val="auto"/>
          <w:kern w:val="28"/>
          <w:sz w:val="32"/>
          <w:szCs w:val="32"/>
          <w:lang w:val="en-US" w:eastAsia="zh-CN" w:bidi="ar-SA"/>
        </w:rPr>
        <w:t>10</w:t>
      </w:r>
      <w:r>
        <w:rPr>
          <w:rFonts w:hint="default" w:ascii="仿宋_GB2312" w:hAnsi="仿宋_GB2312" w:eastAsia="仿宋_GB2312" w:cs="仿宋_GB2312"/>
          <w:b w:val="0"/>
          <w:bCs w:val="0"/>
          <w:color w:val="auto"/>
          <w:kern w:val="28"/>
          <w:sz w:val="32"/>
          <w:szCs w:val="32"/>
          <w:lang w:val="en-US" w:eastAsia="zh-CN" w:bidi="ar-SA"/>
        </w:rPr>
        <w:t>分，得分</w:t>
      </w:r>
      <w:r>
        <w:rPr>
          <w:rFonts w:hint="eastAsia" w:ascii="仿宋_GB2312" w:hAnsi="仿宋_GB2312" w:eastAsia="仿宋_GB2312" w:cs="仿宋_GB2312"/>
          <w:b w:val="0"/>
          <w:bCs w:val="0"/>
          <w:color w:val="auto"/>
          <w:kern w:val="28"/>
          <w:sz w:val="32"/>
          <w:szCs w:val="32"/>
          <w:lang w:val="en-US" w:eastAsia="zh-CN" w:bidi="ar-SA"/>
        </w:rPr>
        <w:t>10</w:t>
      </w:r>
      <w:r>
        <w:rPr>
          <w:rFonts w:hint="default" w:ascii="仿宋_GB2312" w:hAnsi="仿宋_GB2312" w:eastAsia="仿宋_GB2312" w:cs="仿宋_GB2312"/>
          <w:b w:val="0"/>
          <w:bCs w:val="0"/>
          <w:color w:val="auto"/>
          <w:kern w:val="28"/>
          <w:sz w:val="32"/>
          <w:szCs w:val="32"/>
          <w:lang w:val="en-US" w:eastAsia="zh-CN" w:bidi="ar-SA"/>
        </w:rPr>
        <w:t>分</w:t>
      </w:r>
      <w:r>
        <w:rPr>
          <w:rFonts w:hint="eastAsia" w:eastAsia="仿宋_GB2312" w:cs="Times New Roman"/>
          <w:sz w:val="32"/>
          <w:szCs w:val="32"/>
          <w:highlight w:val="none"/>
          <w:lang w:val="en-US" w:eastAsia="zh-CN"/>
        </w:rPr>
        <w:t>。</w:t>
      </w:r>
    </w:p>
    <w:p w14:paraId="72086EA0">
      <w:pPr>
        <w:pStyle w:val="2"/>
        <w:rPr>
          <w:rFonts w:hint="eastAsia"/>
          <w:lang w:val="en-US" w:eastAsia="zh-CN"/>
        </w:rPr>
      </w:pPr>
    </w:p>
    <w:p w14:paraId="26D154D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538E15A9">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业务经费投入成本</w:t>
      </w:r>
      <w:r>
        <w:rPr>
          <w:rFonts w:hint="default" w:ascii="Times New Roman" w:hAnsi="Times New Roman" w:eastAsia="仿宋_GB2312" w:cs="Times New Roman"/>
          <w:sz w:val="32"/>
          <w:szCs w:val="32"/>
          <w:highlight w:val="none"/>
        </w:rPr>
        <w:t>，指标值：</w:t>
      </w:r>
      <w:r>
        <w:rPr>
          <w:rFonts w:hint="eastAsia" w:ascii="宋体" w:hAnsi="宋体" w:eastAsia="宋体" w:cs="宋体"/>
          <w:sz w:val="32"/>
          <w:szCs w:val="32"/>
          <w:highlight w:val="none"/>
        </w:rPr>
        <w:t>≦</w:t>
      </w:r>
      <w:r>
        <w:rPr>
          <w:rFonts w:hint="eastAsia" w:eastAsia="仿宋_GB2312" w:cs="Times New Roman"/>
          <w:sz w:val="32"/>
          <w:szCs w:val="32"/>
          <w:highlight w:val="none"/>
          <w:lang w:val="en-US" w:eastAsia="zh-CN"/>
        </w:rPr>
        <w:t>164万元</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164万元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w:t>
      </w:r>
    </w:p>
    <w:p w14:paraId="6B3DA7B0">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2：装备经费投入成本，</w:t>
      </w:r>
      <w:r>
        <w:rPr>
          <w:rFonts w:hint="default" w:ascii="Times New Roman" w:hAnsi="Times New Roman" w:eastAsia="仿宋_GB2312" w:cs="Times New Roman"/>
          <w:sz w:val="32"/>
          <w:szCs w:val="32"/>
          <w:highlight w:val="none"/>
        </w:rPr>
        <w:t>指标值：</w:t>
      </w:r>
      <w:r>
        <w:rPr>
          <w:rFonts w:hint="eastAsia" w:ascii="宋体" w:hAnsi="宋体" w:eastAsia="宋体" w:cs="宋体"/>
          <w:sz w:val="32"/>
          <w:szCs w:val="32"/>
          <w:highlight w:val="none"/>
          <w:lang w:val="en-US" w:eastAsia="zh-CN"/>
        </w:rPr>
        <w:t>≦</w:t>
      </w:r>
      <w:r>
        <w:rPr>
          <w:rFonts w:hint="eastAsia" w:eastAsia="仿宋_GB2312" w:cs="Times New Roman"/>
          <w:sz w:val="32"/>
          <w:szCs w:val="32"/>
          <w:highlight w:val="none"/>
          <w:lang w:val="en-US" w:eastAsia="zh-CN"/>
        </w:rPr>
        <w:t>143万元</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142.74万元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99.82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。偏差原因为剩余金额过小，不足支付装备金额；今后将加强预算管理，合理分配资金。</w:t>
      </w:r>
    </w:p>
    <w:p w14:paraId="65C59A20">
      <w:pPr>
        <w:shd w:val="clear" w:color="auto" w:fill="auto"/>
        <w:spacing w:line="600" w:lineRule="exact"/>
        <w:ind w:firstLine="640" w:firstLineChars="200"/>
        <w:outlineLvl w:val="0"/>
        <w:rPr>
          <w:rFonts w:hint="eastAsia"/>
          <w:lang w:val="en-US" w:eastAsia="zh-CN"/>
        </w:rPr>
      </w:pPr>
      <w:r>
        <w:rPr>
          <w:rFonts w:hint="default" w:ascii="仿宋_GB2312" w:hAnsi="仿宋_GB2312" w:eastAsia="仿宋_GB2312" w:cs="仿宋_GB2312"/>
          <w:b w:val="0"/>
          <w:bCs w:val="0"/>
          <w:color w:val="auto"/>
          <w:kern w:val="28"/>
          <w:sz w:val="32"/>
          <w:szCs w:val="32"/>
          <w:lang w:val="en-US" w:eastAsia="zh-CN" w:bidi="ar-SA"/>
        </w:rPr>
        <w:t>此项权重分</w:t>
      </w:r>
      <w:r>
        <w:rPr>
          <w:rFonts w:hint="eastAsia" w:ascii="仿宋_GB2312" w:hAnsi="仿宋_GB2312" w:eastAsia="仿宋_GB2312" w:cs="仿宋_GB2312"/>
          <w:b w:val="0"/>
          <w:bCs w:val="0"/>
          <w:color w:val="auto"/>
          <w:kern w:val="28"/>
          <w:sz w:val="32"/>
          <w:szCs w:val="32"/>
          <w:lang w:val="en-US" w:eastAsia="zh-CN" w:bidi="ar-SA"/>
        </w:rPr>
        <w:t>10</w:t>
      </w:r>
      <w:r>
        <w:rPr>
          <w:rFonts w:hint="default" w:ascii="仿宋_GB2312" w:hAnsi="仿宋_GB2312" w:eastAsia="仿宋_GB2312" w:cs="仿宋_GB2312"/>
          <w:b w:val="0"/>
          <w:bCs w:val="0"/>
          <w:color w:val="auto"/>
          <w:kern w:val="28"/>
          <w:sz w:val="32"/>
          <w:szCs w:val="32"/>
          <w:lang w:val="en-US" w:eastAsia="zh-CN" w:bidi="ar-SA"/>
        </w:rPr>
        <w:t>分，得分</w:t>
      </w:r>
      <w:r>
        <w:rPr>
          <w:rFonts w:hint="eastAsia" w:ascii="仿宋_GB2312" w:hAnsi="仿宋_GB2312" w:eastAsia="仿宋_GB2312" w:cs="仿宋_GB2312"/>
          <w:b w:val="0"/>
          <w:bCs w:val="0"/>
          <w:color w:val="auto"/>
          <w:kern w:val="28"/>
          <w:sz w:val="32"/>
          <w:szCs w:val="32"/>
          <w:lang w:val="en-US" w:eastAsia="zh-CN" w:bidi="ar-SA"/>
        </w:rPr>
        <w:t>9.9</w:t>
      </w:r>
      <w:r>
        <w:rPr>
          <w:rFonts w:hint="default" w:ascii="仿宋_GB2312" w:hAnsi="仿宋_GB2312" w:eastAsia="仿宋_GB2312" w:cs="仿宋_GB2312"/>
          <w:b w:val="0"/>
          <w:bCs w:val="0"/>
          <w:color w:val="auto"/>
          <w:kern w:val="28"/>
          <w:sz w:val="32"/>
          <w:szCs w:val="32"/>
          <w:lang w:val="en-US" w:eastAsia="zh-CN" w:bidi="ar-SA"/>
        </w:rPr>
        <w:t>分</w:t>
      </w:r>
      <w:r>
        <w:rPr>
          <w:rFonts w:hint="eastAsia" w:eastAsia="仿宋_GB2312" w:cs="Times New Roman"/>
          <w:sz w:val="32"/>
          <w:szCs w:val="32"/>
          <w:highlight w:val="none"/>
          <w:lang w:val="en-US" w:eastAsia="zh-CN"/>
        </w:rPr>
        <w:t>。</w:t>
      </w:r>
    </w:p>
    <w:p w14:paraId="4F22C394">
      <w:pPr>
        <w:pStyle w:val="10"/>
        <w:numPr>
          <w:ilvl w:val="0"/>
          <w:numId w:val="3"/>
        </w:numPr>
        <w:spacing w:line="560" w:lineRule="exact"/>
        <w:ind w:left="-13" w:leftChars="0" w:firstLine="643" w:firstLineChars="0"/>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33D8FE6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w:t>
      </w:r>
      <w:r>
        <w:rPr>
          <w:rFonts w:hint="default" w:ascii="Times New Roman" w:hAnsi="Times New Roman" w:eastAsia="仿宋_GB2312" w:cs="Times New Roman"/>
          <w:sz w:val="32"/>
          <w:szCs w:val="32"/>
          <w:highlight w:val="none"/>
          <w:lang w:val="en-US" w:eastAsia="zh-CN"/>
        </w:rPr>
        <w:t>容，由</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具体效益指标及满意度指标完成情况如下：</w:t>
      </w:r>
    </w:p>
    <w:p w14:paraId="12A69475">
      <w:pPr>
        <w:shd w:val="clear" w:color="auto" w:fill="auto"/>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4873B62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eastAsia" w:eastAsia="仿宋_GB2312" w:cs="Times New Roman"/>
          <w:sz w:val="32"/>
          <w:szCs w:val="32"/>
          <w:highlight w:val="none"/>
          <w:lang w:eastAsia="zh-CN"/>
        </w:rPr>
        <w:t>经济</w:t>
      </w:r>
      <w:r>
        <w:rPr>
          <w:rFonts w:hint="default" w:ascii="Times New Roman" w:hAnsi="Times New Roman" w:eastAsia="仿宋_GB2312" w:cs="Times New Roman"/>
          <w:sz w:val="32"/>
          <w:szCs w:val="32"/>
          <w:highlight w:val="none"/>
        </w:rPr>
        <w:t>效益指标：</w:t>
      </w:r>
    </w:p>
    <w:p w14:paraId="5290BD6C">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维护社会稳定与长治久安</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稳步提升</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达成目标</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val="en-US" w:eastAsia="zh-CN"/>
        </w:rPr>
        <w:t>。</w:t>
      </w:r>
    </w:p>
    <w:p w14:paraId="195763C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Calibri" w:hAnsi="Calibri" w:eastAsia="仿宋_GB2312" w:cs="Calibri"/>
          <w:sz w:val="32"/>
          <w:szCs w:val="32"/>
          <w:highlight w:val="none"/>
        </w:rPr>
        <w:t>②</w:t>
      </w:r>
      <w:r>
        <w:rPr>
          <w:rFonts w:hint="default" w:ascii="Times New Roman" w:hAnsi="Times New Roman" w:eastAsia="仿宋_GB2312" w:cs="Times New Roman"/>
          <w:sz w:val="32"/>
          <w:szCs w:val="32"/>
          <w:highlight w:val="none"/>
        </w:rPr>
        <w:t>社会效益指标：</w:t>
      </w:r>
    </w:p>
    <w:p w14:paraId="572E693C">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化解社会矛盾，为经济社会发展提供良好环境</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显著提高</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达成目标</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val="en-US" w:eastAsia="zh-CN"/>
        </w:rPr>
        <w:t>。</w:t>
      </w:r>
    </w:p>
    <w:p w14:paraId="36B8BA2E">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促进改善办案基础设施和办案条件</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显著提高</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达成目标</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val="en-US" w:eastAsia="zh-CN"/>
        </w:rPr>
        <w:t>。</w:t>
      </w:r>
    </w:p>
    <w:p w14:paraId="6479B118">
      <w:pPr>
        <w:shd w:val="clear" w:color="auto" w:fill="auto"/>
        <w:spacing w:line="600" w:lineRule="exact"/>
        <w:ind w:firstLine="640" w:firstLineChars="200"/>
        <w:outlineLvl w:val="0"/>
        <w:rPr>
          <w:rFonts w:hint="default"/>
          <w:lang w:val="en-US" w:eastAsia="zh-CN"/>
        </w:rPr>
      </w:pPr>
      <w:r>
        <w:rPr>
          <w:rFonts w:hint="default" w:ascii="仿宋_GB2312" w:hAnsi="仿宋_GB2312" w:eastAsia="仿宋_GB2312" w:cs="仿宋_GB2312"/>
          <w:b w:val="0"/>
          <w:bCs w:val="0"/>
          <w:color w:val="auto"/>
          <w:kern w:val="28"/>
          <w:sz w:val="32"/>
          <w:szCs w:val="32"/>
          <w:lang w:val="en-US" w:eastAsia="zh-CN" w:bidi="ar-SA"/>
        </w:rPr>
        <w:t>此项权重分</w:t>
      </w:r>
      <w:r>
        <w:rPr>
          <w:rFonts w:hint="eastAsia" w:ascii="仿宋_GB2312" w:hAnsi="仿宋_GB2312" w:eastAsia="仿宋_GB2312" w:cs="仿宋_GB2312"/>
          <w:b w:val="0"/>
          <w:bCs w:val="0"/>
          <w:color w:val="auto"/>
          <w:kern w:val="28"/>
          <w:sz w:val="32"/>
          <w:szCs w:val="32"/>
          <w:lang w:val="en-US" w:eastAsia="zh-CN" w:bidi="ar-SA"/>
        </w:rPr>
        <w:t>10</w:t>
      </w:r>
      <w:r>
        <w:rPr>
          <w:rFonts w:hint="default" w:ascii="仿宋_GB2312" w:hAnsi="仿宋_GB2312" w:eastAsia="仿宋_GB2312" w:cs="仿宋_GB2312"/>
          <w:b w:val="0"/>
          <w:bCs w:val="0"/>
          <w:color w:val="auto"/>
          <w:kern w:val="28"/>
          <w:sz w:val="32"/>
          <w:szCs w:val="32"/>
          <w:lang w:val="en-US" w:eastAsia="zh-CN" w:bidi="ar-SA"/>
        </w:rPr>
        <w:t>分，得分</w:t>
      </w:r>
      <w:r>
        <w:rPr>
          <w:rFonts w:hint="eastAsia" w:ascii="仿宋_GB2312" w:hAnsi="仿宋_GB2312" w:eastAsia="仿宋_GB2312" w:cs="仿宋_GB2312"/>
          <w:b w:val="0"/>
          <w:bCs w:val="0"/>
          <w:color w:val="auto"/>
          <w:kern w:val="28"/>
          <w:sz w:val="32"/>
          <w:szCs w:val="32"/>
          <w:lang w:val="en-US" w:eastAsia="zh-CN" w:bidi="ar-SA"/>
        </w:rPr>
        <w:t>10</w:t>
      </w:r>
      <w:r>
        <w:rPr>
          <w:rFonts w:hint="default" w:ascii="仿宋_GB2312" w:hAnsi="仿宋_GB2312" w:eastAsia="仿宋_GB2312" w:cs="仿宋_GB2312"/>
          <w:b w:val="0"/>
          <w:bCs w:val="0"/>
          <w:color w:val="auto"/>
          <w:kern w:val="28"/>
          <w:sz w:val="32"/>
          <w:szCs w:val="32"/>
          <w:lang w:val="en-US" w:eastAsia="zh-CN" w:bidi="ar-SA"/>
        </w:rPr>
        <w:t>分</w:t>
      </w:r>
      <w:r>
        <w:rPr>
          <w:rFonts w:hint="eastAsia" w:eastAsia="仿宋_GB2312" w:cs="Times New Roman"/>
          <w:sz w:val="32"/>
          <w:szCs w:val="32"/>
          <w:highlight w:val="none"/>
          <w:lang w:val="en-US" w:eastAsia="zh-CN"/>
        </w:rPr>
        <w:t>。</w:t>
      </w:r>
    </w:p>
    <w:p w14:paraId="7A718C2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3AE60990">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社会公众满意度</w:t>
      </w:r>
      <w:r>
        <w:rPr>
          <w:rFonts w:hint="default" w:ascii="Times New Roman" w:hAnsi="Times New Roman" w:eastAsia="仿宋_GB2312" w:cs="Times New Roman"/>
          <w:sz w:val="32"/>
          <w:szCs w:val="32"/>
          <w:highlight w:val="none"/>
        </w:rPr>
        <w:t>，指标值：</w:t>
      </w:r>
      <w:r>
        <w:rPr>
          <w:rFonts w:hint="eastAsia" w:ascii="宋体" w:hAnsi="宋体" w:eastAsia="宋体" w:cs="宋体"/>
          <w:sz w:val="32"/>
          <w:szCs w:val="32"/>
          <w:highlight w:val="none"/>
          <w:lang w:val="en-US" w:eastAsia="zh-CN"/>
        </w:rPr>
        <w:t>≧</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val="en-US" w:eastAsia="zh-CN"/>
        </w:rPr>
        <w:t>。</w:t>
      </w:r>
    </w:p>
    <w:p w14:paraId="67FF922A">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办案人员满意度</w:t>
      </w:r>
      <w:r>
        <w:rPr>
          <w:rFonts w:hint="default" w:ascii="Times New Roman" w:hAnsi="Times New Roman" w:eastAsia="仿宋_GB2312" w:cs="Times New Roman"/>
          <w:sz w:val="32"/>
          <w:szCs w:val="32"/>
          <w:highlight w:val="none"/>
        </w:rPr>
        <w:t>，指标值：</w:t>
      </w:r>
      <w:r>
        <w:rPr>
          <w:rFonts w:hint="eastAsia" w:ascii="宋体" w:hAnsi="宋体" w:eastAsia="宋体" w:cs="宋体"/>
          <w:sz w:val="32"/>
          <w:szCs w:val="32"/>
          <w:highlight w:val="none"/>
          <w:lang w:val="en-US" w:eastAsia="zh-CN"/>
        </w:rPr>
        <w:t>≧</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val="en-US" w:eastAsia="zh-CN"/>
        </w:rPr>
        <w:t>。</w:t>
      </w:r>
    </w:p>
    <w:p w14:paraId="6B64AFA6">
      <w:pPr>
        <w:shd w:val="clear" w:color="auto" w:fill="auto"/>
        <w:spacing w:line="600" w:lineRule="exact"/>
        <w:ind w:firstLine="640" w:firstLineChars="200"/>
        <w:outlineLvl w:val="0"/>
        <w:rPr>
          <w:rFonts w:hint="default"/>
          <w:lang w:val="en-US" w:eastAsia="zh-CN"/>
        </w:rPr>
      </w:pPr>
      <w:r>
        <w:rPr>
          <w:rFonts w:hint="default" w:ascii="仿宋_GB2312" w:hAnsi="仿宋_GB2312" w:eastAsia="仿宋_GB2312" w:cs="仿宋_GB2312"/>
          <w:b w:val="0"/>
          <w:bCs w:val="0"/>
          <w:color w:val="auto"/>
          <w:kern w:val="28"/>
          <w:sz w:val="32"/>
          <w:szCs w:val="32"/>
          <w:lang w:val="en-US" w:eastAsia="zh-CN" w:bidi="ar-SA"/>
        </w:rPr>
        <w:t>此项权重分</w:t>
      </w:r>
      <w:r>
        <w:rPr>
          <w:rFonts w:hint="eastAsia" w:ascii="仿宋_GB2312" w:hAnsi="仿宋_GB2312" w:eastAsia="仿宋_GB2312" w:cs="仿宋_GB2312"/>
          <w:b w:val="0"/>
          <w:bCs w:val="0"/>
          <w:color w:val="auto"/>
          <w:kern w:val="28"/>
          <w:sz w:val="32"/>
          <w:szCs w:val="32"/>
          <w:lang w:val="en-US" w:eastAsia="zh-CN" w:bidi="ar-SA"/>
        </w:rPr>
        <w:t>10</w:t>
      </w:r>
      <w:r>
        <w:rPr>
          <w:rFonts w:hint="default" w:ascii="仿宋_GB2312" w:hAnsi="仿宋_GB2312" w:eastAsia="仿宋_GB2312" w:cs="仿宋_GB2312"/>
          <w:b w:val="0"/>
          <w:bCs w:val="0"/>
          <w:color w:val="auto"/>
          <w:kern w:val="28"/>
          <w:sz w:val="32"/>
          <w:szCs w:val="32"/>
          <w:lang w:val="en-US" w:eastAsia="zh-CN" w:bidi="ar-SA"/>
        </w:rPr>
        <w:t>分，得分</w:t>
      </w:r>
      <w:r>
        <w:rPr>
          <w:rFonts w:hint="eastAsia" w:ascii="仿宋_GB2312" w:hAnsi="仿宋_GB2312" w:eastAsia="仿宋_GB2312" w:cs="仿宋_GB2312"/>
          <w:b w:val="0"/>
          <w:bCs w:val="0"/>
          <w:color w:val="auto"/>
          <w:kern w:val="28"/>
          <w:sz w:val="32"/>
          <w:szCs w:val="32"/>
          <w:lang w:val="en-US" w:eastAsia="zh-CN" w:bidi="ar-SA"/>
        </w:rPr>
        <w:t>10</w:t>
      </w:r>
      <w:r>
        <w:rPr>
          <w:rFonts w:hint="default" w:ascii="仿宋_GB2312" w:hAnsi="仿宋_GB2312" w:eastAsia="仿宋_GB2312" w:cs="仿宋_GB2312"/>
          <w:b w:val="0"/>
          <w:bCs w:val="0"/>
          <w:color w:val="auto"/>
          <w:kern w:val="28"/>
          <w:sz w:val="32"/>
          <w:szCs w:val="32"/>
          <w:lang w:val="en-US" w:eastAsia="zh-CN" w:bidi="ar-SA"/>
        </w:rPr>
        <w:t>分</w:t>
      </w:r>
      <w:r>
        <w:rPr>
          <w:rFonts w:hint="eastAsia" w:eastAsia="仿宋_GB2312" w:cs="Times New Roman"/>
          <w:sz w:val="32"/>
          <w:szCs w:val="32"/>
          <w:highlight w:val="none"/>
          <w:lang w:val="en-US" w:eastAsia="zh-CN"/>
        </w:rPr>
        <w:t>。</w:t>
      </w:r>
    </w:p>
    <w:p w14:paraId="4E2D9CD2">
      <w:pPr>
        <w:spacing w:line="560" w:lineRule="exact"/>
        <w:ind w:firstLine="643" w:firstLineChars="200"/>
        <w:rPr>
          <w:rFonts w:hint="default" w:ascii="Times New Roman" w:hAnsi="Times New Roman" w:eastAsia="楷体_GB2312" w:cs="Times New Roman"/>
          <w:b/>
          <w:bCs/>
          <w:sz w:val="32"/>
          <w:szCs w:val="32"/>
          <w:highlight w:val="none"/>
          <w:lang w:val="en-US"/>
        </w:rPr>
      </w:pPr>
      <w:r>
        <w:rPr>
          <w:rFonts w:hint="default" w:ascii="Times New Roman" w:hAnsi="Times New Roman" w:eastAsia="楷体_GB2312" w:cs="Times New Roman"/>
          <w:b/>
          <w:bCs/>
          <w:sz w:val="32"/>
          <w:szCs w:val="32"/>
          <w:highlight w:val="none"/>
          <w:lang w:val="en-US" w:eastAsia="zh-CN"/>
        </w:rPr>
        <w:t>（五）</w:t>
      </w:r>
      <w:r>
        <w:rPr>
          <w:rFonts w:hint="default" w:ascii="Times New Roman" w:hAnsi="Times New Roman" w:eastAsia="楷体_GB2312" w:cs="Times New Roman"/>
          <w:b/>
          <w:bCs/>
          <w:sz w:val="32"/>
          <w:szCs w:val="32"/>
          <w:highlight w:val="none"/>
          <w:lang w:val="en-US"/>
        </w:rPr>
        <w:t>预算执行进度与绩效指标总体完成率偏差</w:t>
      </w:r>
    </w:p>
    <w:p w14:paraId="0FB5A1C9">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2024年综合业务费用项目年初预算</w:t>
      </w:r>
      <w:r>
        <w:rPr>
          <w:rFonts w:hint="eastAsia" w:eastAsia="仿宋_GB2312" w:cs="Times New Roman"/>
          <w:sz w:val="32"/>
          <w:szCs w:val="32"/>
          <w:highlight w:val="none"/>
          <w:lang w:val="en-US" w:eastAsia="zh-CN"/>
        </w:rPr>
        <w:t>2</w:t>
      </w:r>
      <w:r>
        <w:rPr>
          <w:rFonts w:hint="eastAsia" w:ascii="Times New Roman" w:hAnsi="Times New Roman" w:eastAsia="仿宋_GB2312" w:cs="Times New Roman"/>
          <w:sz w:val="32"/>
          <w:szCs w:val="32"/>
          <w:highlight w:val="none"/>
          <w:lang w:val="en-US" w:eastAsia="zh-CN"/>
        </w:rPr>
        <w:t>48</w:t>
      </w:r>
      <w:r>
        <w:rPr>
          <w:rFonts w:hint="default" w:ascii="Times New Roman" w:hAnsi="Times New Roman" w:eastAsia="仿宋_GB2312" w:cs="Times New Roman"/>
          <w:sz w:val="32"/>
          <w:szCs w:val="32"/>
          <w:highlight w:val="none"/>
        </w:rPr>
        <w:t>万元，全年预算</w:t>
      </w:r>
      <w:r>
        <w:rPr>
          <w:rFonts w:hint="eastAsia" w:ascii="Times New Roman" w:hAnsi="Times New Roman" w:eastAsia="仿宋_GB2312" w:cs="Times New Roman"/>
          <w:sz w:val="32"/>
          <w:szCs w:val="32"/>
          <w:highlight w:val="none"/>
          <w:lang w:val="en-US" w:eastAsia="zh-CN"/>
        </w:rPr>
        <w:t>307</w:t>
      </w:r>
      <w:r>
        <w:rPr>
          <w:rFonts w:hint="default" w:ascii="Times New Roman" w:hAnsi="Times New Roman" w:eastAsia="仿宋_GB2312" w:cs="Times New Roman"/>
          <w:sz w:val="32"/>
          <w:szCs w:val="32"/>
          <w:highlight w:val="none"/>
        </w:rPr>
        <w:t>万元，实际支出</w:t>
      </w:r>
      <w:r>
        <w:rPr>
          <w:rFonts w:hint="eastAsia" w:ascii="Times New Roman" w:hAnsi="Times New Roman" w:eastAsia="仿宋_GB2312" w:cs="Times New Roman"/>
          <w:sz w:val="32"/>
          <w:szCs w:val="32"/>
          <w:highlight w:val="none"/>
          <w:lang w:val="en-US" w:eastAsia="zh-CN"/>
        </w:rPr>
        <w:t>306.74</w:t>
      </w:r>
      <w:r>
        <w:rPr>
          <w:rFonts w:hint="default" w:ascii="Times New Roman" w:hAnsi="Times New Roman" w:eastAsia="仿宋_GB2312" w:cs="Times New Roman"/>
          <w:sz w:val="32"/>
          <w:szCs w:val="32"/>
          <w:highlight w:val="none"/>
        </w:rPr>
        <w:t>万元，预算执行率为</w:t>
      </w:r>
      <w:r>
        <w:rPr>
          <w:rFonts w:hint="eastAsia" w:ascii="Times New Roman" w:hAnsi="Times New Roman" w:eastAsia="仿宋_GB2312" w:cs="Times New Roman"/>
          <w:sz w:val="32"/>
          <w:szCs w:val="32"/>
          <w:highlight w:val="none"/>
          <w:lang w:val="en-US" w:eastAsia="zh-CN"/>
        </w:rPr>
        <w:t>99.9</w:t>
      </w:r>
      <w:r>
        <w:rPr>
          <w:rFonts w:hint="default" w:ascii="Times New Roman" w:hAnsi="Times New Roman" w:eastAsia="仿宋_GB2312" w:cs="Times New Roman"/>
          <w:sz w:val="32"/>
          <w:szCs w:val="32"/>
          <w:highlight w:val="none"/>
        </w:rPr>
        <w:t>%，项目绩效指标总体完成率为</w:t>
      </w:r>
      <w:r>
        <w:rPr>
          <w:rFonts w:hint="eastAsia" w:ascii="Times New Roman" w:hAnsi="Times New Roman" w:eastAsia="仿宋_GB2312" w:cs="Times New Roman"/>
          <w:sz w:val="32"/>
          <w:szCs w:val="32"/>
          <w:highlight w:val="none"/>
          <w:lang w:val="en-US" w:eastAsia="zh-CN"/>
        </w:rPr>
        <w:t>102.34</w:t>
      </w:r>
      <w:r>
        <w:rPr>
          <w:rFonts w:hint="default" w:ascii="Times New Roman" w:hAnsi="Times New Roman" w:eastAsia="仿宋_GB2312" w:cs="Times New Roman"/>
          <w:sz w:val="32"/>
          <w:szCs w:val="32"/>
          <w:highlight w:val="none"/>
        </w:rPr>
        <w:t>%，总体偏差率为</w:t>
      </w:r>
      <w:r>
        <w:rPr>
          <w:rFonts w:hint="eastAsia" w:ascii="Times New Roman" w:hAnsi="Times New Roman" w:eastAsia="仿宋_GB2312" w:cs="Times New Roman"/>
          <w:sz w:val="32"/>
          <w:szCs w:val="32"/>
          <w:highlight w:val="none"/>
          <w:lang w:val="en-US" w:eastAsia="zh-CN"/>
        </w:rPr>
        <w:t>2.44</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偏差原因结案效率提升，改进措施今后将均衡结案</w:t>
      </w:r>
      <w:r>
        <w:rPr>
          <w:rFonts w:hint="eastAsia" w:eastAsia="仿宋_GB2312" w:cs="Times New Roman"/>
          <w:sz w:val="32"/>
          <w:szCs w:val="32"/>
          <w:highlight w:val="none"/>
          <w:lang w:val="en-US" w:eastAsia="zh-CN"/>
        </w:rPr>
        <w:t>。</w:t>
      </w:r>
    </w:p>
    <w:p w14:paraId="619314BB">
      <w:pPr>
        <w:spacing w:line="560" w:lineRule="exact"/>
        <w:ind w:firstLine="640" w:firstLineChars="200"/>
        <w:rPr>
          <w:rStyle w:val="19"/>
          <w:rFonts w:hint="default" w:ascii="Times New Roman" w:hAnsi="Times New Roman" w:cs="Times New Roman"/>
          <w:color w:val="auto"/>
          <w:highlight w:val="none"/>
        </w:rPr>
      </w:pPr>
      <w:r>
        <w:rPr>
          <w:rFonts w:hint="eastAsia" w:eastAsia="黑体" w:cs="Times New Roman"/>
          <w:sz w:val="32"/>
          <w:szCs w:val="32"/>
          <w:highlight w:val="none"/>
          <w:lang w:val="en-US" w:eastAsia="zh-CN"/>
        </w:rPr>
        <w:t>五</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黑体" w:cs="Times New Roman"/>
          <w:sz w:val="32"/>
          <w:szCs w:val="32"/>
          <w:highlight w:val="none"/>
        </w:rPr>
        <w:t>主要经验及做法、存在的问题及原因分析</w:t>
      </w:r>
    </w:p>
    <w:p w14:paraId="66F96F14">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5E8C868F">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严格坚持先做事、后验收、再拨付的原则，</w:t>
      </w:r>
      <w:r>
        <w:rPr>
          <w:rFonts w:hint="eastAsia" w:ascii="Times New Roman" w:hAnsi="Times New Roman" w:eastAsia="仿宋_GB2312" w:cs="Times New Roman"/>
          <w:sz w:val="32"/>
          <w:szCs w:val="32"/>
          <w:lang w:eastAsia="zh-CN"/>
        </w:rPr>
        <w:t>杜绝</w:t>
      </w:r>
      <w:r>
        <w:rPr>
          <w:rFonts w:hint="default" w:ascii="Times New Roman" w:hAnsi="Times New Roman" w:eastAsia="仿宋_GB2312" w:cs="Times New Roman"/>
          <w:sz w:val="32"/>
          <w:szCs w:val="3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03C87A39">
      <w:pPr>
        <w:keepNext/>
        <w:keepLines/>
        <w:numPr>
          <w:ilvl w:val="0"/>
          <w:numId w:val="4"/>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4E48D41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p>
    <w:p w14:paraId="7A10046A">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328C5B7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5B69CC2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246E3CB3">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631B95D6">
      <w:pPr>
        <w:pStyle w:val="11"/>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2CB352B2">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183B9095">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1440" w:right="1558" w:bottom="1440" w:left="1800" w:header="851" w:footer="992" w:gutter="0"/>
          <w:pgNumType w:start="1"/>
          <w:cols w:space="425" w:num="1"/>
          <w:docGrid w:type="lines" w:linePitch="312" w:charSpace="0"/>
        </w:sectPr>
      </w:pPr>
    </w:p>
    <w:p w14:paraId="442B05EE">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14:paraId="4558CA23">
      <w:pPr>
        <w:pStyle w:val="20"/>
        <w:ind w:firstLine="562"/>
        <w:jc w:val="center"/>
        <w:rPr>
          <w:rFonts w:hint="eastAsia" w:ascii="仿宋_GB2312" w:hAnsi="仿宋_GB2312" w:eastAsia="仿宋_GB2312" w:cs="仿宋_GB2312"/>
          <w:sz w:val="28"/>
          <w:szCs w:val="40"/>
          <w:highlight w:val="none"/>
        </w:rPr>
      </w:pPr>
      <w:bookmarkStart w:id="1" w:name="_Toc30064_WPSOffice_Level1"/>
      <w:bookmarkStart w:id="2" w:name="_Toc26499_WPSOffice_Level2"/>
      <w:r>
        <w:rPr>
          <w:rFonts w:hint="eastAsia" w:ascii="仿宋_GB2312" w:hAnsi="仿宋_GB2312" w:eastAsia="仿宋_GB2312" w:cs="仿宋_GB2312"/>
          <w:b/>
          <w:bCs/>
          <w:sz w:val="28"/>
          <w:szCs w:val="40"/>
          <w:highlight w:val="none"/>
          <w:lang w:val="en-US" w:eastAsia="zh-CN"/>
        </w:rPr>
        <w:t>2024年综合业务费用项目</w:t>
      </w:r>
      <w:r>
        <w:rPr>
          <w:rFonts w:hint="eastAsia" w:ascii="仿宋_GB2312" w:hAnsi="仿宋_GB2312" w:eastAsia="仿宋_GB2312" w:cs="仿宋_GB2312"/>
          <w:b/>
          <w:bCs/>
          <w:sz w:val="28"/>
          <w:szCs w:val="40"/>
          <w:highlight w:val="none"/>
        </w:rPr>
        <w:t>绩效评价指标体系及综合评分表</w:t>
      </w:r>
      <w:bookmarkEnd w:id="1"/>
      <w:bookmarkEnd w:id="2"/>
    </w:p>
    <w:tbl>
      <w:tblPr>
        <w:tblStyle w:val="12"/>
        <w:tblW w:w="4474"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004"/>
        <w:gridCol w:w="1000"/>
        <w:gridCol w:w="1071"/>
        <w:gridCol w:w="1726"/>
        <w:gridCol w:w="5216"/>
        <w:gridCol w:w="1300"/>
        <w:gridCol w:w="1366"/>
      </w:tblGrid>
      <w:tr w14:paraId="5130DC9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14:paraId="537433B8">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一级指标</w:t>
            </w:r>
          </w:p>
        </w:tc>
        <w:tc>
          <w:tcPr>
            <w:tcW w:w="394" w:type="pct"/>
            <w:shd w:val="clear" w:color="auto" w:fill="FFFFFF"/>
            <w:vAlign w:val="center"/>
          </w:tcPr>
          <w:p w14:paraId="20EB8DA6">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二级指标</w:t>
            </w:r>
          </w:p>
        </w:tc>
        <w:tc>
          <w:tcPr>
            <w:tcW w:w="422" w:type="pct"/>
            <w:shd w:val="clear" w:color="auto" w:fill="FFFFFF"/>
            <w:vAlign w:val="center"/>
          </w:tcPr>
          <w:p w14:paraId="47A348D7">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三级指标</w:t>
            </w:r>
          </w:p>
        </w:tc>
        <w:tc>
          <w:tcPr>
            <w:tcW w:w="680" w:type="pct"/>
            <w:shd w:val="clear" w:color="auto" w:fill="FFFFFF"/>
            <w:vAlign w:val="center"/>
          </w:tcPr>
          <w:p w14:paraId="11C9856F">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指标解释</w:t>
            </w:r>
          </w:p>
        </w:tc>
        <w:tc>
          <w:tcPr>
            <w:tcW w:w="2055" w:type="pct"/>
            <w:shd w:val="clear" w:color="auto" w:fill="FFFFFF"/>
            <w:vAlign w:val="center"/>
          </w:tcPr>
          <w:p w14:paraId="7106EDAD">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指标说明</w:t>
            </w:r>
          </w:p>
        </w:tc>
        <w:tc>
          <w:tcPr>
            <w:tcW w:w="512" w:type="pct"/>
            <w:shd w:val="clear" w:color="auto" w:fill="FFFFFF"/>
            <w:vAlign w:val="center"/>
          </w:tcPr>
          <w:p w14:paraId="279B3117">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权重</w:t>
            </w:r>
          </w:p>
        </w:tc>
        <w:tc>
          <w:tcPr>
            <w:tcW w:w="538" w:type="pct"/>
            <w:shd w:val="clear" w:color="auto" w:fill="FFFFFF"/>
            <w:vAlign w:val="center"/>
          </w:tcPr>
          <w:p w14:paraId="1430AE91">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得分</w:t>
            </w:r>
          </w:p>
        </w:tc>
      </w:tr>
      <w:tr w14:paraId="3917521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14:paraId="2F795718">
            <w:pPr>
              <w:widowControl/>
              <w:spacing w:line="0" w:lineRule="atLeast"/>
              <w:jc w:val="center"/>
              <w:rPr>
                <w:rFonts w:hint="default" w:ascii="Times New Roman" w:hAnsi="Times New Roman" w:eastAsia="仿宋_GB2312" w:cs="Times New Roman"/>
                <w:color w:val="000000"/>
                <w:kern w:val="0"/>
                <w:sz w:val="18"/>
                <w:szCs w:val="18"/>
                <w:highlight w:val="none"/>
              </w:rPr>
            </w:pPr>
          </w:p>
          <w:p w14:paraId="7E66476E">
            <w:pPr>
              <w:widowControl/>
              <w:spacing w:line="0" w:lineRule="atLeast"/>
              <w:jc w:val="center"/>
              <w:rPr>
                <w:rFonts w:hint="default" w:ascii="Times New Roman" w:hAnsi="Times New Roman" w:eastAsia="仿宋_GB2312" w:cs="Times New Roman"/>
                <w:color w:val="000000"/>
                <w:kern w:val="0"/>
                <w:sz w:val="18"/>
                <w:szCs w:val="18"/>
                <w:highlight w:val="none"/>
              </w:rPr>
            </w:pPr>
          </w:p>
          <w:p w14:paraId="65062991">
            <w:pPr>
              <w:widowControl/>
              <w:spacing w:line="0" w:lineRule="atLeast"/>
              <w:jc w:val="center"/>
              <w:rPr>
                <w:rFonts w:hint="default" w:ascii="Times New Roman" w:hAnsi="Times New Roman" w:eastAsia="仿宋_GB2312" w:cs="Times New Roman"/>
                <w:color w:val="000000"/>
                <w:kern w:val="0"/>
                <w:sz w:val="18"/>
                <w:szCs w:val="18"/>
                <w:highlight w:val="none"/>
              </w:rPr>
            </w:pPr>
          </w:p>
          <w:p w14:paraId="2859C6C5">
            <w:pPr>
              <w:widowControl/>
              <w:spacing w:line="0" w:lineRule="atLeast"/>
              <w:jc w:val="center"/>
              <w:rPr>
                <w:rFonts w:hint="default" w:ascii="Times New Roman" w:hAnsi="Times New Roman" w:eastAsia="仿宋_GB2312" w:cs="Times New Roman"/>
                <w:color w:val="000000"/>
                <w:kern w:val="0"/>
                <w:sz w:val="18"/>
                <w:szCs w:val="18"/>
                <w:highlight w:val="none"/>
              </w:rPr>
            </w:pPr>
          </w:p>
          <w:p w14:paraId="77D0F8B6">
            <w:pPr>
              <w:widowControl/>
              <w:spacing w:line="0" w:lineRule="atLeast"/>
              <w:jc w:val="center"/>
              <w:rPr>
                <w:rFonts w:hint="default" w:ascii="Times New Roman" w:hAnsi="Times New Roman" w:eastAsia="仿宋_GB2312" w:cs="Times New Roman"/>
                <w:color w:val="000000"/>
                <w:kern w:val="0"/>
                <w:sz w:val="18"/>
                <w:szCs w:val="18"/>
                <w:highlight w:val="none"/>
              </w:rPr>
            </w:pPr>
          </w:p>
          <w:p w14:paraId="1F7F8AC1">
            <w:pPr>
              <w:widowControl/>
              <w:spacing w:line="0" w:lineRule="atLeast"/>
              <w:jc w:val="center"/>
              <w:rPr>
                <w:rFonts w:hint="default" w:ascii="Times New Roman" w:hAnsi="Times New Roman" w:eastAsia="仿宋_GB2312" w:cs="Times New Roman"/>
                <w:color w:val="000000"/>
                <w:kern w:val="0"/>
                <w:sz w:val="18"/>
                <w:szCs w:val="18"/>
                <w:highlight w:val="none"/>
              </w:rPr>
            </w:pPr>
          </w:p>
          <w:p w14:paraId="31B8C586">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决策　</w:t>
            </w:r>
          </w:p>
        </w:tc>
        <w:tc>
          <w:tcPr>
            <w:tcW w:w="394" w:type="pct"/>
            <w:vMerge w:val="restart"/>
            <w:shd w:val="clear" w:color="auto" w:fill="FFFFFF"/>
            <w:vAlign w:val="center"/>
          </w:tcPr>
          <w:p w14:paraId="590F7546">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项目立项　</w:t>
            </w:r>
          </w:p>
        </w:tc>
        <w:tc>
          <w:tcPr>
            <w:tcW w:w="422" w:type="pct"/>
            <w:shd w:val="clear" w:color="auto" w:fill="FFFFFF"/>
            <w:vAlign w:val="center"/>
          </w:tcPr>
          <w:p w14:paraId="730917FC">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立项依据</w:t>
            </w:r>
          </w:p>
          <w:p w14:paraId="549E22D0">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充分性</w:t>
            </w:r>
          </w:p>
        </w:tc>
        <w:tc>
          <w:tcPr>
            <w:tcW w:w="680" w:type="pct"/>
            <w:shd w:val="clear" w:color="auto" w:fill="FFFFFF"/>
            <w:vAlign w:val="center"/>
          </w:tcPr>
          <w:p w14:paraId="5D2F06A8">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项目立项是否符合法律法规、相关政策、发展规划以及部门职责，用以反映和考核项目立项依据情况。</w:t>
            </w:r>
          </w:p>
        </w:tc>
        <w:tc>
          <w:tcPr>
            <w:tcW w:w="2055" w:type="pct"/>
            <w:shd w:val="clear" w:color="auto" w:fill="FFFFFF"/>
            <w:vAlign w:val="center"/>
          </w:tcPr>
          <w:p w14:paraId="5FD53FDD">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①项目立项是否符合国家法律法规、国民经济发展规划和相关政策；</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②项目立项是否符合行业发展规划和政策要求；</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③项目立项是否与部门职责范围相符，属于部门履职所需；</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⑤项目是否与相关部门同类项目或部门内部相关项目重复。</w:t>
            </w:r>
          </w:p>
        </w:tc>
        <w:tc>
          <w:tcPr>
            <w:tcW w:w="512" w:type="pct"/>
            <w:shd w:val="clear" w:color="auto" w:fill="FFFFFF"/>
            <w:vAlign w:val="center"/>
          </w:tcPr>
          <w:p w14:paraId="5046718A">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auto" w:fill="FFFFFF"/>
            <w:vAlign w:val="center"/>
          </w:tcPr>
          <w:p w14:paraId="123D44F0">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14:paraId="4A2BF01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14:paraId="471D21F9">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14:paraId="589C9E1B">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14:paraId="09E2FA3E">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立项程序</w:t>
            </w:r>
          </w:p>
          <w:p w14:paraId="5192742F">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规范性</w:t>
            </w:r>
          </w:p>
        </w:tc>
        <w:tc>
          <w:tcPr>
            <w:tcW w:w="680" w:type="pct"/>
            <w:shd w:val="clear" w:color="auto" w:fill="FFFFFF"/>
            <w:vAlign w:val="center"/>
          </w:tcPr>
          <w:p w14:paraId="05F1C3A5">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项目申请、设立过程是否符合相关要求，用以反映和考核项目立项的规范情况。</w:t>
            </w:r>
          </w:p>
        </w:tc>
        <w:tc>
          <w:tcPr>
            <w:tcW w:w="2055" w:type="pct"/>
            <w:shd w:val="clear" w:color="auto" w:fill="FFFFFF"/>
            <w:vAlign w:val="center"/>
          </w:tcPr>
          <w:p w14:paraId="049BBADE">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①项目是否按照规定的程序申请设立；</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②审批文件、材料是否符合相关要求；</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③事前是否已经过必要的可行性研究、专家论证、风险评估、绩效评估、集体决策。</w:t>
            </w:r>
          </w:p>
        </w:tc>
        <w:tc>
          <w:tcPr>
            <w:tcW w:w="512" w:type="pct"/>
            <w:shd w:val="clear" w:color="auto" w:fill="FFFFFF"/>
            <w:vAlign w:val="center"/>
          </w:tcPr>
          <w:p w14:paraId="0D58C4F9">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auto" w:fill="FFFFFF"/>
            <w:vAlign w:val="center"/>
          </w:tcPr>
          <w:p w14:paraId="3B39C75B">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14:paraId="087D032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14:paraId="1E94DADF">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restart"/>
            <w:shd w:val="clear" w:color="auto" w:fill="FFFFFF"/>
            <w:vAlign w:val="center"/>
          </w:tcPr>
          <w:p w14:paraId="0A7F5A06">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绩效目标　</w:t>
            </w:r>
          </w:p>
        </w:tc>
        <w:tc>
          <w:tcPr>
            <w:tcW w:w="422" w:type="pct"/>
            <w:shd w:val="clear" w:color="auto" w:fill="FFFFFF"/>
            <w:vAlign w:val="center"/>
          </w:tcPr>
          <w:p w14:paraId="113D8807">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绩效目标</w:t>
            </w:r>
          </w:p>
          <w:p w14:paraId="215E79CC">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合理性</w:t>
            </w:r>
          </w:p>
        </w:tc>
        <w:tc>
          <w:tcPr>
            <w:tcW w:w="680" w:type="pct"/>
            <w:shd w:val="clear" w:color="000000" w:fill="FFFFFF"/>
            <w:vAlign w:val="center"/>
          </w:tcPr>
          <w:p w14:paraId="5F5E1D59">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项目所设定的绩效目标是否依据充分，是否符合客观实际，用以反映和考核项目绩效目标与项目实施的相符情况。</w:t>
            </w:r>
          </w:p>
        </w:tc>
        <w:tc>
          <w:tcPr>
            <w:tcW w:w="2055" w:type="pct"/>
            <w:shd w:val="clear" w:color="000000" w:fill="FFFFFF"/>
            <w:vAlign w:val="center"/>
          </w:tcPr>
          <w:p w14:paraId="0F34E99B">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（如未设定预算绩效目标，也可考核其他工作任务目标）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①项目是否有绩效目标；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②项目绩效目标与实际工作内容是否具有相关性；</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③项目预期产出效益和效果是否符合正常的业绩水平；</w:t>
            </w:r>
          </w:p>
          <w:p w14:paraId="34F17C26">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④是否与预算确定的项目投资额或资金量相匹配。</w:t>
            </w:r>
          </w:p>
        </w:tc>
        <w:tc>
          <w:tcPr>
            <w:tcW w:w="512" w:type="pct"/>
            <w:shd w:val="clear" w:color="000000" w:fill="FFFFFF"/>
            <w:vAlign w:val="center"/>
          </w:tcPr>
          <w:p w14:paraId="32182B2F">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000000" w:fill="FFFFFF"/>
            <w:vAlign w:val="center"/>
          </w:tcPr>
          <w:p w14:paraId="0A8A219C">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14:paraId="18A44A5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14:paraId="7F82891B">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14:paraId="1A776C80">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14:paraId="65537516">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绩效指标</w:t>
            </w:r>
          </w:p>
          <w:p w14:paraId="3FB39129">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明确性</w:t>
            </w:r>
          </w:p>
        </w:tc>
        <w:tc>
          <w:tcPr>
            <w:tcW w:w="680" w:type="pct"/>
            <w:shd w:val="clear" w:color="000000" w:fill="FFFFFF"/>
            <w:vAlign w:val="center"/>
          </w:tcPr>
          <w:p w14:paraId="56A5FE5E">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依据绩效目标设定的绩效指标是否清晰、细化、可衡量等，用以反映和考核项目绩效目标的明细化情况。</w:t>
            </w:r>
          </w:p>
        </w:tc>
        <w:tc>
          <w:tcPr>
            <w:tcW w:w="2055" w:type="pct"/>
            <w:shd w:val="clear" w:color="000000" w:fill="FFFFFF"/>
            <w:vAlign w:val="center"/>
          </w:tcPr>
          <w:p w14:paraId="66BD44C2">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①是否将项目绩效目标细化分解为具体的绩效指标；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②是否通过清晰、可衡量的指标值予以体现；</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③是否与项目目标任务数或计划数相对应。</w:t>
            </w:r>
            <w:r>
              <w:rPr>
                <w:rFonts w:hint="default" w:ascii="Times New Roman" w:hAnsi="Times New Roman" w:eastAsia="仿宋_GB2312" w:cs="Times New Roman"/>
                <w:color w:val="000000"/>
                <w:kern w:val="0"/>
                <w:sz w:val="18"/>
                <w:szCs w:val="18"/>
                <w:highlight w:val="none"/>
              </w:rPr>
              <w:br w:type="textWrapping"/>
            </w:r>
          </w:p>
        </w:tc>
        <w:tc>
          <w:tcPr>
            <w:tcW w:w="512" w:type="pct"/>
            <w:shd w:val="clear" w:color="000000" w:fill="FFFFFF"/>
            <w:vAlign w:val="center"/>
          </w:tcPr>
          <w:p w14:paraId="33342261">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000000" w:fill="FFFFFF"/>
            <w:vAlign w:val="center"/>
          </w:tcPr>
          <w:p w14:paraId="2B4D60FF">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14:paraId="734516E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14:paraId="0D30AF36">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restart"/>
            <w:shd w:val="clear" w:color="auto" w:fill="FFFFFF"/>
            <w:vAlign w:val="center"/>
          </w:tcPr>
          <w:p w14:paraId="2DF0DAF1">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资金投入</w:t>
            </w:r>
          </w:p>
          <w:p w14:paraId="0727F910">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422" w:type="pct"/>
            <w:shd w:val="clear" w:color="auto" w:fill="FFFFFF"/>
            <w:vAlign w:val="center"/>
          </w:tcPr>
          <w:p w14:paraId="05CBDCAC">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预算编制</w:t>
            </w:r>
          </w:p>
          <w:p w14:paraId="780BC7E8">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科学性</w:t>
            </w:r>
          </w:p>
        </w:tc>
        <w:tc>
          <w:tcPr>
            <w:tcW w:w="680" w:type="pct"/>
            <w:shd w:val="clear" w:color="auto" w:fill="FFFFFF"/>
            <w:vAlign w:val="center"/>
          </w:tcPr>
          <w:p w14:paraId="2D87F596">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14:paraId="17177FAE">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①预算编制是否经过科学论证；</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②预算内容与项目内容是否匹配；</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③预算额度测算依据是否充分，是否按照标准编制；</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④预算确定的项目投资额或资金量是否与工作任务相匹配。</w:t>
            </w:r>
          </w:p>
        </w:tc>
        <w:tc>
          <w:tcPr>
            <w:tcW w:w="512" w:type="pct"/>
            <w:shd w:val="clear" w:color="auto" w:fill="FFFFFF"/>
            <w:vAlign w:val="center"/>
          </w:tcPr>
          <w:p w14:paraId="5D1BFC9C">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14:paraId="50282400">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24DB499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14:paraId="01653A91">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14:paraId="65368A28">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14:paraId="5105D797">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资金分配</w:t>
            </w:r>
          </w:p>
          <w:p w14:paraId="51471BB7">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合理性</w:t>
            </w:r>
          </w:p>
        </w:tc>
        <w:tc>
          <w:tcPr>
            <w:tcW w:w="680" w:type="pct"/>
            <w:shd w:val="clear" w:color="auto" w:fill="FFFFFF"/>
            <w:vAlign w:val="center"/>
          </w:tcPr>
          <w:p w14:paraId="6E7CD12D">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14:paraId="790FFCC0">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①预算资金分配依据是否充分；</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②资金分配额度是否合理，与项目单位或地方实际是否相适应。</w:t>
            </w:r>
          </w:p>
        </w:tc>
        <w:tc>
          <w:tcPr>
            <w:tcW w:w="512" w:type="pct"/>
            <w:shd w:val="clear" w:color="auto" w:fill="FFFFFF"/>
            <w:vAlign w:val="center"/>
          </w:tcPr>
          <w:p w14:paraId="50953B63">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14:paraId="290C0D6A">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6FE21B8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14:paraId="67FB672B">
            <w:pPr>
              <w:spacing w:line="0" w:lineRule="atLeast"/>
              <w:jc w:val="center"/>
              <w:rPr>
                <w:rFonts w:hint="default" w:ascii="Times New Roman" w:hAnsi="Times New Roman" w:eastAsia="仿宋_GB2312" w:cs="Times New Roman"/>
                <w:color w:val="000000"/>
                <w:kern w:val="0"/>
                <w:sz w:val="18"/>
                <w:szCs w:val="18"/>
                <w:highlight w:val="none"/>
              </w:rPr>
            </w:pPr>
          </w:p>
          <w:p w14:paraId="63C64414">
            <w:pPr>
              <w:spacing w:line="0" w:lineRule="atLeast"/>
              <w:jc w:val="center"/>
              <w:rPr>
                <w:rFonts w:hint="default" w:ascii="Times New Roman" w:hAnsi="Times New Roman" w:eastAsia="仿宋_GB2312" w:cs="Times New Roman"/>
                <w:color w:val="000000"/>
                <w:kern w:val="0"/>
                <w:sz w:val="18"/>
                <w:szCs w:val="18"/>
                <w:highlight w:val="none"/>
              </w:rPr>
            </w:pPr>
          </w:p>
          <w:p w14:paraId="29DF8BAB">
            <w:pPr>
              <w:spacing w:line="0" w:lineRule="atLeast"/>
              <w:jc w:val="center"/>
              <w:rPr>
                <w:rFonts w:hint="default" w:ascii="Times New Roman" w:hAnsi="Times New Roman" w:eastAsia="仿宋_GB2312" w:cs="Times New Roman"/>
                <w:color w:val="000000"/>
                <w:kern w:val="0"/>
                <w:sz w:val="18"/>
                <w:szCs w:val="18"/>
                <w:highlight w:val="none"/>
              </w:rPr>
            </w:pPr>
          </w:p>
          <w:p w14:paraId="0E3A66BF">
            <w:pPr>
              <w:spacing w:line="0" w:lineRule="atLeast"/>
              <w:jc w:val="center"/>
              <w:rPr>
                <w:rFonts w:hint="default" w:ascii="Times New Roman" w:hAnsi="Times New Roman" w:eastAsia="仿宋_GB2312" w:cs="Times New Roman"/>
                <w:color w:val="000000"/>
                <w:kern w:val="0"/>
                <w:sz w:val="18"/>
                <w:szCs w:val="18"/>
                <w:highlight w:val="none"/>
              </w:rPr>
            </w:pPr>
          </w:p>
          <w:p w14:paraId="4630F797">
            <w:pPr>
              <w:spacing w:line="0" w:lineRule="atLeast"/>
              <w:jc w:val="center"/>
              <w:rPr>
                <w:rFonts w:hint="default" w:ascii="Times New Roman" w:hAnsi="Times New Roman" w:eastAsia="仿宋_GB2312" w:cs="Times New Roman"/>
                <w:color w:val="000000"/>
                <w:kern w:val="0"/>
                <w:sz w:val="18"/>
                <w:szCs w:val="18"/>
                <w:highlight w:val="none"/>
              </w:rPr>
            </w:pPr>
          </w:p>
          <w:p w14:paraId="73984509">
            <w:pPr>
              <w:spacing w:line="0" w:lineRule="atLeast"/>
              <w:jc w:val="center"/>
              <w:rPr>
                <w:rFonts w:hint="default" w:ascii="Times New Roman" w:hAnsi="Times New Roman" w:eastAsia="仿宋_GB2312" w:cs="Times New Roman"/>
                <w:color w:val="000000"/>
                <w:kern w:val="0"/>
                <w:sz w:val="18"/>
                <w:szCs w:val="18"/>
                <w:highlight w:val="none"/>
              </w:rPr>
            </w:pPr>
          </w:p>
          <w:p w14:paraId="04AA70AD">
            <w:pPr>
              <w:spacing w:line="0" w:lineRule="atLeast"/>
              <w:jc w:val="center"/>
              <w:rPr>
                <w:rFonts w:hint="default" w:ascii="Times New Roman" w:hAnsi="Times New Roman" w:eastAsia="仿宋_GB2312" w:cs="Times New Roman"/>
                <w:color w:val="000000"/>
                <w:kern w:val="0"/>
                <w:sz w:val="18"/>
                <w:szCs w:val="18"/>
                <w:highlight w:val="none"/>
              </w:rPr>
            </w:pPr>
          </w:p>
          <w:p w14:paraId="14A9D17A">
            <w:pPr>
              <w:spacing w:line="0" w:lineRule="atLeast"/>
              <w:jc w:val="center"/>
              <w:rPr>
                <w:rFonts w:hint="default" w:ascii="Times New Roman" w:hAnsi="Times New Roman" w:eastAsia="仿宋_GB2312" w:cs="Times New Roman"/>
                <w:color w:val="000000"/>
                <w:kern w:val="0"/>
                <w:sz w:val="18"/>
                <w:szCs w:val="18"/>
                <w:highlight w:val="none"/>
              </w:rPr>
            </w:pPr>
          </w:p>
          <w:p w14:paraId="77BBD9BE">
            <w:pPr>
              <w:spacing w:line="0" w:lineRule="atLeast"/>
              <w:jc w:val="center"/>
              <w:rPr>
                <w:rFonts w:hint="default" w:ascii="Times New Roman" w:hAnsi="Times New Roman" w:eastAsia="仿宋_GB2312" w:cs="Times New Roman"/>
                <w:color w:val="000000"/>
                <w:kern w:val="0"/>
                <w:sz w:val="18"/>
                <w:szCs w:val="18"/>
                <w:highlight w:val="none"/>
              </w:rPr>
            </w:pPr>
          </w:p>
          <w:p w14:paraId="39B0B193">
            <w:pPr>
              <w:spacing w:line="0" w:lineRule="atLeast"/>
              <w:jc w:val="center"/>
              <w:rPr>
                <w:rFonts w:hint="default" w:ascii="Times New Roman" w:hAnsi="Times New Roman" w:eastAsia="仿宋_GB2312" w:cs="Times New Roman"/>
                <w:color w:val="000000"/>
                <w:kern w:val="0"/>
                <w:sz w:val="18"/>
                <w:szCs w:val="18"/>
                <w:highlight w:val="none"/>
              </w:rPr>
            </w:pPr>
          </w:p>
          <w:p w14:paraId="2BBE9274">
            <w:pPr>
              <w:spacing w:line="0" w:lineRule="atLeast"/>
              <w:jc w:val="center"/>
              <w:rPr>
                <w:rFonts w:hint="default" w:ascii="Times New Roman" w:hAnsi="Times New Roman" w:eastAsia="仿宋_GB2312" w:cs="Times New Roman"/>
                <w:color w:val="000000"/>
                <w:kern w:val="0"/>
                <w:sz w:val="18"/>
                <w:szCs w:val="18"/>
                <w:highlight w:val="none"/>
              </w:rPr>
            </w:pPr>
          </w:p>
          <w:p w14:paraId="15A7F9E6">
            <w:pPr>
              <w:spacing w:line="0" w:lineRule="atLeast"/>
              <w:jc w:val="center"/>
              <w:rPr>
                <w:rFonts w:hint="default" w:ascii="Times New Roman" w:hAnsi="Times New Roman" w:eastAsia="仿宋_GB2312" w:cs="Times New Roman"/>
                <w:color w:val="000000"/>
                <w:kern w:val="0"/>
                <w:sz w:val="18"/>
                <w:szCs w:val="18"/>
                <w:highlight w:val="none"/>
              </w:rPr>
            </w:pPr>
          </w:p>
          <w:p w14:paraId="049F7EB0">
            <w:pPr>
              <w:spacing w:line="0" w:lineRule="atLeast"/>
              <w:jc w:val="center"/>
              <w:rPr>
                <w:rFonts w:hint="default" w:ascii="Times New Roman" w:hAnsi="Times New Roman" w:eastAsia="仿宋_GB2312" w:cs="Times New Roman"/>
                <w:color w:val="000000"/>
                <w:kern w:val="0"/>
                <w:sz w:val="18"/>
                <w:szCs w:val="18"/>
                <w:highlight w:val="none"/>
              </w:rPr>
            </w:pPr>
          </w:p>
          <w:p w14:paraId="44018143">
            <w:pPr>
              <w:spacing w:line="0" w:lineRule="atLeast"/>
              <w:jc w:val="center"/>
              <w:rPr>
                <w:rFonts w:hint="default" w:ascii="Times New Roman" w:hAnsi="Times New Roman" w:eastAsia="仿宋_GB2312" w:cs="Times New Roman"/>
                <w:color w:val="000000"/>
                <w:kern w:val="0"/>
                <w:sz w:val="18"/>
                <w:szCs w:val="18"/>
                <w:highlight w:val="none"/>
              </w:rPr>
            </w:pPr>
          </w:p>
          <w:p w14:paraId="72805804">
            <w:pPr>
              <w:spacing w:line="0" w:lineRule="atLeast"/>
              <w:jc w:val="center"/>
              <w:rPr>
                <w:rFonts w:hint="default" w:ascii="Times New Roman" w:hAnsi="Times New Roman" w:eastAsia="仿宋_GB2312" w:cs="Times New Roman"/>
                <w:color w:val="000000"/>
                <w:kern w:val="0"/>
                <w:sz w:val="18"/>
                <w:szCs w:val="18"/>
                <w:highlight w:val="none"/>
              </w:rPr>
            </w:pPr>
          </w:p>
          <w:p w14:paraId="7D2A49F2">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过程</w:t>
            </w:r>
          </w:p>
          <w:p w14:paraId="373A9B8D">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394" w:type="pct"/>
            <w:vMerge w:val="restart"/>
            <w:shd w:val="clear" w:color="auto" w:fill="FFFFFF"/>
            <w:vAlign w:val="center"/>
          </w:tcPr>
          <w:p w14:paraId="65E87C2F">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资金管理</w:t>
            </w:r>
          </w:p>
        </w:tc>
        <w:tc>
          <w:tcPr>
            <w:tcW w:w="422" w:type="pct"/>
            <w:shd w:val="clear" w:color="auto" w:fill="FFFFFF"/>
            <w:vAlign w:val="center"/>
          </w:tcPr>
          <w:p w14:paraId="7C5A7FBA">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资金到位率</w:t>
            </w:r>
          </w:p>
        </w:tc>
        <w:tc>
          <w:tcPr>
            <w:tcW w:w="680" w:type="pct"/>
            <w:shd w:val="clear" w:color="000000" w:fill="FFFFFF"/>
            <w:vAlign w:val="center"/>
          </w:tcPr>
          <w:p w14:paraId="5BAA0EA0">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实际到位资金与预算资金的比率，用以反映和考核资金落实情况对项目实施的总体保障程度。</w:t>
            </w:r>
          </w:p>
        </w:tc>
        <w:tc>
          <w:tcPr>
            <w:tcW w:w="2055" w:type="pct"/>
            <w:shd w:val="clear" w:color="000000" w:fill="FFFFFF"/>
            <w:vAlign w:val="center"/>
          </w:tcPr>
          <w:p w14:paraId="4EE04E94">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资金到位率=（实际到位资金/预算资金）×100%。</w:t>
            </w:r>
          </w:p>
          <w:p w14:paraId="69F3DE0F">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实际到位资金：一定时期（本年度或项目期）内落实到具体项目的资金。</w:t>
            </w:r>
          </w:p>
          <w:p w14:paraId="3A9DF5C5">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预算资金：一定时期（本年度或项目期）内预算安排到具体项目的资金。</w:t>
            </w:r>
          </w:p>
        </w:tc>
        <w:tc>
          <w:tcPr>
            <w:tcW w:w="512" w:type="pct"/>
            <w:shd w:val="clear" w:color="000000" w:fill="FFFFFF"/>
            <w:vAlign w:val="center"/>
          </w:tcPr>
          <w:p w14:paraId="1F33E5DF">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14:paraId="4101596A">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0A45161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14:paraId="40270F40">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14:paraId="072FD90A">
            <w:pPr>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14:paraId="1D4DED9C">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预算执行率</w:t>
            </w:r>
          </w:p>
        </w:tc>
        <w:tc>
          <w:tcPr>
            <w:tcW w:w="680" w:type="pct"/>
            <w:shd w:val="clear" w:color="auto" w:fill="FFFFFF"/>
            <w:vAlign w:val="center"/>
          </w:tcPr>
          <w:p w14:paraId="71755899">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项目预算资金是否按照计划执行，用以反映或考核项目预算执行情况。</w:t>
            </w:r>
          </w:p>
        </w:tc>
        <w:tc>
          <w:tcPr>
            <w:tcW w:w="2055" w:type="pct"/>
            <w:shd w:val="clear" w:color="auto" w:fill="FFFFFF"/>
            <w:vAlign w:val="center"/>
          </w:tcPr>
          <w:p w14:paraId="2EA7303F">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预算执行率=（实际支出资金/实际到位资金）×100%。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实际支出资金：一定时期（本年度或项目期）内项目实际拨付的资金。</w:t>
            </w:r>
          </w:p>
        </w:tc>
        <w:tc>
          <w:tcPr>
            <w:tcW w:w="512" w:type="pct"/>
            <w:shd w:val="clear" w:color="auto" w:fill="FFFFFF"/>
            <w:vAlign w:val="center"/>
          </w:tcPr>
          <w:p w14:paraId="4130C816">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14:paraId="021943E5">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3.9</w:t>
            </w:r>
          </w:p>
        </w:tc>
      </w:tr>
      <w:tr w14:paraId="51E7CBA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14:paraId="3B94688F">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14:paraId="6C3130B2">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资金管理</w:t>
            </w:r>
          </w:p>
        </w:tc>
        <w:tc>
          <w:tcPr>
            <w:tcW w:w="422" w:type="pct"/>
            <w:shd w:val="clear" w:color="auto" w:fill="FFFFFF"/>
            <w:vAlign w:val="center"/>
          </w:tcPr>
          <w:p w14:paraId="0595F95F">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资金使用</w:t>
            </w:r>
          </w:p>
          <w:p w14:paraId="38D7A53E">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合规性</w:t>
            </w:r>
          </w:p>
        </w:tc>
        <w:tc>
          <w:tcPr>
            <w:tcW w:w="680" w:type="pct"/>
            <w:shd w:val="clear" w:color="000000" w:fill="FFFFFF"/>
            <w:vAlign w:val="center"/>
          </w:tcPr>
          <w:p w14:paraId="503C1380">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项目资金使用是否符合相关的财务管理制度规定，用以反映和考核项目资金的规范运行情况。</w:t>
            </w:r>
          </w:p>
        </w:tc>
        <w:tc>
          <w:tcPr>
            <w:tcW w:w="2055" w:type="pct"/>
            <w:shd w:val="clear" w:color="000000" w:fill="FFFFFF"/>
            <w:vAlign w:val="center"/>
          </w:tcPr>
          <w:p w14:paraId="3D120834">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②资金的拨付是否有完整的审批程序和手续；</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③是否符合项目预算批复或合同规定的用途；</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④是否存在截留、挤占、挪用、虚列支出等情况。</w:t>
            </w:r>
          </w:p>
        </w:tc>
        <w:tc>
          <w:tcPr>
            <w:tcW w:w="512" w:type="pct"/>
            <w:shd w:val="clear" w:color="000000" w:fill="FFFFFF"/>
            <w:vAlign w:val="center"/>
          </w:tcPr>
          <w:p w14:paraId="5C3813E8">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14:paraId="13B86681">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5159C72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14:paraId="2FF9F6A5">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restart"/>
            <w:shd w:val="clear" w:color="auto" w:fill="FFFFFF"/>
            <w:vAlign w:val="center"/>
          </w:tcPr>
          <w:p w14:paraId="598478CD">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组织实施</w:t>
            </w:r>
          </w:p>
          <w:p w14:paraId="19E135AA">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422" w:type="pct"/>
            <w:shd w:val="clear" w:color="auto" w:fill="FFFFFF"/>
            <w:vAlign w:val="center"/>
          </w:tcPr>
          <w:p w14:paraId="2EAB9434">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管理制度</w:t>
            </w:r>
          </w:p>
          <w:p w14:paraId="31886350">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健全性</w:t>
            </w:r>
          </w:p>
        </w:tc>
        <w:tc>
          <w:tcPr>
            <w:tcW w:w="680" w:type="pct"/>
            <w:shd w:val="clear" w:color="000000" w:fill="FFFFFF"/>
            <w:vAlign w:val="center"/>
          </w:tcPr>
          <w:p w14:paraId="6D1A3AF3">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项目实施单位的财务和业务管理制度是否健全，用以反映和考核财务和业务管理制度对项目顺利实施的保障情况。</w:t>
            </w:r>
          </w:p>
        </w:tc>
        <w:tc>
          <w:tcPr>
            <w:tcW w:w="2055" w:type="pct"/>
            <w:shd w:val="clear" w:color="000000" w:fill="FFFFFF"/>
            <w:vAlign w:val="center"/>
          </w:tcPr>
          <w:p w14:paraId="5AFA75E1">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①是否已制定或具有相应的财务和业务管理制度；</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②财务和业务管理制度是否合法、合规、完整。</w:t>
            </w:r>
          </w:p>
        </w:tc>
        <w:tc>
          <w:tcPr>
            <w:tcW w:w="512" w:type="pct"/>
            <w:shd w:val="clear" w:color="000000" w:fill="FFFFFF"/>
            <w:vAlign w:val="center"/>
          </w:tcPr>
          <w:p w14:paraId="6523BF7F">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14:paraId="12867324">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799F1E7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14:paraId="65523D65">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14:paraId="209EE140">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14:paraId="66173A72">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制度执行</w:t>
            </w:r>
          </w:p>
          <w:p w14:paraId="536F3E2E">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有效性</w:t>
            </w:r>
          </w:p>
        </w:tc>
        <w:tc>
          <w:tcPr>
            <w:tcW w:w="680" w:type="pct"/>
            <w:shd w:val="clear" w:color="000000" w:fill="FFFFFF"/>
            <w:vAlign w:val="center"/>
          </w:tcPr>
          <w:p w14:paraId="10F19489">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项目实施是否符合相关管理规定，用以反映和考核相关管理制度的有效执行情况。</w:t>
            </w:r>
          </w:p>
        </w:tc>
        <w:tc>
          <w:tcPr>
            <w:tcW w:w="2055" w:type="pct"/>
            <w:shd w:val="clear" w:color="000000" w:fill="FFFFFF"/>
            <w:vAlign w:val="center"/>
          </w:tcPr>
          <w:p w14:paraId="2F1E7B74">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①是否遵守相关法律法规和相关管理规定；</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②项目调整及支出调整手续是否完备；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③项目合同书、验收报告、技术鉴定等资料是否齐全并及时归档；</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④项目实施的人员条件、场地设备、信息支撑等是否落实到位。</w:t>
            </w:r>
          </w:p>
        </w:tc>
        <w:tc>
          <w:tcPr>
            <w:tcW w:w="512" w:type="pct"/>
            <w:shd w:val="clear" w:color="000000" w:fill="FFFFFF"/>
            <w:vAlign w:val="center"/>
          </w:tcPr>
          <w:p w14:paraId="3558B313">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14:paraId="4E3D96BB">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1A5DFDA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14:paraId="6414EFED">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w:t>
            </w:r>
          </w:p>
        </w:tc>
        <w:tc>
          <w:tcPr>
            <w:tcW w:w="394" w:type="pct"/>
            <w:shd w:val="clear" w:color="auto" w:fill="FFFFFF"/>
            <w:vAlign w:val="center"/>
          </w:tcPr>
          <w:p w14:paraId="4151A172">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产出数量</w:t>
            </w:r>
          </w:p>
        </w:tc>
        <w:tc>
          <w:tcPr>
            <w:tcW w:w="422" w:type="pct"/>
            <w:shd w:val="clear" w:color="auto" w:fill="FFFFFF"/>
            <w:vAlign w:val="center"/>
          </w:tcPr>
          <w:p w14:paraId="2FBE1020">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实际完成率</w:t>
            </w:r>
          </w:p>
        </w:tc>
        <w:tc>
          <w:tcPr>
            <w:tcW w:w="680" w:type="pct"/>
            <w:shd w:val="clear" w:color="000000" w:fill="FFFFFF"/>
            <w:vAlign w:val="center"/>
          </w:tcPr>
          <w:p w14:paraId="68B06B44">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项目实施的实际产出数与计划产出数的比率，用以反映和考核项目产出数量目标的实现程度。</w:t>
            </w:r>
          </w:p>
        </w:tc>
        <w:tc>
          <w:tcPr>
            <w:tcW w:w="2055" w:type="pct"/>
            <w:shd w:val="clear" w:color="000000" w:fill="FFFFFF"/>
            <w:vAlign w:val="center"/>
          </w:tcPr>
          <w:p w14:paraId="3890D1AA">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实际完成率=（实际产出数/计划产出数）×100%。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计划产出数：项目绩效目标确定的在一定时期（本年度或项目期）内计划产出的产品或提供的服务数量。</w:t>
            </w:r>
          </w:p>
        </w:tc>
        <w:tc>
          <w:tcPr>
            <w:tcW w:w="512" w:type="pct"/>
            <w:shd w:val="clear" w:color="000000" w:fill="FFFFFF"/>
            <w:vAlign w:val="center"/>
          </w:tcPr>
          <w:p w14:paraId="5FC5F476">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14:paraId="7096C901">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14:paraId="53134A3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14:paraId="348EB8E7">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14:paraId="2AAAE696">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产出质量</w:t>
            </w:r>
          </w:p>
        </w:tc>
        <w:tc>
          <w:tcPr>
            <w:tcW w:w="422" w:type="pct"/>
            <w:shd w:val="clear" w:color="auto" w:fill="FFFFFF"/>
            <w:vAlign w:val="center"/>
          </w:tcPr>
          <w:p w14:paraId="609ED1C9">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质量达标率</w:t>
            </w:r>
          </w:p>
        </w:tc>
        <w:tc>
          <w:tcPr>
            <w:tcW w:w="680" w:type="pct"/>
            <w:shd w:val="clear" w:color="000000" w:fill="FFFFFF"/>
            <w:vAlign w:val="center"/>
          </w:tcPr>
          <w:p w14:paraId="5F5A86B7">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项目完成的质量达标产出数与实际产出数的比率，用以反映和考核项目产出质量目标的实现程度。</w:t>
            </w:r>
          </w:p>
        </w:tc>
        <w:tc>
          <w:tcPr>
            <w:tcW w:w="2055" w:type="pct"/>
            <w:shd w:val="clear" w:color="000000" w:fill="FFFFFF"/>
            <w:vAlign w:val="center"/>
          </w:tcPr>
          <w:p w14:paraId="7D06F25F">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质量达标率=（质量达标产出数/实际产出数）×100%。</w:t>
            </w:r>
          </w:p>
          <w:p w14:paraId="75A468DC">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7DECE181">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14:paraId="39E52C6D">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14:paraId="0779DD9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14:paraId="63618BB9">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14:paraId="34897606">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产出时效</w:t>
            </w:r>
          </w:p>
        </w:tc>
        <w:tc>
          <w:tcPr>
            <w:tcW w:w="422" w:type="pct"/>
            <w:shd w:val="clear" w:color="auto" w:fill="FFFFFF"/>
            <w:vAlign w:val="center"/>
          </w:tcPr>
          <w:p w14:paraId="1FA36472">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完成及时性</w:t>
            </w:r>
          </w:p>
        </w:tc>
        <w:tc>
          <w:tcPr>
            <w:tcW w:w="680" w:type="pct"/>
            <w:shd w:val="clear" w:color="000000" w:fill="FFFFFF"/>
            <w:vAlign w:val="center"/>
          </w:tcPr>
          <w:p w14:paraId="5405A01E">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项目实际完成时间与计划完成时间的比较，用以反映和考核项目产出时效目标的实现程度。</w:t>
            </w:r>
          </w:p>
        </w:tc>
        <w:tc>
          <w:tcPr>
            <w:tcW w:w="2055" w:type="pct"/>
            <w:shd w:val="clear" w:color="000000" w:fill="FFFFFF"/>
            <w:vAlign w:val="center"/>
          </w:tcPr>
          <w:p w14:paraId="48BA342A">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实际完成时间：项目实施单位完成该项目实际所耗用的时间。</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计划完成时间：按照项目实施计划或相关规定完成该项目所需的时间。</w:t>
            </w:r>
          </w:p>
        </w:tc>
        <w:tc>
          <w:tcPr>
            <w:tcW w:w="512" w:type="pct"/>
            <w:shd w:val="clear" w:color="000000" w:fill="FFFFFF"/>
            <w:vAlign w:val="center"/>
          </w:tcPr>
          <w:p w14:paraId="64A32ECC">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14:paraId="11D69353">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14:paraId="0E07EDC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14:paraId="771CF089">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14:paraId="398768A0">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产出成本</w:t>
            </w:r>
          </w:p>
        </w:tc>
        <w:tc>
          <w:tcPr>
            <w:tcW w:w="422" w:type="pct"/>
            <w:shd w:val="clear" w:color="auto" w:fill="FFFFFF"/>
            <w:vAlign w:val="center"/>
          </w:tcPr>
          <w:p w14:paraId="08BE005D">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成本节约率</w:t>
            </w:r>
          </w:p>
        </w:tc>
        <w:tc>
          <w:tcPr>
            <w:tcW w:w="680" w:type="pct"/>
            <w:shd w:val="clear" w:color="000000" w:fill="FFFFFF"/>
            <w:vAlign w:val="center"/>
          </w:tcPr>
          <w:p w14:paraId="44F9795D">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完成项目计划工作目标的实际节约成本与计划成本的比率，用以反映和考核项目的成本节约程度。</w:t>
            </w:r>
          </w:p>
        </w:tc>
        <w:tc>
          <w:tcPr>
            <w:tcW w:w="2055" w:type="pct"/>
            <w:shd w:val="clear" w:color="000000" w:fill="FFFFFF"/>
            <w:vAlign w:val="center"/>
          </w:tcPr>
          <w:p w14:paraId="090A3BCC">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成本节约率=[（计划成本-实际成本）/计划成本]×100%。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计划成本：项目实施单位为完成工作目标计划安排的支出，一般以项目预算为参考。</w:t>
            </w:r>
          </w:p>
        </w:tc>
        <w:tc>
          <w:tcPr>
            <w:tcW w:w="512" w:type="pct"/>
            <w:shd w:val="clear" w:color="000000" w:fill="FFFFFF"/>
            <w:vAlign w:val="center"/>
          </w:tcPr>
          <w:p w14:paraId="4E59D2B1">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14:paraId="5BFDF0C2">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9.9</w:t>
            </w:r>
          </w:p>
        </w:tc>
      </w:tr>
      <w:tr w14:paraId="6557CB5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14:paraId="0A528A17">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效益　</w:t>
            </w:r>
          </w:p>
        </w:tc>
        <w:tc>
          <w:tcPr>
            <w:tcW w:w="394" w:type="pct"/>
            <w:vMerge w:val="restart"/>
            <w:shd w:val="clear" w:color="auto" w:fill="FFFFFF"/>
            <w:vAlign w:val="center"/>
          </w:tcPr>
          <w:p w14:paraId="4FDE8500">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项目效益　</w:t>
            </w:r>
          </w:p>
        </w:tc>
        <w:tc>
          <w:tcPr>
            <w:tcW w:w="422" w:type="pct"/>
            <w:shd w:val="clear" w:color="auto" w:fill="FFFFFF"/>
            <w:vAlign w:val="center"/>
          </w:tcPr>
          <w:p w14:paraId="01335EBA">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实施效益</w:t>
            </w:r>
          </w:p>
        </w:tc>
        <w:tc>
          <w:tcPr>
            <w:tcW w:w="680" w:type="pct"/>
            <w:shd w:val="clear" w:color="auto" w:fill="FFFFFF"/>
            <w:vAlign w:val="center"/>
          </w:tcPr>
          <w:p w14:paraId="04B6669E">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项目实施所产生的效益。</w:t>
            </w:r>
          </w:p>
        </w:tc>
        <w:tc>
          <w:tcPr>
            <w:tcW w:w="2055" w:type="pct"/>
            <w:shd w:val="clear" w:color="auto" w:fill="FFFFFF"/>
            <w:vAlign w:val="center"/>
          </w:tcPr>
          <w:p w14:paraId="4D974846">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项目实施所产生的社会效益、经济效益、生态效益、可持续影响等。可根据项目实际情况有选择地设置和细化。</w:t>
            </w:r>
          </w:p>
        </w:tc>
        <w:tc>
          <w:tcPr>
            <w:tcW w:w="512" w:type="pct"/>
            <w:shd w:val="clear" w:color="auto" w:fill="FFFFFF"/>
            <w:vAlign w:val="center"/>
          </w:tcPr>
          <w:p w14:paraId="0729A38C">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auto" w:fill="FFFFFF"/>
            <w:vAlign w:val="center"/>
          </w:tcPr>
          <w:p w14:paraId="2580F90F">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14:paraId="1DD36F3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14:paraId="5F1D4D46">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14:paraId="28D697D7">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14:paraId="6DAA6D6F">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满意度</w:t>
            </w:r>
          </w:p>
        </w:tc>
        <w:tc>
          <w:tcPr>
            <w:tcW w:w="680" w:type="pct"/>
            <w:shd w:val="clear" w:color="000000" w:fill="FFFFFF"/>
            <w:vAlign w:val="center"/>
          </w:tcPr>
          <w:p w14:paraId="410D656E">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社会公众或服务对象对项目实施效果的满意程度。</w:t>
            </w:r>
          </w:p>
        </w:tc>
        <w:tc>
          <w:tcPr>
            <w:tcW w:w="2055" w:type="pct"/>
            <w:shd w:val="clear" w:color="000000" w:fill="FFFFFF"/>
            <w:vAlign w:val="center"/>
          </w:tcPr>
          <w:p w14:paraId="3605BF56">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社会公众或服务对象是指因该项目实施而受到影响的部门（单位）、群体或个人。一般采取社会调查的方式。</w:t>
            </w:r>
          </w:p>
        </w:tc>
        <w:tc>
          <w:tcPr>
            <w:tcW w:w="512" w:type="pct"/>
            <w:shd w:val="clear" w:color="000000" w:fill="FFFFFF"/>
            <w:vAlign w:val="center"/>
          </w:tcPr>
          <w:p w14:paraId="0C33B9F3">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14:paraId="46F82932">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14:paraId="5224E368">
      <w:pPr>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14:paraId="6264A3AE">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14:paraId="053F2709">
      <w:pPr>
        <w:rPr>
          <w:rFonts w:hint="default" w:ascii="Times New Roman" w:hAnsi="Times New Roman" w:cs="Times New Roman"/>
        </w:rPr>
      </w:pPr>
      <w:r>
        <w:rPr>
          <w:rFonts w:hint="default" w:ascii="Times New Roman" w:hAnsi="Times New Roman" w:cs="Times New Roman"/>
        </w:rPr>
        <w:object>
          <v:shape id="_x0000_i1025" o:spt="75" type="#_x0000_t75" style="height:389.9pt;width:632pt;" o:ole="t" filled="f" o:preferrelative="t" stroked="f" coordsize="21600,21600">
            <v:path/>
            <v:fill on="f" focussize="0,0"/>
            <v:stroke on="f" joinstyle="miter"/>
            <v:imagedata r:id="rId6" o:title=""/>
            <o:lock v:ext="edit" aspectratio="f"/>
            <w10:wrap type="none"/>
            <w10:anchorlock/>
          </v:shape>
          <o:OLEObject Type="Embed" ProgID="Excel.Sheet.12" ShapeID="_x0000_i1025" DrawAspect="Content" ObjectID="_1468075725" r:id="rId5">
            <o:LockedField>false</o:LockedField>
          </o:OLEObject>
        </w:object>
      </w: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2E00C76-4B86-4E77-9F79-34D0E278319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C72175CA-DFD4-4ED0-9176-59E7898DFB19}"/>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4611CA8C-73CD-42A3-AD9A-C00ABAFBE11E}"/>
  </w:font>
  <w:font w:name="华文中宋">
    <w:altName w:val="宋体"/>
    <w:panose1 w:val="02010600040001010101"/>
    <w:charset w:val="86"/>
    <w:family w:val="auto"/>
    <w:pitch w:val="default"/>
    <w:sig w:usb0="00000000" w:usb1="00000000" w:usb2="00000000" w:usb3="00000000" w:csb0="0004009F" w:csb1="DFD70000"/>
    <w:embedRegular r:id="rId4" w:fontKey="{19A8DFC8-8A5F-4FCD-A324-F2D97861B276}"/>
  </w:font>
  <w:font w:name="方正小标宋_GBK">
    <w:panose1 w:val="02000000000000000000"/>
    <w:charset w:val="86"/>
    <w:family w:val="script"/>
    <w:pitch w:val="default"/>
    <w:sig w:usb0="A00002BF" w:usb1="38CF7CFA" w:usb2="00082016" w:usb3="00000000" w:csb0="00040001" w:csb1="00000000"/>
    <w:embedRegular r:id="rId5" w:fontKey="{60A67D77-76E1-49C8-9964-4F9B55A443DB}"/>
  </w:font>
  <w:font w:name="楷体_GB2312">
    <w:panose1 w:val="02010609030101010101"/>
    <w:charset w:val="86"/>
    <w:family w:val="auto"/>
    <w:pitch w:val="default"/>
    <w:sig w:usb0="00000001" w:usb1="080E0000" w:usb2="00000000" w:usb3="00000000" w:csb0="00040000" w:csb1="00000000"/>
    <w:embedRegular r:id="rId6" w:fontKey="{58DCB4B1-BDCD-470F-98CE-6FC2BB2DCFFB}"/>
  </w:font>
  <w:font w:name="楷体">
    <w:panose1 w:val="02010609060101010101"/>
    <w:charset w:val="86"/>
    <w:family w:val="auto"/>
    <w:pitch w:val="default"/>
    <w:sig w:usb0="800002BF" w:usb1="38CF7CFA" w:usb2="00000016" w:usb3="00000000" w:csb0="00040001" w:csb1="00000000"/>
    <w:embedRegular r:id="rId7" w:fontKey="{DD2974E7-A8E2-47CA-808D-89E88E60848F}"/>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5C7384">
    <w:pPr>
      <w:pStyle w:val="7"/>
      <w:jc w:val="center"/>
    </w:pPr>
    <w:r>
      <w:fldChar w:fldCharType="begin"/>
    </w:r>
    <w:r>
      <w:instrText xml:space="preserve">PAGE   \* MERGEFORMAT</w:instrText>
    </w:r>
    <w:r>
      <w:fldChar w:fldCharType="separate"/>
    </w:r>
    <w:r>
      <w:rPr>
        <w:lang w:val="zh-CN"/>
      </w:rPr>
      <w:t>13</w:t>
    </w:r>
    <w:r>
      <w:fldChar w:fldCharType="end"/>
    </w:r>
  </w:p>
  <w:p w14:paraId="75C082EC">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2"/>
      <w:numFmt w:val="chineseCounting"/>
      <w:suff w:val="nothing"/>
      <w:lvlText w:val="（%1）"/>
      <w:lvlJc w:val="left"/>
      <w:pPr>
        <w:ind w:left="-13"/>
      </w:pPr>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59ADCABA"/>
    <w:multiLevelType w:val="singleLevel"/>
    <w:tmpl w:val="59ADCABA"/>
    <w:lvl w:ilvl="0" w:tentative="0">
      <w:start w:val="3"/>
      <w:numFmt w:val="chineseCounting"/>
      <w:suff w:val="nothing"/>
      <w:lvlText w:val="%1、"/>
      <w:lvlJc w:val="left"/>
      <w:rPr>
        <w:rFonts w:hint="eastAsia"/>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B1F6AD6"/>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nhideWhenUsed="0"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9"/>
    <w:pPr>
      <w:keepNext/>
      <w:widowControl/>
      <w:spacing w:before="240" w:after="60"/>
      <w:jc w:val="left"/>
      <w:outlineLvl w:val="2"/>
    </w:pPr>
    <w:rPr>
      <w:rFonts w:ascii="Calibri Light" w:hAnsi="Calibri Light" w:eastAsia="宋体"/>
      <w:b/>
      <w:bCs/>
      <w:kern w:val="0"/>
      <w:sz w:val="26"/>
      <w:szCs w:val="26"/>
    </w:rPr>
  </w:style>
  <w:style w:type="character" w:default="1" w:styleId="14">
    <w:name w:val="Default Paragraph Font"/>
    <w:qFormat/>
    <w:uiPriority w:val="1"/>
  </w:style>
  <w:style w:type="table" w:default="1" w:styleId="12">
    <w:name w:val="Normal Table"/>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Calibri Light" w:hAnsi="Calibri Light" w:eastAsia="宋体"/>
      <w:b/>
      <w:bCs/>
      <w:kern w:val="28"/>
      <w:sz w:val="32"/>
      <w:szCs w:val="32"/>
    </w:r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1"/>
    <w:qFormat/>
    <w:uiPriority w:val="0"/>
    <w:rPr>
      <w:sz w:val="18"/>
      <w:szCs w:val="18"/>
    </w:rPr>
  </w:style>
  <w:style w:type="paragraph" w:styleId="7">
    <w:name w:val="footer"/>
    <w:basedOn w:val="1"/>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rPr>
  </w:style>
  <w:style w:type="paragraph" w:styleId="10">
    <w:name w:val="Body Text First Indent"/>
    <w:basedOn w:val="4"/>
    <w:qFormat/>
    <w:uiPriority w:val="0"/>
    <w:pPr>
      <w:spacing w:after="0"/>
      <w:ind w:firstLine="200" w:firstLineChars="200"/>
    </w:pPr>
  </w:style>
  <w:style w:type="paragraph" w:styleId="11">
    <w:name w:val="Body Text First Indent 2"/>
    <w:basedOn w:val="5"/>
    <w:qFormat/>
    <w:uiPriority w:val="0"/>
    <w:pPr>
      <w:ind w:firstLine="420" w:firstLineChars="200"/>
    </w:pPr>
  </w:style>
  <w:style w:type="table" w:styleId="13">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6"/>
    <w:qFormat/>
    <w:uiPriority w:val="0"/>
    <w:rPr>
      <w:rFonts w:ascii="Times New Roman" w:hAnsi="Times New Roman" w:eastAsia="宋体" w:cs="Times New Roman"/>
      <w:kern w:val="2"/>
      <w:sz w:val="18"/>
      <w:szCs w:val="18"/>
    </w:rPr>
  </w:style>
  <w:style w:type="character" w:customStyle="1" w:styleId="22">
    <w:name w:val="页眉 字符"/>
    <w:basedOn w:val="14"/>
    <w:link w:val="8"/>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cd:customData xmlns="http://www.wps.cn/android/officeDocument/2013/mofficeCustomData" xmlns:mcd="http://www.wps.cn/android/officeDocument/2013/mofficeCustomData" version="2">
  <mcd:comments/>
</mcd: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59C39DB7B62240CC88D3030221C83177</vt:lpwstr>
  </property>
  <property fmtid="{D5CDD505-2E9C-101B-9397-08002B2CF9AE}" pid="4" name="KSOTemplateDocerSaveRecord">
    <vt:lpwstr>eyJoZGlkIjoiM2QyNTVlMjA1MzU0ZmE2ZGVjNjEzNjExZjg0MmQ1MzciLCJ1c2VySWQiOiIyMjk4MzUzNDIifQ==</vt:lpwstr>
  </property>
</Properties>
</file>

<file path=customXml/itemProps1.xml><?xml version="1.0" encoding="utf-8"?>
<ds:datastoreItem xmlns:ds="http://schemas.openxmlformats.org/officeDocument/2006/customXml" ds:itemID="{1ce22edb-ed6b-4946-b7b7-eaf4c233c3d5}">
  <ds:schemaRefs/>
</ds:datastoreItem>
</file>

<file path=customXml/itemProps2.xml><?xml version="1.0" encoding="utf-8"?>
<ds:datastoreItem xmlns:ds="http://schemas.openxmlformats.org/officeDocument/2006/customXml" ds:itemID="{d6b8f242-2c33-45b6-86d4-6ebc1f520c1c}">
  <ds:schemaRefs/>
</ds:datastoreItem>
</file>

<file path=docProps/app.xml><?xml version="1.0" encoding="utf-8"?>
<Properties xmlns="http://schemas.openxmlformats.org/officeDocument/2006/extended-properties" xmlns:vt="http://schemas.openxmlformats.org/officeDocument/2006/docPropsVTypes">
  <Template>Normal</Template>
  <Pages>22</Pages>
  <Words>7033</Words>
  <Characters>7457</Characters>
  <Paragraphs>626</Paragraphs>
  <TotalTime>5</TotalTime>
  <ScaleCrop>false</ScaleCrop>
  <LinksUpToDate>false</LinksUpToDate>
  <CharactersWithSpaces>7475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雨。</cp:lastModifiedBy>
  <dcterms:modified xsi:type="dcterms:W3CDTF">2025-09-10T09:49:03Z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59C39DB7B62240CC88D3030221C83177</vt:lpwstr>
  </property>
  <property fmtid="{D5CDD505-2E9C-101B-9397-08002B2CF9AE}" pid="4" name="KSOTemplateDocerSaveRecord">
    <vt:lpwstr>eyJoZGlkIjoiYjc2OWIwYWEwODAyMWYzZDQ3MWM3NTI0ZDMwN2MzZTAiLCJ1c2VySWQiOiIyNTk4NTcxMjUifQ==</vt:lpwstr>
  </property>
</Properties>
</file>