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新疆巴州若羌县人民法院2024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11E855">
      <w:r>
        <w:br w:type="page"/>
      </w:r>
    </w:p>
    <w:p w14:paraId="6DD443C4">
      <w:pPr>
        <w:spacing w:line="640" w:lineRule="exact"/>
        <w:jc w:val="center"/>
        <w:outlineLvl w:val="1"/>
      </w:pPr>
      <w:r>
        <w:rPr>
          <w:rFonts w:ascii="黑体" w:hAnsi="黑体" w:eastAsia="黑体"/>
          <w:sz w:val="32"/>
        </w:rPr>
        <w:t>第一部分 部门概况</w:t>
      </w:r>
    </w:p>
    <w:p w14:paraId="01307179">
      <w:pPr>
        <w:spacing w:line="640" w:lineRule="exact"/>
        <w:ind w:firstLine="640"/>
        <w:jc w:val="both"/>
        <w:outlineLvl w:val="2"/>
      </w:pPr>
      <w:r>
        <w:rPr>
          <w:rFonts w:ascii="黑体" w:hAnsi="黑体" w:eastAsia="黑体"/>
          <w:sz w:val="32"/>
        </w:rPr>
        <w:t>一、主要职能</w:t>
      </w:r>
    </w:p>
    <w:p w14:paraId="3605C1FC">
      <w:pPr>
        <w:spacing w:line="580" w:lineRule="exact"/>
        <w:ind w:firstLine="640"/>
        <w:jc w:val="both"/>
      </w:pPr>
      <w:r>
        <w:rPr>
          <w:rFonts w:ascii="仿宋_GB2312" w:hAnsi="仿宋_GB2312" w:eastAsia="仿宋_GB2312"/>
          <w:sz w:val="32"/>
        </w:rPr>
        <w:t>若羌县人民法院为国家审判机关，依照宪法和法律的规定，审判各类刑事、民商事、行政、国家赔偿以及执行案件，通过审判活动，维护社会主义法制和社会秩序，保护国家、集体和个人的合法财产，保护公民的人身权利、民主权利和其他权利，依据法律履行审判职责，综合考虑办案成本和工作量，保障审判执行工作正常开展，肩负着维护社会公平正义，体现司法文明，推动社会进步的神圣使命。</w:t>
      </w:r>
    </w:p>
    <w:p w14:paraId="6EED7668">
      <w:pPr>
        <w:spacing w:line="640" w:lineRule="exact"/>
        <w:ind w:firstLine="640"/>
        <w:jc w:val="both"/>
        <w:outlineLvl w:val="2"/>
      </w:pPr>
      <w:r>
        <w:rPr>
          <w:rFonts w:ascii="黑体" w:hAnsi="黑体" w:eastAsia="黑体"/>
          <w:sz w:val="32"/>
        </w:rPr>
        <w:t>二、机构设置及人员情况</w:t>
      </w:r>
    </w:p>
    <w:p w14:paraId="4C4EF247">
      <w:pPr>
        <w:spacing w:line="580" w:lineRule="exact"/>
        <w:ind w:firstLine="640"/>
        <w:jc w:val="both"/>
      </w:pPr>
      <w:r>
        <w:rPr>
          <w:rFonts w:ascii="仿宋_GB2312" w:hAnsi="仿宋_GB2312" w:eastAsia="仿宋_GB2312"/>
          <w:sz w:val="32"/>
        </w:rPr>
        <w:t>新疆巴州若羌县人民法院2024年度，实有人数52人，其中：在职人员37人，减少4人；离休人员0人，增加0人；退休人员15人,增加3人。</w:t>
      </w:r>
    </w:p>
    <w:p w14:paraId="287EA3BA">
      <w:pPr>
        <w:spacing w:line="580" w:lineRule="exact"/>
        <w:ind w:firstLine="640"/>
        <w:jc w:val="both"/>
      </w:pPr>
      <w:r>
        <w:rPr>
          <w:rFonts w:ascii="仿宋_GB2312" w:hAnsi="仿宋_GB2312" w:eastAsia="仿宋_GB2312"/>
          <w:sz w:val="32"/>
        </w:rPr>
        <w:t>新疆巴州若羌县人民法院无下属预算单位，下设8个科室，分别是：立案庭、执行局、政治部、办公室、审判庭、瓦石峡镇人民法庭、依吞布拉克人民法庭、法警大队。</w:t>
      </w:r>
    </w:p>
    <w:p w14:paraId="07FAC923">
      <w:r>
        <w:br w:type="page"/>
      </w:r>
    </w:p>
    <w:p w14:paraId="3F139C7A">
      <w:pPr>
        <w:spacing w:line="240" w:lineRule="auto"/>
        <w:jc w:val="center"/>
        <w:outlineLvl w:val="1"/>
      </w:pPr>
      <w:r>
        <w:rPr>
          <w:rFonts w:ascii="黑体" w:hAnsi="黑体" w:eastAsia="黑体"/>
          <w:sz w:val="32"/>
        </w:rPr>
        <w:t>第二部分 部门决算情况说明</w:t>
      </w:r>
    </w:p>
    <w:p w14:paraId="7956B209">
      <w:pPr>
        <w:spacing w:line="640" w:lineRule="exact"/>
        <w:ind w:firstLine="640"/>
        <w:jc w:val="both"/>
        <w:outlineLvl w:val="2"/>
      </w:pPr>
      <w:r>
        <w:rPr>
          <w:rFonts w:ascii="黑体" w:hAnsi="黑体" w:eastAsia="黑体"/>
          <w:sz w:val="32"/>
        </w:rPr>
        <w:t>一、收入支出决算总体情况说明</w:t>
      </w:r>
    </w:p>
    <w:p w14:paraId="78D5D480">
      <w:pPr>
        <w:spacing w:line="580" w:lineRule="exact"/>
        <w:ind w:firstLine="640"/>
        <w:jc w:val="both"/>
      </w:pPr>
      <w:r>
        <w:rPr>
          <w:rFonts w:ascii="仿宋_GB2312" w:hAnsi="仿宋_GB2312" w:eastAsia="仿宋_GB2312"/>
          <w:b/>
          <w:sz w:val="32"/>
        </w:rPr>
        <w:t>2024年度收入总计1,503.33万元，</w:t>
      </w:r>
      <w:r>
        <w:rPr>
          <w:rFonts w:ascii="仿宋_GB2312" w:hAnsi="仿宋_GB2312" w:eastAsia="仿宋_GB2312"/>
          <w:b w:val="0"/>
          <w:sz w:val="32"/>
        </w:rPr>
        <w:t>其中：本年收入合计1,503.33万元，使用非财政拨款结余（含专用结余）0.00万元，年初结转和结余0.00万元。</w:t>
      </w:r>
    </w:p>
    <w:p w14:paraId="42C72800">
      <w:pPr>
        <w:spacing w:line="580" w:lineRule="exact"/>
        <w:ind w:firstLine="640"/>
        <w:jc w:val="both"/>
      </w:pPr>
      <w:r>
        <w:rPr>
          <w:rFonts w:ascii="仿宋_GB2312" w:hAnsi="仿宋_GB2312" w:eastAsia="仿宋_GB2312"/>
          <w:b/>
          <w:sz w:val="32"/>
        </w:rPr>
        <w:t>2024年度支出总计1,503.33万元，</w:t>
      </w:r>
      <w:r>
        <w:rPr>
          <w:rFonts w:ascii="仿宋_GB2312" w:hAnsi="仿宋_GB2312" w:eastAsia="仿宋_GB2312"/>
          <w:b w:val="0"/>
          <w:sz w:val="32"/>
        </w:rPr>
        <w:t>其中：本年支出合计1,503.33万元，结余分配0.00万元，年末结转和结余0.00万元。</w:t>
      </w:r>
    </w:p>
    <w:p w14:paraId="116D98E7">
      <w:pPr>
        <w:spacing w:line="580" w:lineRule="exact"/>
        <w:ind w:firstLine="640"/>
        <w:jc w:val="both"/>
      </w:pPr>
      <w:r>
        <w:rPr>
          <w:rFonts w:ascii="仿宋_GB2312" w:hAnsi="仿宋_GB2312" w:eastAsia="仿宋_GB2312"/>
          <w:b w:val="0"/>
          <w:sz w:val="32"/>
        </w:rPr>
        <w:t>收入支出总体与上年相比，增加63.78万元，增长4.43%，主要原因是：本年增加第二批综合业务费用、退休人员增加，职业年金缴费支出增加，导致经费较上年增加。</w:t>
      </w:r>
    </w:p>
    <w:p w14:paraId="15A16058">
      <w:pPr>
        <w:spacing w:line="640" w:lineRule="exact"/>
        <w:ind w:firstLine="640"/>
        <w:jc w:val="both"/>
        <w:outlineLvl w:val="2"/>
      </w:pPr>
      <w:r>
        <w:rPr>
          <w:rFonts w:ascii="黑体" w:hAnsi="黑体" w:eastAsia="黑体"/>
          <w:sz w:val="32"/>
        </w:rPr>
        <w:t>二、收入决算情况说明</w:t>
      </w:r>
    </w:p>
    <w:p w14:paraId="47EEFA57">
      <w:pPr>
        <w:spacing w:line="580" w:lineRule="exact"/>
        <w:ind w:firstLine="640"/>
        <w:jc w:val="both"/>
      </w:pPr>
      <w:r>
        <w:rPr>
          <w:rFonts w:ascii="仿宋_GB2312" w:hAnsi="仿宋_GB2312" w:eastAsia="仿宋_GB2312"/>
          <w:b/>
          <w:sz w:val="32"/>
        </w:rPr>
        <w:t>本年收入1,503.33万元，</w:t>
      </w:r>
      <w:r>
        <w:rPr>
          <w:rFonts w:ascii="仿宋_GB2312" w:hAnsi="仿宋_GB2312" w:eastAsia="仿宋_GB2312"/>
          <w:b w:val="0"/>
          <w:sz w:val="32"/>
        </w:rPr>
        <w:t>其中：财政拨款收入1,503.33万元，占100.00%；上级补助收入0.00万元，占0.00%；事业收入0.00万元，占0.00%；经营收入0.00万元，占0.00%；附属单位上缴收入0.00万元，占0.00%；其他收入0.00万元，占0.00%。</w:t>
      </w:r>
    </w:p>
    <w:p w14:paraId="7FC25139">
      <w:pPr>
        <w:spacing w:line="640" w:lineRule="exact"/>
        <w:ind w:firstLine="640"/>
        <w:jc w:val="both"/>
        <w:outlineLvl w:val="2"/>
      </w:pPr>
      <w:r>
        <w:rPr>
          <w:rFonts w:ascii="黑体" w:hAnsi="黑体" w:eastAsia="黑体"/>
          <w:sz w:val="32"/>
        </w:rPr>
        <w:t>三、支出决算情况说明</w:t>
      </w:r>
    </w:p>
    <w:p w14:paraId="336EB654">
      <w:pPr>
        <w:spacing w:line="580" w:lineRule="exact"/>
        <w:ind w:firstLine="640"/>
        <w:jc w:val="both"/>
      </w:pPr>
      <w:r>
        <w:rPr>
          <w:rFonts w:ascii="仿宋_GB2312" w:hAnsi="仿宋_GB2312" w:eastAsia="仿宋_GB2312"/>
          <w:b/>
          <w:sz w:val="32"/>
        </w:rPr>
        <w:t>本年支出1,503.33万元，</w:t>
      </w:r>
      <w:r>
        <w:rPr>
          <w:rFonts w:ascii="仿宋_GB2312" w:hAnsi="仿宋_GB2312" w:eastAsia="仿宋_GB2312"/>
          <w:b w:val="0"/>
          <w:sz w:val="32"/>
        </w:rPr>
        <w:t>其中：基本支出1,174.84万元，占78.15%；项目支出328.48万元，占21.85%；上缴上级支出0.00万元，占0.00%；经营支出0.00万元，占0.00%；对附属单位补助支出0.00万元，占0.00%。</w:t>
      </w:r>
    </w:p>
    <w:p w14:paraId="12FAE056">
      <w:pPr>
        <w:spacing w:line="640" w:lineRule="exact"/>
        <w:ind w:firstLine="640"/>
        <w:jc w:val="both"/>
        <w:outlineLvl w:val="2"/>
      </w:pPr>
      <w:r>
        <w:rPr>
          <w:rFonts w:ascii="黑体" w:hAnsi="黑体" w:eastAsia="黑体"/>
          <w:sz w:val="32"/>
        </w:rPr>
        <w:t>四、财政拨款收入支出决算总体情况说明</w:t>
      </w:r>
    </w:p>
    <w:p w14:paraId="52BC1EBD">
      <w:pPr>
        <w:spacing w:line="580" w:lineRule="exact"/>
        <w:ind w:firstLine="640"/>
        <w:jc w:val="both"/>
      </w:pPr>
      <w:r>
        <w:rPr>
          <w:rFonts w:ascii="仿宋_GB2312" w:hAnsi="仿宋_GB2312" w:eastAsia="仿宋_GB2312"/>
          <w:b/>
          <w:sz w:val="32"/>
        </w:rPr>
        <w:t>2024年度财政拨款收入总计1,503.33万元，</w:t>
      </w:r>
      <w:r>
        <w:rPr>
          <w:rFonts w:ascii="仿宋_GB2312" w:hAnsi="仿宋_GB2312" w:eastAsia="仿宋_GB2312"/>
          <w:b w:val="0"/>
          <w:sz w:val="32"/>
        </w:rPr>
        <w:t>其中：年初财政拨款结转和结余0.00万元，本年财政拨款收入1,503.33万元。</w:t>
      </w:r>
      <w:r>
        <w:rPr>
          <w:rFonts w:ascii="仿宋_GB2312" w:hAnsi="仿宋_GB2312" w:eastAsia="仿宋_GB2312"/>
          <w:b/>
          <w:sz w:val="32"/>
        </w:rPr>
        <w:t>财政拨款支出总计1,503.33万元，</w:t>
      </w:r>
      <w:r>
        <w:rPr>
          <w:rFonts w:ascii="仿宋_GB2312" w:hAnsi="仿宋_GB2312" w:eastAsia="仿宋_GB2312"/>
          <w:b w:val="0"/>
          <w:sz w:val="32"/>
        </w:rPr>
        <w:t>其中：年末财政拨款结转和结余0.00万元，本年财政拨款支出1,503.33万元。</w:t>
      </w:r>
    </w:p>
    <w:p w14:paraId="0EA7D4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w:t>
      </w:r>
      <w:bookmarkStart w:id="0" w:name="_GoBack"/>
      <w:bookmarkEnd w:id="0"/>
      <w:r>
        <w:rPr>
          <w:rFonts w:ascii="仿宋_GB2312" w:hAnsi="仿宋_GB2312" w:eastAsia="仿宋_GB2312"/>
          <w:b w:val="0"/>
          <w:sz w:val="32"/>
        </w:rPr>
        <w:t>3.78万元，增长4.43%，主要原因是：本年增加第二批综合业务费用、退休人员增加，职业年金缴费支出增加，导致经费较上年增加。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年初预算数1,435.54万元，决算数1,503.33万元，预决算差异率4.72%，主要原因是：年中追加中央政法转移支付专项资金，导致预决算存在差异。</w:t>
      </w:r>
    </w:p>
    <w:p w14:paraId="4CF9BBFB">
      <w:pPr>
        <w:spacing w:line="640" w:lineRule="exact"/>
        <w:ind w:firstLine="640"/>
        <w:jc w:val="both"/>
        <w:outlineLvl w:val="2"/>
      </w:pPr>
      <w:r>
        <w:rPr>
          <w:rFonts w:ascii="黑体" w:hAnsi="黑体" w:eastAsia="黑体"/>
          <w:sz w:val="32"/>
        </w:rPr>
        <w:t>五、一般公共预算财政拨款支出决算情况说明</w:t>
      </w:r>
    </w:p>
    <w:p w14:paraId="6B5CE6AC">
      <w:pPr>
        <w:spacing w:line="640" w:lineRule="exact"/>
        <w:ind w:firstLine="640"/>
        <w:jc w:val="both"/>
        <w:outlineLvl w:val="3"/>
      </w:pPr>
      <w:r>
        <w:rPr>
          <w:rFonts w:ascii="楷体_GB2312" w:hAnsi="楷体_GB2312" w:eastAsia="楷体_GB2312"/>
          <w:b/>
          <w:sz w:val="32"/>
        </w:rPr>
        <w:t>（一）一般公共预算财政拨款支出决算总体情况</w:t>
      </w:r>
    </w:p>
    <w:p w14:paraId="5988EFBA">
      <w:pPr>
        <w:spacing w:line="580" w:lineRule="exact"/>
        <w:ind w:firstLine="640"/>
        <w:jc w:val="both"/>
      </w:pPr>
      <w:r>
        <w:rPr>
          <w:rFonts w:ascii="仿宋_GB2312" w:hAnsi="仿宋_GB2312" w:eastAsia="仿宋_GB2312"/>
          <w:b/>
          <w:sz w:val="32"/>
        </w:rPr>
        <w:t>2024年度一般公共预算财政拨款支出1,503.33万元，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增加63.78万元，增长4.43%，主要原因是：本年增加第二批综合业务费用、退休人员增加，职业年金缴费支出增加，导致经费较上年增加。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年初预算数1,435.54万元，决算数1,503.33万元，预决算差异率4.72%，主要原因是：年中追加中央政法转移支付专项资金，导致预决算存在差异。</w:t>
      </w:r>
    </w:p>
    <w:p w14:paraId="2BE1FDDD">
      <w:pPr>
        <w:spacing w:line="640" w:lineRule="exact"/>
        <w:ind w:firstLine="640"/>
        <w:jc w:val="both"/>
        <w:outlineLvl w:val="3"/>
      </w:pPr>
      <w:r>
        <w:rPr>
          <w:rFonts w:ascii="楷体_GB2312" w:hAnsi="楷体_GB2312" w:eastAsia="楷体_GB2312"/>
          <w:b/>
          <w:sz w:val="32"/>
        </w:rPr>
        <w:t>（二）一般公共预算财政拨款支出决算结构情况</w:t>
      </w:r>
    </w:p>
    <w:p w14:paraId="5FFA0F7B">
      <w:pPr>
        <w:spacing w:line="580" w:lineRule="exact"/>
        <w:ind w:firstLine="640"/>
        <w:jc w:val="both"/>
      </w:pPr>
      <w:r>
        <w:rPr>
          <w:rFonts w:ascii="仿宋_GB2312" w:hAnsi="仿宋_GB2312" w:eastAsia="仿宋_GB2312"/>
          <w:b w:val="0"/>
          <w:sz w:val="32"/>
        </w:rPr>
        <w:t>1.公共安全支出(类)1245.59万元,占82.86%。</w:t>
      </w:r>
    </w:p>
    <w:p w14:paraId="0DE242B8">
      <w:pPr>
        <w:spacing w:line="580" w:lineRule="exact"/>
        <w:ind w:firstLine="640"/>
        <w:jc w:val="both"/>
      </w:pPr>
      <w:r>
        <w:rPr>
          <w:rFonts w:ascii="仿宋_GB2312" w:hAnsi="仿宋_GB2312" w:eastAsia="仿宋_GB2312"/>
          <w:b w:val="0"/>
          <w:sz w:val="32"/>
        </w:rPr>
        <w:t>2.教育支出(类)2.6万元,占0.17%。</w:t>
      </w:r>
    </w:p>
    <w:p w14:paraId="3DE60C1F">
      <w:pPr>
        <w:spacing w:line="580" w:lineRule="exact"/>
        <w:ind w:firstLine="640"/>
        <w:jc w:val="both"/>
      </w:pPr>
      <w:r>
        <w:rPr>
          <w:rFonts w:ascii="仿宋_GB2312" w:hAnsi="仿宋_GB2312" w:eastAsia="仿宋_GB2312"/>
          <w:b w:val="0"/>
          <w:sz w:val="32"/>
        </w:rPr>
        <w:t>3.社会保障和就业支出(类)131.27万元,占8.73%。</w:t>
      </w:r>
    </w:p>
    <w:p w14:paraId="1A19EC5C">
      <w:pPr>
        <w:spacing w:line="580" w:lineRule="exact"/>
        <w:ind w:firstLine="640"/>
        <w:jc w:val="both"/>
      </w:pPr>
      <w:r>
        <w:rPr>
          <w:rFonts w:ascii="仿宋_GB2312" w:hAnsi="仿宋_GB2312" w:eastAsia="仿宋_GB2312"/>
          <w:b w:val="0"/>
          <w:sz w:val="32"/>
        </w:rPr>
        <w:t>4.卫生健康支出(类)51.84万元,占3.45%。</w:t>
      </w:r>
    </w:p>
    <w:p w14:paraId="0D373287">
      <w:pPr>
        <w:spacing w:line="580" w:lineRule="exact"/>
        <w:ind w:firstLine="640"/>
        <w:jc w:val="both"/>
      </w:pPr>
      <w:r>
        <w:rPr>
          <w:rFonts w:ascii="仿宋_GB2312" w:hAnsi="仿宋_GB2312" w:eastAsia="仿宋_GB2312"/>
          <w:b w:val="0"/>
          <w:sz w:val="32"/>
        </w:rPr>
        <w:t>5.住房保障支出(类)72.04万元,占4.79%。</w:t>
      </w:r>
    </w:p>
    <w:p w14:paraId="08CE6A03">
      <w:pPr>
        <w:spacing w:line="640" w:lineRule="exact"/>
        <w:ind w:firstLine="640"/>
        <w:jc w:val="both"/>
        <w:outlineLvl w:val="3"/>
      </w:pPr>
      <w:r>
        <w:rPr>
          <w:rFonts w:ascii="楷体_GB2312" w:hAnsi="楷体_GB2312" w:eastAsia="楷体_GB2312"/>
          <w:b/>
          <w:sz w:val="32"/>
        </w:rPr>
        <w:t>（三）一般公共预算财政拨款支出决算具体情况</w:t>
      </w:r>
    </w:p>
    <w:p w14:paraId="0F39E11D">
      <w:pPr>
        <w:spacing w:line="580" w:lineRule="exact"/>
        <w:ind w:firstLine="640"/>
        <w:jc w:val="both"/>
      </w:pPr>
      <w:r>
        <w:rPr>
          <w:rFonts w:ascii="仿宋_GB2312" w:hAnsi="仿宋_GB2312" w:eastAsia="仿宋_GB2312"/>
          <w:b w:val="0"/>
          <w:sz w:val="32"/>
        </w:rPr>
        <w:t>1.公共安全支出(类)法院(款)行政运行(项):支出决算数为917.1万元，比上年决算减少4.74万元，下降0.51%,主要原因是：本年在职人员减少，相应人员经费较上年减少。</w:t>
      </w:r>
    </w:p>
    <w:p w14:paraId="53F9E943">
      <w:pPr>
        <w:spacing w:line="580" w:lineRule="exact"/>
        <w:ind w:firstLine="640"/>
        <w:jc w:val="both"/>
      </w:pPr>
      <w:r>
        <w:rPr>
          <w:rFonts w:ascii="仿宋_GB2312" w:hAnsi="仿宋_GB2312" w:eastAsia="仿宋_GB2312"/>
          <w:b w:val="0"/>
          <w:sz w:val="32"/>
        </w:rPr>
        <w:t>2.公共安全支出(类)法院(款)一般行政管理事务(项):支出决算数为9.75万元，比上年决算减少0.22万元，下降2.21%,主要原因是：本年减少</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工作队经费，相关支出减少。</w:t>
      </w:r>
    </w:p>
    <w:p w14:paraId="216575AA">
      <w:pPr>
        <w:spacing w:line="580" w:lineRule="exact"/>
        <w:ind w:firstLine="640"/>
        <w:jc w:val="both"/>
      </w:pPr>
      <w:r>
        <w:rPr>
          <w:rFonts w:ascii="仿宋_GB2312" w:hAnsi="仿宋_GB2312" w:eastAsia="仿宋_GB2312"/>
          <w:b w:val="0"/>
          <w:sz w:val="32"/>
        </w:rPr>
        <w:t>3.公共安全支出(类)法院(款)其他法院支出(项):支出决算数为318.74万元，比上年决算增加19.85万元，增长6.64%,主要原因是：本年增加第二批综合业务费用，相关支出增加。</w:t>
      </w:r>
    </w:p>
    <w:p w14:paraId="4DF81974">
      <w:pPr>
        <w:spacing w:line="580" w:lineRule="exact"/>
        <w:ind w:firstLine="640"/>
        <w:jc w:val="both"/>
      </w:pPr>
      <w:r>
        <w:rPr>
          <w:rFonts w:ascii="仿宋_GB2312" w:hAnsi="仿宋_GB2312" w:eastAsia="仿宋_GB2312"/>
          <w:b w:val="0"/>
          <w:sz w:val="32"/>
        </w:rPr>
        <w:t>4.教育支出(类)进修及培训(款)培训支出(项):支出决算数为2.6万元，比上年决算增加0.48万元，增长22.64%,主要原因是：本年疆内外培训次数较多，相关培训经费增加。</w:t>
      </w:r>
    </w:p>
    <w:p w14:paraId="75269F3B">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5.社会保障和就业支出(类)行政事业单位养老支出(款)行政单位离退休(项):支出决算数为12.95万元，比上年决算增加2.73万元，增长26.71%,主要原因是：本年退休人员增加，退休费支出增加。</w:t>
      </w:r>
    </w:p>
    <w:p w14:paraId="4BB789A9">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6.社会保障和就业支出(类)行政事业单位养老支出(款)机关事业单位基本养老保险缴费支出(项):支出决算数为81.14万元，比上年决算增加9.32万元，增长12.98%,主要原因是：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人员工资基数调增，养老缴费基数上涨，相应支出增加。</w:t>
      </w:r>
    </w:p>
    <w:p w14:paraId="0FAE32BF">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7.社会保障和就业支出(类)行政事业单位养老支出(款)机关事业单位职业年金缴费支出(项):支出决算数为37.18万元，比上年决算增加37.18万元，增长100.00%,主要原因是：本年新增退休人员，职业年金缴费支出增加。</w:t>
      </w:r>
    </w:p>
    <w:p w14:paraId="6485D984">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8.社会保障和就业支出(类)抚恤(款)死亡抚恤(项):支出决算数为0.00万元，比上年决算减少21.26万元，下降100.00%,主要原因是：本年无新增死亡人员，死亡抚恤支出较上年减少。</w:t>
      </w:r>
    </w:p>
    <w:p w14:paraId="498B120C">
      <w:pPr>
        <w:spacing w:line="580" w:lineRule="exact"/>
        <w:ind w:firstLine="640"/>
        <w:jc w:val="both"/>
      </w:pPr>
      <w:r>
        <w:rPr>
          <w:rFonts w:ascii="仿宋_GB2312" w:hAnsi="仿宋_GB2312" w:eastAsia="仿宋_GB2312"/>
          <w:b w:val="0"/>
          <w:sz w:val="32"/>
        </w:rPr>
        <w:t>9.卫生健康支出(类)行政事业单位医疗(款)行政单位医疗(项):支出决算数为35.5万元，比上年决算增加3.54万元，增长11.08%,主要原因是：本年在职人员工资基数调增，医疗缴费基数上涨，相应支出增加。</w:t>
      </w:r>
    </w:p>
    <w:p w14:paraId="1FFF8D17">
      <w:pPr>
        <w:spacing w:line="580" w:lineRule="exact"/>
        <w:ind w:firstLine="640"/>
        <w:jc w:val="both"/>
      </w:pPr>
      <w:r>
        <w:rPr>
          <w:rFonts w:ascii="仿宋_GB2312" w:hAnsi="仿宋_GB2312" w:eastAsia="仿宋_GB2312"/>
          <w:b w:val="0"/>
          <w:sz w:val="32"/>
        </w:rPr>
        <w:t>10.卫生健康支出(类)行政事业单位医疗(款)公务员医疗补助(项):支出决算数为15.21万元，比上年决算增加1.48万元，增长10.78%,主要原因是：本年在职人员工资基数调增，医疗缴费基数上涨，相应支出增加。</w:t>
      </w:r>
    </w:p>
    <w:p w14:paraId="2ADECDAE">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11.卫生健康支出(类)行政事业单位医疗(款)其他行政事业单位医疗支出(项):支出决算数为1.12万元，比上年决算减少0.20万元，下降15.15%,主要原因是：本年在职人员减少，其他行政事业单位医疗支出较上年减少。</w:t>
      </w:r>
    </w:p>
    <w:p w14:paraId="770F4238">
      <w:pPr>
        <w:spacing w:line="580" w:lineRule="exact"/>
        <w:ind w:firstLine="640"/>
        <w:jc w:val="both"/>
      </w:pPr>
      <w:r>
        <w:rPr>
          <w:rFonts w:ascii="仿宋_GB2312" w:hAnsi="仿宋_GB2312" w:eastAsia="仿宋_GB2312"/>
          <w:b w:val="0"/>
          <w:sz w:val="32"/>
        </w:rPr>
        <w:t>12.住房保障支出(类)住房改革支出(款)住房公积金(项):支出决算数为72.04万元，比上年决算增加15.62万元，增长27.69%,主要原因是：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人员工资基数调增，公积金缴费基数上涨，相应支出增加。</w:t>
      </w:r>
    </w:p>
    <w:p w14:paraId="1C129D1A">
      <w:pPr>
        <w:spacing w:line="640" w:lineRule="exact"/>
        <w:ind w:firstLine="640"/>
        <w:jc w:val="both"/>
        <w:outlineLvl w:val="2"/>
      </w:pPr>
      <w:r>
        <w:rPr>
          <w:rFonts w:ascii="黑体" w:hAnsi="黑体" w:eastAsia="黑体"/>
          <w:sz w:val="32"/>
        </w:rPr>
        <w:t>六、一般公共预算财政拨款基本支出决算情况说明</w:t>
      </w:r>
    </w:p>
    <w:p w14:paraId="3A67532A">
      <w:pPr>
        <w:spacing w:line="580" w:lineRule="exact"/>
        <w:ind w:firstLine="640"/>
        <w:jc w:val="both"/>
      </w:pPr>
      <w:r>
        <w:rPr>
          <w:rFonts w:ascii="仿宋_GB2312" w:hAnsi="仿宋_GB2312" w:eastAsia="仿宋_GB2312"/>
          <w:b w:val="0"/>
          <w:sz w:val="32"/>
        </w:rPr>
        <w:t>2024年度一般公共预算财政拨款基本支出1,174.84万元，其中：</w:t>
      </w:r>
      <w:r>
        <w:rPr>
          <w:rFonts w:ascii="仿宋_GB2312" w:hAnsi="仿宋_GB2312" w:eastAsia="仿宋_GB2312"/>
          <w:b/>
          <w:sz w:val="32"/>
        </w:rPr>
        <w:t>人员经费1,090.34万元，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奖励金。</w:t>
      </w:r>
    </w:p>
    <w:p w14:paraId="38BADC57">
      <w:pPr>
        <w:spacing w:line="580" w:lineRule="exact"/>
        <w:ind w:firstLine="640"/>
        <w:jc w:val="both"/>
      </w:pPr>
      <w:r>
        <w:rPr>
          <w:rFonts w:ascii="仿宋_GB2312" w:hAnsi="仿宋_GB2312" w:eastAsia="仿宋_GB2312"/>
          <w:b/>
          <w:sz w:val="32"/>
        </w:rPr>
        <w:t>公用经费84.50万元，</w:t>
      </w:r>
      <w:r>
        <w:rPr>
          <w:rFonts w:ascii="仿宋_GB2312" w:hAnsi="仿宋_GB2312" w:eastAsia="仿宋_GB2312"/>
          <w:b w:val="0"/>
          <w:sz w:val="32"/>
        </w:rPr>
        <w:t>包括：办公费、水费、电费、取暖费、物业管理费、差旅费、租赁费、培训费、劳务费、委托业务费、工会经费、福利费、公务用车运行维护费、其他交通费用、其他商品和服务支出。</w:t>
      </w:r>
    </w:p>
    <w:p w14:paraId="77117251">
      <w:pPr>
        <w:spacing w:line="640" w:lineRule="exact"/>
        <w:ind w:firstLine="640"/>
        <w:jc w:val="both"/>
        <w:outlineLvl w:val="2"/>
      </w:pPr>
      <w:r>
        <w:rPr>
          <w:rFonts w:ascii="黑体" w:hAnsi="黑体" w:eastAsia="黑体"/>
          <w:sz w:val="32"/>
        </w:rPr>
        <w:t>七、政府性基金预算财政拨款收入支出决算情况说明</w:t>
      </w:r>
    </w:p>
    <w:p w14:paraId="43C9924C">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A5711DA">
      <w:pPr>
        <w:spacing w:line="640" w:lineRule="exact"/>
        <w:ind w:firstLine="640"/>
        <w:jc w:val="both"/>
        <w:outlineLvl w:val="2"/>
      </w:pPr>
      <w:r>
        <w:rPr>
          <w:rFonts w:ascii="黑体" w:hAnsi="黑体" w:eastAsia="黑体"/>
          <w:sz w:val="32"/>
        </w:rPr>
        <w:t>八、国有资本经营预算财政拨款收入支出决算情况说明</w:t>
      </w:r>
    </w:p>
    <w:p w14:paraId="53AF1AE1">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5C7F306">
      <w:pPr>
        <w:spacing w:line="640" w:lineRule="exact"/>
        <w:ind w:firstLine="640"/>
        <w:jc w:val="both"/>
        <w:outlineLvl w:val="2"/>
      </w:pPr>
      <w:r>
        <w:rPr>
          <w:rFonts w:ascii="黑体" w:hAnsi="黑体" w:eastAsia="黑体"/>
          <w:sz w:val="32"/>
        </w:rPr>
        <w:t>九、财政拨款“三公”经费支出决算情况说明</w:t>
      </w:r>
    </w:p>
    <w:p w14:paraId="3359732A">
      <w:pPr>
        <w:spacing w:line="580" w:lineRule="exact"/>
        <w:ind w:firstLine="640"/>
        <w:jc w:val="both"/>
      </w:pPr>
      <w:r>
        <w:rPr>
          <w:rFonts w:ascii="仿宋_GB2312" w:hAnsi="仿宋_GB2312" w:eastAsia="仿宋_GB2312"/>
          <w:b/>
          <w:sz w:val="32"/>
        </w:rPr>
        <w:t>2024年度财政拨款“三公”经费支出18.00万元，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18.00万元，占100.00%，比上年增加0.00万元，增长0.00%，主要原因是：本部门公务用车运行维护费与上年一致无变化。公务接待费支出0.00万元，占0.00%，比上年增加0.00万元，增长0.00%，主要原因是：2023年与2024年均未安排公务接待费支出。</w:t>
      </w:r>
    </w:p>
    <w:p w14:paraId="03E4D0BA">
      <w:pPr>
        <w:spacing w:line="580" w:lineRule="exact"/>
        <w:ind w:firstLine="640"/>
        <w:jc w:val="both"/>
      </w:pPr>
      <w:r>
        <w:rPr>
          <w:rFonts w:ascii="仿宋_GB2312" w:hAnsi="仿宋_GB2312" w:eastAsia="仿宋_GB2312"/>
          <w:b/>
          <w:sz w:val="32"/>
        </w:rPr>
        <w:t>具体情况如下：</w:t>
      </w:r>
    </w:p>
    <w:p w14:paraId="3F27CA7F">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1DFFF35">
      <w:pPr>
        <w:spacing w:line="580" w:lineRule="exact"/>
        <w:ind w:firstLine="640"/>
        <w:jc w:val="both"/>
      </w:pPr>
      <w:r>
        <w:rPr>
          <w:rFonts w:ascii="仿宋_GB2312" w:hAnsi="仿宋_GB2312" w:eastAsia="仿宋_GB2312"/>
          <w:b w:val="0"/>
          <w:sz w:val="32"/>
        </w:rPr>
        <w:t>公务用车购置及运行维护费18.00万元，其中：公务用车购置费0.00万元，公务用车运行维护费18.00万元。公务用车运行维护费开支内容包括车辆加油费、维修费、保险费。公务用车购置数0辆，公务用车保有量12辆。国有资产占用情况中固定资产车辆12辆，与公务用车保有量差异原因是：本部门固定资产车辆与公务用车保有量一致无差异。</w:t>
      </w:r>
    </w:p>
    <w:p w14:paraId="01EFB21D">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469ECB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18.00万元，决算数18.00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18.00万元，决算数18.00万元，预决算差异率0.00%，主要原因是：严格按照预算执行，预决算无差异。公务接待费全年预算数0.00万元，决算数0.00万元，预决算差异率0.00%，主要原因是：本部门无公务接待费。</w:t>
      </w:r>
    </w:p>
    <w:p w14:paraId="296C2946">
      <w:pPr>
        <w:spacing w:line="640" w:lineRule="exact"/>
        <w:ind w:firstLine="640"/>
        <w:jc w:val="both"/>
        <w:outlineLvl w:val="2"/>
      </w:pPr>
      <w:r>
        <w:rPr>
          <w:rFonts w:ascii="黑体" w:hAnsi="黑体" w:eastAsia="黑体"/>
          <w:sz w:val="32"/>
        </w:rPr>
        <w:t>十、其他重要事项的情况说明</w:t>
      </w:r>
    </w:p>
    <w:p w14:paraId="26E529AC">
      <w:pPr>
        <w:spacing w:line="640" w:lineRule="exact"/>
        <w:ind w:firstLine="640"/>
        <w:jc w:val="both"/>
        <w:outlineLvl w:val="3"/>
      </w:pPr>
      <w:r>
        <w:rPr>
          <w:rFonts w:ascii="楷体_GB2312" w:hAnsi="楷体_GB2312" w:eastAsia="楷体_GB2312"/>
          <w:b/>
          <w:sz w:val="32"/>
        </w:rPr>
        <w:t>（一）机关运行经费及公用经费支出情况</w:t>
      </w:r>
    </w:p>
    <w:p w14:paraId="338C62FF">
      <w:pPr>
        <w:spacing w:line="580" w:lineRule="exact"/>
        <w:ind w:firstLine="640"/>
        <w:jc w:val="both"/>
      </w:pPr>
      <w:r>
        <w:rPr>
          <w:rFonts w:ascii="仿宋_GB2312" w:hAnsi="仿宋_GB2312" w:eastAsia="仿宋_GB2312"/>
          <w:b w:val="0"/>
          <w:sz w:val="32"/>
        </w:rPr>
        <w:t>2024年度新疆巴州若羌县人民法院（行政单位和参照公务员法管理事业单位）机关运行经费支出84.50万元，比上年增加4.70万元，增长5.89%，主要原因是：本年因业务量增加需要更新、维护补充办公用品，导致机关运行经费较上年增加。</w:t>
      </w:r>
    </w:p>
    <w:p w14:paraId="3BB85F2E">
      <w:pPr>
        <w:spacing w:line="640" w:lineRule="exact"/>
        <w:ind w:firstLine="640"/>
        <w:jc w:val="both"/>
        <w:outlineLvl w:val="3"/>
      </w:pPr>
      <w:r>
        <w:rPr>
          <w:rFonts w:ascii="楷体_GB2312" w:hAnsi="楷体_GB2312" w:eastAsia="楷体_GB2312"/>
          <w:b/>
          <w:sz w:val="32"/>
        </w:rPr>
        <w:t>（二）政府采购情况</w:t>
      </w:r>
    </w:p>
    <w:p w14:paraId="57752D19">
      <w:pPr>
        <w:spacing w:line="580" w:lineRule="exact"/>
        <w:ind w:firstLine="640"/>
        <w:jc w:val="both"/>
      </w:pPr>
      <w:r>
        <w:rPr>
          <w:rFonts w:ascii="仿宋_GB2312" w:hAnsi="仿宋_GB2312" w:eastAsia="仿宋_GB2312"/>
          <w:b w:val="0"/>
          <w:sz w:val="32"/>
        </w:rPr>
        <w:t>2024年度政府采购支出总额92.69万元，其中：政府采购货物支出23.54万元、政府采购工程支出61.30万元、政府采购服务支出7.86万元。</w:t>
      </w:r>
    </w:p>
    <w:p w14:paraId="0C80CE4B">
      <w:pPr>
        <w:spacing w:line="580" w:lineRule="exact"/>
        <w:ind w:firstLine="640"/>
        <w:jc w:val="both"/>
      </w:pPr>
      <w:r>
        <w:rPr>
          <w:rFonts w:ascii="仿宋_GB2312" w:hAnsi="仿宋_GB2312" w:eastAsia="仿宋_GB2312"/>
          <w:b w:val="0"/>
          <w:sz w:val="32"/>
        </w:rPr>
        <w:t>授予中小企业合同金额92.69万元，占政府采购支出总额的100.00%，其中：授予小微企业合同金额84.14万元，占政府采购支出总额的90.78%。</w:t>
      </w:r>
    </w:p>
    <w:p w14:paraId="2F6620A7">
      <w:pPr>
        <w:spacing w:line="640" w:lineRule="exact"/>
        <w:ind w:firstLine="640"/>
        <w:jc w:val="both"/>
        <w:outlineLvl w:val="3"/>
      </w:pPr>
      <w:r>
        <w:rPr>
          <w:rFonts w:ascii="楷体_GB2312" w:hAnsi="楷体_GB2312" w:eastAsia="楷体_GB2312"/>
          <w:b/>
          <w:sz w:val="32"/>
        </w:rPr>
        <w:t>（三）国有资产占用情况说明</w:t>
      </w:r>
    </w:p>
    <w:p w14:paraId="0B18731F">
      <w:pPr>
        <w:spacing w:line="580" w:lineRule="exact"/>
        <w:ind w:firstLine="640"/>
        <w:jc w:val="both"/>
      </w:pPr>
      <w:r>
        <w:rPr>
          <w:rFonts w:ascii="仿宋_GB2312" w:hAnsi="仿宋_GB2312" w:eastAsia="仿宋_GB2312"/>
          <w:b w:val="0"/>
          <w:sz w:val="32"/>
        </w:rPr>
        <w:t>截至2024年12月31日，房屋3,645.98平方米，价值521.72万元。车辆12辆，价值277.90万元，其中：副部（省）级及以上领导用车0辆、主要负责人用车0辆、机要通信用车0辆、应急保障用车0辆、执法执勤用车11辆、特种专业技术用车0辆、离退休干部服务用车0辆、其他用车1辆，其他用车主要是：日常工作保障用车。单价100万元（含）以上设备（不含车辆）1台（套）。</w:t>
      </w:r>
    </w:p>
    <w:p w14:paraId="2382FBCC">
      <w:pPr>
        <w:spacing w:line="640" w:lineRule="exact"/>
        <w:ind w:firstLine="640"/>
        <w:jc w:val="both"/>
        <w:outlineLvl w:val="2"/>
      </w:pPr>
      <w:r>
        <w:rPr>
          <w:rFonts w:ascii="黑体" w:hAnsi="黑体" w:eastAsia="黑体"/>
          <w:sz w:val="32"/>
        </w:rPr>
        <w:t>十一、预算绩效的情况说明</w:t>
      </w:r>
    </w:p>
    <w:p w14:paraId="79CA1E3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根据预算绩效管理要求，本部门2024年度预算绩效管理形成整体支出绩效自评表1个，全年预算总额1,503.33万元，实际执行总额1,503.33万元；预算绩效评价项目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329</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328.49</w:t>
      </w:r>
      <w:r>
        <w:rPr>
          <w:rFonts w:ascii="仿宋_GB2312" w:hAnsi="仿宋_GB2312" w:eastAsia="仿宋_GB2312"/>
          <w:b w:val="0"/>
          <w:sz w:val="32"/>
        </w:rPr>
        <w:t>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完善相关制度，推进制度落实。依据相关法律、法规及管理办法，建立分级分类、使用高效、便于操作的实施细则及业务规范，制定绩效问责制度、公开制度等，加快形成“用钱必问效、无效必问责”的机制。具体附部门整体支出绩效自评表，项目支出绩效自评表和部门评价报告。</w:t>
      </w:r>
    </w:p>
    <w:p w14:paraId="57DADCA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9EA0D7A">
        <w:tblPrEx>
          <w:tblCellMar>
            <w:top w:w="0" w:type="dxa"/>
            <w:left w:w="108" w:type="dxa"/>
            <w:bottom w:w="0" w:type="dxa"/>
            <w:right w:w="108" w:type="dxa"/>
          </w:tblCellMar>
        </w:tblPrEx>
        <w:tc>
          <w:tcPr>
            <w:tcW w:w="8840" w:type="dxa"/>
            <w:gridSpan w:val="8"/>
            <w:vAlign w:val="center"/>
          </w:tcPr>
          <w:p w14:paraId="538F7BD2">
            <w:pPr>
              <w:jc w:val="center"/>
            </w:pPr>
            <w:r>
              <w:rPr>
                <w:rFonts w:ascii="宋体" w:hAnsi="宋体" w:eastAsia="宋体"/>
                <w:sz w:val="24"/>
              </w:rPr>
              <w:t>部门整体支出绩效自评表</w:t>
            </w:r>
          </w:p>
        </w:tc>
      </w:tr>
      <w:tr w14:paraId="190A63DD">
        <w:tblPrEx>
          <w:tblCellMar>
            <w:top w:w="0" w:type="dxa"/>
            <w:left w:w="108" w:type="dxa"/>
            <w:bottom w:w="0" w:type="dxa"/>
            <w:right w:w="108" w:type="dxa"/>
          </w:tblCellMar>
        </w:tblPrEx>
        <w:tc>
          <w:tcPr>
            <w:tcW w:w="8840" w:type="dxa"/>
            <w:gridSpan w:val="8"/>
            <w:vAlign w:val="center"/>
          </w:tcPr>
          <w:p w14:paraId="0719170E">
            <w:pPr>
              <w:jc w:val="center"/>
            </w:pPr>
            <w:r>
              <w:rPr>
                <w:rFonts w:ascii="宋体" w:hAnsi="宋体" w:eastAsia="宋体"/>
                <w:sz w:val="24"/>
              </w:rPr>
              <w:t>（2024年度）</w:t>
            </w:r>
          </w:p>
        </w:tc>
      </w:tr>
      <w:tr w14:paraId="3AFBF9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04B6D">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218667">
            <w:pPr>
              <w:jc w:val="center"/>
            </w:pPr>
            <w:r>
              <w:rPr>
                <w:rFonts w:ascii="宋体" w:hAnsi="宋体" w:eastAsia="宋体"/>
                <w:sz w:val="16"/>
              </w:rPr>
              <w:t>新疆巴州若羌县人民法院</w:t>
            </w:r>
          </w:p>
        </w:tc>
      </w:tr>
      <w:tr w14:paraId="096DB73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0A8D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4BA4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55C7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559FF6">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884D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39A1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4D48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5798D">
            <w:pPr>
              <w:jc w:val="center"/>
            </w:pPr>
            <w:r>
              <w:rPr>
                <w:rFonts w:ascii="宋体" w:hAnsi="宋体" w:eastAsia="宋体"/>
                <w:sz w:val="16"/>
              </w:rPr>
              <w:t>得分</w:t>
            </w:r>
          </w:p>
        </w:tc>
      </w:tr>
      <w:tr w14:paraId="52CE998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31AB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8352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27605">
            <w:pPr>
              <w:jc w:val="center"/>
            </w:pPr>
            <w:r>
              <w:rPr>
                <w:rFonts w:ascii="宋体" w:hAnsi="宋体" w:eastAsia="宋体"/>
                <w:sz w:val="16"/>
              </w:rPr>
              <w:t>1,435.54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1382F">
            <w:pPr>
              <w:jc w:val="center"/>
            </w:pPr>
            <w:r>
              <w:rPr>
                <w:rFonts w:ascii="宋体" w:hAnsi="宋体" w:eastAsia="宋体"/>
                <w:sz w:val="16"/>
              </w:rPr>
              <w:t>1,503.33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B7CE7">
            <w:pPr>
              <w:jc w:val="center"/>
            </w:pPr>
            <w:r>
              <w:rPr>
                <w:rFonts w:ascii="宋体" w:hAnsi="宋体" w:eastAsia="宋体"/>
                <w:sz w:val="16"/>
              </w:rPr>
              <w:t>1,503.33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55B9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7EE5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40B11">
            <w:pPr>
              <w:jc w:val="center"/>
            </w:pPr>
            <w:r>
              <w:rPr>
                <w:rFonts w:ascii="宋体" w:hAnsi="宋体" w:eastAsia="宋体"/>
                <w:sz w:val="16"/>
              </w:rPr>
              <w:t>10</w:t>
            </w:r>
          </w:p>
        </w:tc>
      </w:tr>
      <w:tr w14:paraId="5AD06D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6CB6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239A8">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BF17EB">
            <w:pPr>
              <w:jc w:val="center"/>
            </w:pPr>
            <w:r>
              <w:rPr>
                <w:rFonts w:ascii="宋体" w:hAnsi="宋体" w:eastAsia="宋体"/>
                <w:sz w:val="16"/>
              </w:rPr>
              <w:t>248.00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F62D7">
            <w:pPr>
              <w:jc w:val="center"/>
            </w:pPr>
            <w:r>
              <w:rPr>
                <w:rFonts w:ascii="宋体" w:hAnsi="宋体" w:eastAsia="宋体"/>
                <w:sz w:val="16"/>
              </w:rPr>
              <w:t>328.48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9698E">
            <w:pPr>
              <w:jc w:val="center"/>
            </w:pPr>
            <w:r>
              <w:rPr>
                <w:rFonts w:ascii="宋体" w:hAnsi="宋体" w:eastAsia="宋体"/>
                <w:sz w:val="16"/>
              </w:rPr>
              <w:t>328.48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65F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E114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2DD48">
            <w:pPr>
              <w:jc w:val="center"/>
            </w:pPr>
            <w:r>
              <w:rPr>
                <w:rFonts w:ascii="宋体" w:hAnsi="宋体" w:eastAsia="宋体"/>
                <w:sz w:val="16"/>
              </w:rPr>
              <w:t>-</w:t>
            </w:r>
          </w:p>
        </w:tc>
      </w:tr>
      <w:tr w14:paraId="410D7B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BEB0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D0D6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76DC9">
            <w:pPr>
              <w:jc w:val="center"/>
            </w:pPr>
            <w:r>
              <w:rPr>
                <w:rFonts w:ascii="宋体" w:hAnsi="宋体" w:eastAsia="宋体"/>
                <w:sz w:val="16"/>
              </w:rPr>
              <w:t>1,187.54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BE556">
            <w:pPr>
              <w:jc w:val="center"/>
            </w:pPr>
            <w:r>
              <w:rPr>
                <w:rFonts w:ascii="宋体" w:hAnsi="宋体" w:eastAsia="宋体"/>
                <w:sz w:val="16"/>
              </w:rPr>
              <w:t>1,174.85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4BDD5">
            <w:pPr>
              <w:jc w:val="center"/>
            </w:pPr>
            <w:r>
              <w:rPr>
                <w:rFonts w:ascii="宋体" w:hAnsi="宋体" w:eastAsia="宋体"/>
                <w:sz w:val="16"/>
              </w:rPr>
              <w:t>1,174.85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1D4E7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AB990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7B697E">
            <w:pPr>
              <w:jc w:val="center"/>
            </w:pPr>
            <w:r>
              <w:rPr>
                <w:rFonts w:ascii="宋体" w:hAnsi="宋体" w:eastAsia="宋体"/>
                <w:sz w:val="16"/>
              </w:rPr>
              <w:t>-</w:t>
            </w:r>
          </w:p>
        </w:tc>
      </w:tr>
      <w:tr w14:paraId="173F1E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C1628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669778">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1A70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7968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EDB9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8086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413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0CA61">
            <w:pPr>
              <w:jc w:val="center"/>
            </w:pPr>
            <w:r>
              <w:rPr>
                <w:rFonts w:ascii="宋体" w:hAnsi="宋体" w:eastAsia="宋体"/>
                <w:sz w:val="16"/>
              </w:rPr>
              <w:t>-</w:t>
            </w:r>
          </w:p>
        </w:tc>
      </w:tr>
      <w:tr w14:paraId="050412B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6A5C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F64AA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500AEF">
            <w:pPr>
              <w:jc w:val="center"/>
            </w:pPr>
            <w:r>
              <w:rPr>
                <w:rFonts w:ascii="宋体" w:hAnsi="宋体" w:eastAsia="宋体"/>
                <w:sz w:val="16"/>
              </w:rPr>
              <w:t>实际完成情况</w:t>
            </w:r>
          </w:p>
        </w:tc>
      </w:tr>
      <w:tr w14:paraId="25CAF2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4A33A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D0ABF5">
            <w:pPr>
              <w:jc w:val="both"/>
            </w:pPr>
            <w:r>
              <w:rPr>
                <w:rFonts w:ascii="宋体" w:hAnsi="宋体" w:eastAsia="宋体"/>
                <w:sz w:val="16"/>
              </w:rPr>
              <w:t>按照“十四五”规划部署，紧紧围绕促进新疆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若羌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62A4E9">
            <w:pPr>
              <w:jc w:val="both"/>
            </w:pPr>
            <w:r>
              <w:rPr>
                <w:rFonts w:ascii="宋体" w:hAnsi="宋体" w:eastAsia="宋体"/>
                <w:sz w:val="16"/>
              </w:rPr>
              <w:t>截至12月末，我院保障在职人员37人，聘用同工同酬书记员12人，退休人员15人，截至目前发放工资12次，保障公务保障用车12辆，全年受理各类案件2684件，结案2498件，达到保障办案所需业务经费、全面监督、规范监督，实现政治效果、法律效果和社会效果相统一、维护人民生命健康权益、人民群众对加强法律监督，审理本院发生法院</w:t>
            </w:r>
            <w:r>
              <w:rPr>
                <w:rFonts w:hint="eastAsia" w:ascii="宋体" w:hAnsi="宋体"/>
                <w:sz w:val="16"/>
                <w:lang w:eastAsia="zh-CN"/>
              </w:rPr>
              <w:t>效力</w:t>
            </w:r>
            <w:r>
              <w:rPr>
                <w:rFonts w:ascii="宋体" w:hAnsi="宋体" w:eastAsia="宋体"/>
                <w:sz w:val="16"/>
              </w:rPr>
              <w:t>的判决、裁定提起再审的案件；审理由县人民检察院按照审判程序提出的抗诉案件维护司法公正满意度的目标。</w:t>
            </w:r>
          </w:p>
        </w:tc>
      </w:tr>
      <w:tr w14:paraId="2E84FC0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108C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A700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0E5E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BD9F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63B0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40EB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38CA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9A301">
            <w:pPr>
              <w:jc w:val="center"/>
            </w:pPr>
            <w:r>
              <w:rPr>
                <w:rFonts w:ascii="宋体" w:hAnsi="宋体" w:eastAsia="宋体"/>
                <w:sz w:val="16"/>
              </w:rPr>
              <w:t>得分</w:t>
            </w:r>
          </w:p>
        </w:tc>
      </w:tr>
      <w:tr w14:paraId="35A96A2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17D9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31D6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F2566">
            <w:pPr>
              <w:jc w:val="center"/>
            </w:pPr>
            <w:r>
              <w:rPr>
                <w:rFonts w:ascii="宋体" w:hAnsi="宋体" w:eastAsia="宋体"/>
                <w:sz w:val="16"/>
              </w:rPr>
              <w:t>法院受案数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12A324">
            <w:pPr>
              <w:jc w:val="center"/>
            </w:pPr>
            <w:r>
              <w:rPr>
                <w:rFonts w:ascii="宋体" w:hAnsi="宋体" w:eastAsia="宋体"/>
                <w:sz w:val="16"/>
              </w:rPr>
              <w:t>&gt;=2200件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CD48C">
            <w:pPr>
              <w:jc w:val="center"/>
            </w:pPr>
            <w:r>
              <w:rPr>
                <w:rFonts w:ascii="宋体" w:hAnsi="宋体" w:eastAsia="宋体"/>
                <w:sz w:val="16"/>
              </w:rPr>
              <w:t>若羌县人民法院工作报告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8D47D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1BF2A7">
            <w:pPr>
              <w:jc w:val="center"/>
            </w:pPr>
            <w:r>
              <w:rPr>
                <w:rFonts w:ascii="宋体" w:hAnsi="宋体" w:eastAsia="宋体"/>
                <w:sz w:val="16"/>
              </w:rPr>
              <w:t>2684件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49657">
            <w:pPr>
              <w:jc w:val="center"/>
            </w:pPr>
            <w:r>
              <w:rPr>
                <w:rFonts w:ascii="宋体" w:hAnsi="宋体" w:eastAsia="宋体"/>
                <w:sz w:val="16"/>
              </w:rPr>
              <w:t>20</w:t>
            </w:r>
          </w:p>
        </w:tc>
      </w:tr>
      <w:tr w14:paraId="099B9B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E8020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E221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98F6A">
            <w:pPr>
              <w:jc w:val="center"/>
            </w:pPr>
            <w:r>
              <w:rPr>
                <w:rFonts w:ascii="宋体" w:hAnsi="宋体" w:eastAsia="宋体"/>
                <w:sz w:val="16"/>
              </w:rPr>
              <w:t>案件调解数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4B876">
            <w:pPr>
              <w:jc w:val="center"/>
            </w:pPr>
            <w:r>
              <w:rPr>
                <w:rFonts w:ascii="宋体" w:hAnsi="宋体" w:eastAsia="宋体"/>
                <w:sz w:val="16"/>
              </w:rPr>
              <w:t>&gt;=700件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25160">
            <w:pPr>
              <w:jc w:val="center"/>
            </w:pPr>
            <w:r>
              <w:rPr>
                <w:rFonts w:ascii="宋体" w:hAnsi="宋体" w:eastAsia="宋体"/>
                <w:sz w:val="16"/>
              </w:rPr>
              <w:t>若羌县人民法院工作报告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EDC9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0D965">
            <w:pPr>
              <w:jc w:val="center"/>
            </w:pPr>
            <w:r>
              <w:rPr>
                <w:rFonts w:ascii="宋体" w:hAnsi="宋体" w:eastAsia="宋体"/>
                <w:sz w:val="16"/>
              </w:rPr>
              <w:t>685件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2EBF7">
            <w:pPr>
              <w:jc w:val="center"/>
            </w:pPr>
            <w:r>
              <w:rPr>
                <w:rFonts w:ascii="宋体" w:hAnsi="宋体" w:eastAsia="宋体"/>
                <w:sz w:val="16"/>
              </w:rPr>
              <w:t>18.93</w:t>
            </w:r>
          </w:p>
        </w:tc>
      </w:tr>
      <w:tr w14:paraId="375D6B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FBC12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6801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3C804">
            <w:pPr>
              <w:jc w:val="center"/>
            </w:pPr>
            <w:r>
              <w:rPr>
                <w:rFonts w:ascii="宋体" w:hAnsi="宋体" w:eastAsia="宋体"/>
                <w:sz w:val="16"/>
              </w:rPr>
              <w:t>庭审公开率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5A23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BDFB2">
            <w:pPr>
              <w:jc w:val="center"/>
            </w:pPr>
            <w:r>
              <w:rPr>
                <w:rFonts w:ascii="宋体" w:hAnsi="宋体" w:eastAsia="宋体"/>
                <w:sz w:val="16"/>
              </w:rPr>
              <w:t>若羌县人民法院工作报告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CD94B">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F9609">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EFCE0">
            <w:pPr>
              <w:jc w:val="center"/>
            </w:pPr>
            <w:r>
              <w:rPr>
                <w:rFonts w:ascii="宋体" w:hAnsi="宋体" w:eastAsia="宋体"/>
                <w:sz w:val="16"/>
              </w:rPr>
              <w:t>25</w:t>
            </w:r>
          </w:p>
        </w:tc>
      </w:tr>
      <w:tr w14:paraId="7CCB80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FCEA8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D66D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B265A">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697E7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C7A11">
            <w:pPr>
              <w:jc w:val="center"/>
            </w:pPr>
            <w:r>
              <w:rPr>
                <w:rFonts w:ascii="宋体" w:hAnsi="宋体" w:eastAsia="宋体"/>
                <w:sz w:val="16"/>
              </w:rPr>
              <w:t>若羌县人民法院工作报告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7114F">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380A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F2267">
            <w:pPr>
              <w:jc w:val="center"/>
            </w:pPr>
            <w:r>
              <w:rPr>
                <w:rFonts w:ascii="宋体" w:hAnsi="宋体" w:eastAsia="宋体"/>
                <w:sz w:val="16"/>
              </w:rPr>
              <w:t>25</w:t>
            </w:r>
          </w:p>
        </w:tc>
      </w:tr>
    </w:tbl>
    <w:p w14:paraId="3F886B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D9D44F9">
        <w:tblPrEx>
          <w:tblCellMar>
            <w:top w:w="0" w:type="dxa"/>
            <w:left w:w="108" w:type="dxa"/>
            <w:bottom w:w="0" w:type="dxa"/>
            <w:right w:w="108" w:type="dxa"/>
          </w:tblCellMar>
        </w:tblPrEx>
        <w:tc>
          <w:tcPr>
            <w:tcW w:w="8848" w:type="dxa"/>
            <w:gridSpan w:val="14"/>
            <w:vAlign w:val="center"/>
          </w:tcPr>
          <w:p w14:paraId="5E6F03A1">
            <w:pPr>
              <w:jc w:val="center"/>
            </w:pPr>
            <w:r>
              <w:rPr>
                <w:rFonts w:ascii="宋体" w:hAnsi="宋体" w:eastAsia="宋体"/>
                <w:sz w:val="24"/>
              </w:rPr>
              <w:t>项目支出绩效自评表</w:t>
            </w:r>
          </w:p>
        </w:tc>
      </w:tr>
      <w:tr w14:paraId="42BF3CC7">
        <w:tblPrEx>
          <w:tblCellMar>
            <w:top w:w="0" w:type="dxa"/>
            <w:left w:w="108" w:type="dxa"/>
            <w:bottom w:w="0" w:type="dxa"/>
            <w:right w:w="108" w:type="dxa"/>
          </w:tblCellMar>
        </w:tblPrEx>
        <w:tc>
          <w:tcPr>
            <w:tcW w:w="8848" w:type="dxa"/>
            <w:gridSpan w:val="14"/>
            <w:vAlign w:val="center"/>
          </w:tcPr>
          <w:p w14:paraId="67349701">
            <w:pPr>
              <w:jc w:val="center"/>
            </w:pPr>
            <w:r>
              <w:rPr>
                <w:rFonts w:ascii="宋体" w:hAnsi="宋体" w:eastAsia="宋体"/>
                <w:sz w:val="24"/>
              </w:rPr>
              <w:t>(2024年度)</w:t>
            </w:r>
          </w:p>
        </w:tc>
      </w:tr>
      <w:tr w14:paraId="3218CA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6A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CD2551">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1261BD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C6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7CCC0">
            <w:pPr>
              <w:jc w:val="center"/>
            </w:pPr>
            <w:r>
              <w:rPr>
                <w:rFonts w:ascii="宋体" w:hAnsi="宋体" w:eastAsia="宋体"/>
                <w:sz w:val="16"/>
              </w:rPr>
              <w:t>新疆巴州若羌县人民法院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0D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6EE686">
            <w:pPr>
              <w:jc w:val="center"/>
            </w:pPr>
            <w:r>
              <w:rPr>
                <w:rFonts w:ascii="宋体" w:hAnsi="宋体" w:eastAsia="宋体"/>
                <w:sz w:val="16"/>
              </w:rPr>
              <w:t>新疆巴州若羌县人民法院</w:t>
            </w:r>
          </w:p>
        </w:tc>
      </w:tr>
      <w:tr w14:paraId="3121A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4E5B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F8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C5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DF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D7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3A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B7A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21E9">
            <w:pPr>
              <w:jc w:val="center"/>
            </w:pPr>
            <w:r>
              <w:rPr>
                <w:rFonts w:ascii="宋体" w:hAnsi="宋体" w:eastAsia="宋体"/>
                <w:sz w:val="16"/>
              </w:rPr>
              <w:t>得分</w:t>
            </w:r>
          </w:p>
        </w:tc>
      </w:tr>
      <w:tr w14:paraId="7A7B4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B4F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421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0566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954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C9272">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E0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B9F8">
            <w:pPr>
              <w:jc w:val="center"/>
            </w:pPr>
            <w:r>
              <w:rPr>
                <w:rFonts w:ascii="宋体" w:hAnsi="宋体" w:eastAsia="宋体"/>
                <w:sz w:val="16"/>
              </w:rPr>
              <w:t>97.50%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C0D2">
            <w:pPr>
              <w:jc w:val="center"/>
            </w:pPr>
            <w:r>
              <w:rPr>
                <w:rFonts w:ascii="宋体" w:hAnsi="宋体" w:eastAsia="宋体"/>
                <w:sz w:val="16"/>
              </w:rPr>
              <w:t>9.38</w:t>
            </w:r>
          </w:p>
        </w:tc>
      </w:tr>
      <w:tr w14:paraId="3857F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9B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2A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438C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0498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F656A">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52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8A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FE3C">
            <w:pPr>
              <w:jc w:val="center"/>
            </w:pPr>
            <w:r>
              <w:rPr>
                <w:rFonts w:ascii="宋体" w:hAnsi="宋体" w:eastAsia="宋体"/>
                <w:sz w:val="16"/>
              </w:rPr>
              <w:t>-</w:t>
            </w:r>
          </w:p>
        </w:tc>
      </w:tr>
      <w:tr w14:paraId="7E574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861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ECE5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EC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1D5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03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8A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60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181E">
            <w:pPr>
              <w:jc w:val="center"/>
            </w:pPr>
            <w:r>
              <w:rPr>
                <w:rFonts w:ascii="宋体" w:hAnsi="宋体" w:eastAsia="宋体"/>
                <w:sz w:val="16"/>
              </w:rPr>
              <w:t>-</w:t>
            </w:r>
          </w:p>
        </w:tc>
      </w:tr>
      <w:tr w14:paraId="3A42B4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DF2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5653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E934D">
            <w:pPr>
              <w:jc w:val="center"/>
            </w:pPr>
            <w:r>
              <w:rPr>
                <w:rFonts w:ascii="宋体" w:hAnsi="宋体" w:eastAsia="宋体"/>
                <w:sz w:val="16"/>
              </w:rPr>
              <w:t>总体目标完成情况</w:t>
            </w:r>
          </w:p>
        </w:tc>
      </w:tr>
      <w:tr w14:paraId="71983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DBB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31339">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）文件精神，通过我院派1名干警前往依格孜吾斯塘村开展</w:t>
            </w:r>
            <w:r>
              <w:rPr>
                <w:rFonts w:hint="eastAsia" w:ascii="宋体" w:hAnsi="宋体"/>
                <w:sz w:val="16"/>
                <w:lang w:eastAsia="zh-CN"/>
              </w:rPr>
              <w:t>为民办实事</w:t>
            </w:r>
            <w:r>
              <w:rPr>
                <w:rFonts w:ascii="宋体" w:hAnsi="宋体" w:eastAsia="宋体"/>
                <w:sz w:val="16"/>
              </w:rPr>
              <w:t>工作及慰问村民30户，保障工作队经费10万元，合理合规使用，确保为民办实事经费使用的安全性、规范性和实效性；达到提升村民幸福感的效果。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59415">
            <w:pPr>
              <w:jc w:val="both"/>
            </w:pPr>
            <w:r>
              <w:rPr>
                <w:rFonts w:hint="eastAsia" w:ascii="宋体" w:hAnsi="宋体"/>
                <w:sz w:val="16"/>
                <w:lang w:eastAsia="zh-CN"/>
              </w:rPr>
              <w:t>1.</w:t>
            </w:r>
            <w:r>
              <w:rPr>
                <w:rFonts w:ascii="宋体" w:hAnsi="宋体" w:eastAsia="宋体"/>
                <w:sz w:val="16"/>
              </w:rPr>
              <w:t xml:space="preserve">该项目保障了1个乡村工作经费落实到居民实处。派驻工作队工作人员1人，工作经费落到实处，通过组织各项文体活动，提高了居民文化生活水平；及时拨付工作队经费做好资金保障工作。             </w:t>
            </w:r>
            <w:r>
              <w:rPr>
                <w:rFonts w:ascii="宋体" w:hAnsi="宋体" w:eastAsia="宋体"/>
                <w:sz w:val="16"/>
              </w:rPr>
              <w:br w:type="textWrapping"/>
            </w:r>
            <w:r>
              <w:rPr>
                <w:rFonts w:ascii="宋体" w:hAnsi="宋体" w:eastAsia="宋体"/>
                <w:sz w:val="16"/>
              </w:rPr>
              <w:t>2、开展慰问活动，支出0.73万元对30户村民进行慰问切实提高了团结关爱户、独居老人与社区干部的干群关系。受益人员满意度为95%，提高为民办实事力度，提升了群众获得感。</w:t>
            </w:r>
          </w:p>
        </w:tc>
      </w:tr>
      <w:tr w14:paraId="5B27F4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EC0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0B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D3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0D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6C2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5A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374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69A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C9E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3E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846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A9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336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8886">
            <w:pPr>
              <w:jc w:val="center"/>
            </w:pPr>
            <w:r>
              <w:rPr>
                <w:rFonts w:ascii="宋体" w:hAnsi="宋体" w:eastAsia="宋体"/>
                <w:sz w:val="16"/>
              </w:rPr>
              <w:t>偏差原因分析及改进措施</w:t>
            </w:r>
          </w:p>
        </w:tc>
      </w:tr>
      <w:tr w14:paraId="315E32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6A8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750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899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7456">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EE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C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9C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B8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C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C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54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D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FD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F873">
            <w:pPr>
              <w:jc w:val="center"/>
            </w:pPr>
          </w:p>
        </w:tc>
      </w:tr>
      <w:tr w14:paraId="2BC69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75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FA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1E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DA23">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B3E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A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8B6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8E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1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04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50E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C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90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A7CB">
            <w:pPr>
              <w:jc w:val="center"/>
            </w:pPr>
          </w:p>
        </w:tc>
      </w:tr>
      <w:tr w14:paraId="62657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EA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35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04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8C42">
            <w:pPr>
              <w:jc w:val="center"/>
            </w:pPr>
            <w:r>
              <w:rPr>
                <w:rFonts w:ascii="宋体" w:hAnsi="宋体" w:eastAsia="宋体"/>
                <w:sz w:val="16"/>
              </w:rPr>
              <w:t>慰问村民户数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848C">
            <w:pPr>
              <w:jc w:val="center"/>
            </w:pPr>
            <w:r>
              <w:rPr>
                <w:rFonts w:ascii="宋体" w:hAnsi="宋体" w:eastAsia="宋体"/>
                <w:sz w:val="16"/>
              </w:rPr>
              <w:t>&gt;=30户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77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3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B2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1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3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55AC">
            <w:pPr>
              <w:jc w:val="center"/>
            </w:pPr>
            <w:r>
              <w:rPr>
                <w:rFonts w:ascii="宋体" w:hAnsi="宋体" w:eastAsia="宋体"/>
                <w:sz w:val="16"/>
              </w:rPr>
              <w: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3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A4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46E8">
            <w:pPr>
              <w:jc w:val="center"/>
            </w:pPr>
          </w:p>
        </w:tc>
      </w:tr>
      <w:tr w14:paraId="100EF5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41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C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4A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B9EB">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4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D8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5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04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9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8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1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4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92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6B08">
            <w:pPr>
              <w:jc w:val="center"/>
            </w:pPr>
          </w:p>
        </w:tc>
      </w:tr>
      <w:tr w14:paraId="2AC3D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E7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D2D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AF9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6A7E">
            <w:pPr>
              <w:jc w:val="center"/>
            </w:pPr>
            <w:r>
              <w:rPr>
                <w:rFonts w:ascii="宋体" w:hAnsi="宋体" w:eastAsia="宋体"/>
                <w:sz w:val="16"/>
              </w:rPr>
              <w:t>为民办实事工作经费支付及时率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D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7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E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50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7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9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42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2DEB">
            <w:pPr>
              <w:jc w:val="center"/>
            </w:pPr>
            <w:r>
              <w:rPr>
                <w:rFonts w:ascii="宋体" w:hAnsi="宋体" w:eastAsia="宋体"/>
                <w:sz w:val="16"/>
              </w:rPr>
              <w:t>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EA19">
            <w:pPr>
              <w:jc w:val="center"/>
            </w:pPr>
            <w:r>
              <w:rPr>
                <w:rFonts w:ascii="宋体" w:hAnsi="宋体" w:eastAsia="宋体"/>
                <w:sz w:val="16"/>
              </w:rPr>
              <w:t>5.59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6EE9">
            <w:pPr>
              <w:jc w:val="center"/>
            </w:pPr>
            <w:r>
              <w:rPr>
                <w:rFonts w:ascii="宋体" w:hAnsi="宋体" w:eastAsia="宋体"/>
                <w:sz w:val="16"/>
              </w:rPr>
              <w:t>商家提供错误资金账号导致支付失败造成资金结余，今后将加强对商家提供资料的审核力度，避免此类情况再次发生。</w:t>
            </w:r>
          </w:p>
        </w:tc>
      </w:tr>
      <w:tr w14:paraId="759A3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9D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F2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0B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FF2C">
            <w:pPr>
              <w:jc w:val="center"/>
            </w:pPr>
            <w:r>
              <w:rPr>
                <w:rFonts w:ascii="宋体" w:hAnsi="宋体" w:eastAsia="宋体"/>
                <w:sz w:val="16"/>
              </w:rPr>
              <w:t>慰问及时率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A7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E6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A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03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2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2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C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7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64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3CE1">
            <w:pPr>
              <w:jc w:val="center"/>
            </w:pPr>
          </w:p>
        </w:tc>
      </w:tr>
      <w:tr w14:paraId="5CF26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2E2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965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FD8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322F">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8DBD">
            <w:pPr>
              <w:jc w:val="center"/>
            </w:pPr>
            <w:r>
              <w:rPr>
                <w:rFonts w:ascii="宋体" w:hAnsi="宋体" w:eastAsia="宋体"/>
                <w:sz w:val="16"/>
              </w:rPr>
              <w:t>&lt;=9.27万元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E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456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4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BA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3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2417">
            <w:pPr>
              <w:jc w:val="center"/>
            </w:pPr>
            <w:r>
              <w:rPr>
                <w:rFonts w:ascii="宋体" w:hAnsi="宋体" w:eastAsia="宋体"/>
                <w:sz w:val="16"/>
              </w:rPr>
              <w:t>=9.02万元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AF09">
            <w:pPr>
              <w:jc w:val="center"/>
            </w:pPr>
            <w:r>
              <w:rPr>
                <w:rFonts w:ascii="宋体" w:hAnsi="宋体" w:eastAsia="宋体"/>
                <w:sz w:val="16"/>
              </w:rPr>
              <w:t>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3B52">
            <w:pPr>
              <w:jc w:val="center"/>
            </w:pPr>
            <w:r>
              <w:rPr>
                <w:rFonts w:ascii="宋体" w:hAnsi="宋体" w:eastAsia="宋体"/>
                <w:sz w:val="16"/>
              </w:rPr>
              <w:t>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DCEA">
            <w:pPr>
              <w:jc w:val="center"/>
            </w:pPr>
            <w:r>
              <w:rPr>
                <w:rFonts w:ascii="宋体" w:hAnsi="宋体" w:eastAsia="宋体"/>
                <w:sz w:val="16"/>
              </w:rPr>
              <w:t>商家提供错误资金账号导致支付失败造成资金结余，今后将加强对商家提供资料的审核力度，避免此类情况再次发生。</w:t>
            </w:r>
          </w:p>
        </w:tc>
      </w:tr>
      <w:tr w14:paraId="0AEDA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19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10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98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099E">
            <w:pPr>
              <w:jc w:val="center"/>
            </w:pPr>
            <w:r>
              <w:rPr>
                <w:rFonts w:ascii="宋体" w:hAnsi="宋体" w:eastAsia="宋体"/>
                <w:sz w:val="16"/>
              </w:rPr>
              <w:t>慰问村民成本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1FF2">
            <w:pPr>
              <w:jc w:val="center"/>
            </w:pPr>
            <w:r>
              <w:rPr>
                <w:rFonts w:ascii="宋体" w:hAnsi="宋体" w:eastAsia="宋体"/>
                <w:sz w:val="16"/>
              </w:rPr>
              <w:t>&lt;=0.73万元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A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E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F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7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73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7142">
            <w:pPr>
              <w:jc w:val="center"/>
            </w:pPr>
            <w:r>
              <w:rPr>
                <w:rFonts w:ascii="宋体" w:hAnsi="宋体" w:eastAsia="宋体"/>
                <w:sz w:val="16"/>
              </w:rPr>
              <w:t>=0.73万元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7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A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85B6">
            <w:pPr>
              <w:jc w:val="center"/>
            </w:pPr>
          </w:p>
        </w:tc>
      </w:tr>
      <w:tr w14:paraId="2F0AF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DE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96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5E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461A">
            <w:pPr>
              <w:jc w:val="center"/>
            </w:pPr>
            <w:r>
              <w:rPr>
                <w:rFonts w:ascii="宋体" w:hAnsi="宋体" w:eastAsia="宋体"/>
                <w:sz w:val="16"/>
              </w:rPr>
              <w:t>提升村民幸福感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C538">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7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9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96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63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6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84A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C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38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FCC6">
            <w:pPr>
              <w:jc w:val="center"/>
            </w:pPr>
          </w:p>
        </w:tc>
      </w:tr>
      <w:tr w14:paraId="2C250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46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3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88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DFE9">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AC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3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95D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7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D0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0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B0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E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1C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2D5B">
            <w:pPr>
              <w:jc w:val="center"/>
            </w:pPr>
          </w:p>
        </w:tc>
      </w:tr>
      <w:tr w14:paraId="4F314A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0E66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FDF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CF9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B1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0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14B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683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2D1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60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DD94">
            <w:pPr>
              <w:jc w:val="center"/>
            </w:pPr>
            <w:r>
              <w:rPr>
                <w:rFonts w:ascii="宋体" w:hAnsi="宋体" w:eastAsia="宋体"/>
                <w:sz w:val="16"/>
              </w:rPr>
              <w:t>98.30分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F5A7E"/>
        </w:tc>
      </w:tr>
    </w:tbl>
    <w:p w14:paraId="282FB055">
      <w:r>
        <w:br w:type="page"/>
      </w:r>
    </w:p>
    <w:p w14:paraId="7498761D">
      <w:pPr>
        <w:spacing w:line="640" w:lineRule="exact"/>
        <w:ind w:firstLine="640"/>
        <w:jc w:val="both"/>
        <w:outlineLvl w:val="2"/>
      </w:pPr>
      <w:r>
        <w:rPr>
          <w:rFonts w:ascii="黑体" w:hAnsi="黑体" w:eastAsia="黑体"/>
          <w:sz w:val="32"/>
        </w:rPr>
        <w:t>十二、其他需说明的事项</w:t>
      </w:r>
    </w:p>
    <w:p w14:paraId="1CCE23E8">
      <w:pPr>
        <w:spacing w:line="580" w:lineRule="exact"/>
        <w:ind w:firstLine="640"/>
        <w:jc w:val="both"/>
      </w:pPr>
      <w:r>
        <w:rPr>
          <w:rFonts w:ascii="仿宋_GB2312" w:hAnsi="仿宋_GB2312" w:eastAsia="仿宋_GB2312"/>
          <w:b w:val="0"/>
          <w:sz w:val="32"/>
        </w:rPr>
        <w:t>本年本部门SM项目2个，全年预算数319.00万元，全年执行数318.74万元。</w:t>
      </w:r>
    </w:p>
    <w:p w14:paraId="140F9D43">
      <w:r>
        <w:br w:type="page"/>
      </w:r>
    </w:p>
    <w:p w14:paraId="297E97ED">
      <w:pPr>
        <w:spacing w:line="240" w:lineRule="auto"/>
        <w:jc w:val="center"/>
        <w:outlineLvl w:val="1"/>
      </w:pPr>
      <w:r>
        <w:rPr>
          <w:rFonts w:ascii="黑体" w:hAnsi="黑体" w:eastAsia="黑体"/>
          <w:sz w:val="32"/>
        </w:rPr>
        <w:t>第三部分 专业名词解释</w:t>
      </w:r>
    </w:p>
    <w:p w14:paraId="7C70A4F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B9D371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3D4EC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C50141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ECECB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1259D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09B07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E2CB4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1B600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52ADF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6CE89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511F8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A62DC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A0DF2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F2DA0E">
      <w:r>
        <w:br w:type="page"/>
      </w:r>
    </w:p>
    <w:p w14:paraId="189C934C">
      <w:pPr>
        <w:spacing w:line="240" w:lineRule="auto"/>
        <w:jc w:val="center"/>
        <w:outlineLvl w:val="1"/>
      </w:pPr>
      <w:r>
        <w:rPr>
          <w:rFonts w:ascii="黑体" w:hAnsi="黑体" w:eastAsia="黑体"/>
          <w:sz w:val="32"/>
        </w:rPr>
        <w:t>第四部分 部门决算报表（见附表）</w:t>
      </w:r>
    </w:p>
    <w:p w14:paraId="48B477EA">
      <w:pPr>
        <w:spacing w:line="240" w:lineRule="auto"/>
        <w:ind w:firstLine="640"/>
        <w:jc w:val="both"/>
      </w:pPr>
      <w:r>
        <w:rPr>
          <w:rFonts w:ascii="仿宋_GB2312" w:hAnsi="仿宋_GB2312" w:eastAsia="仿宋_GB2312"/>
          <w:b w:val="0"/>
          <w:sz w:val="32"/>
        </w:rPr>
        <w:t>一、《收入支出决算总表》</w:t>
      </w:r>
    </w:p>
    <w:p w14:paraId="5EF812FB">
      <w:pPr>
        <w:spacing w:line="240" w:lineRule="auto"/>
        <w:ind w:firstLine="640"/>
        <w:jc w:val="both"/>
      </w:pPr>
      <w:r>
        <w:rPr>
          <w:rFonts w:ascii="仿宋_GB2312" w:hAnsi="仿宋_GB2312" w:eastAsia="仿宋_GB2312"/>
          <w:b w:val="0"/>
          <w:sz w:val="32"/>
        </w:rPr>
        <w:t>二、《收入决算表》</w:t>
      </w:r>
    </w:p>
    <w:p w14:paraId="61F18D36">
      <w:pPr>
        <w:spacing w:line="240" w:lineRule="auto"/>
        <w:ind w:firstLine="640"/>
        <w:jc w:val="both"/>
      </w:pPr>
      <w:r>
        <w:rPr>
          <w:rFonts w:ascii="仿宋_GB2312" w:hAnsi="仿宋_GB2312" w:eastAsia="仿宋_GB2312"/>
          <w:b w:val="0"/>
          <w:sz w:val="32"/>
        </w:rPr>
        <w:t>三、《支出决算表》</w:t>
      </w:r>
    </w:p>
    <w:p w14:paraId="01CAF5F1">
      <w:pPr>
        <w:spacing w:line="240" w:lineRule="auto"/>
        <w:ind w:firstLine="640"/>
        <w:jc w:val="both"/>
      </w:pPr>
      <w:r>
        <w:rPr>
          <w:rFonts w:ascii="仿宋_GB2312" w:hAnsi="仿宋_GB2312" w:eastAsia="仿宋_GB2312"/>
          <w:b w:val="0"/>
          <w:sz w:val="32"/>
        </w:rPr>
        <w:t>四、《财政拨款收入支出决算总表》</w:t>
      </w:r>
    </w:p>
    <w:p w14:paraId="37843D1B">
      <w:pPr>
        <w:spacing w:line="240" w:lineRule="auto"/>
        <w:ind w:firstLine="640"/>
        <w:jc w:val="both"/>
      </w:pPr>
      <w:r>
        <w:rPr>
          <w:rFonts w:ascii="仿宋_GB2312" w:hAnsi="仿宋_GB2312" w:eastAsia="仿宋_GB2312"/>
          <w:b w:val="0"/>
          <w:sz w:val="32"/>
        </w:rPr>
        <w:t>五、《一般公共预算财政拨款支出决算表》</w:t>
      </w:r>
    </w:p>
    <w:p w14:paraId="3DB7785D">
      <w:pPr>
        <w:spacing w:line="240" w:lineRule="auto"/>
        <w:ind w:firstLine="640"/>
        <w:jc w:val="both"/>
      </w:pPr>
      <w:r>
        <w:rPr>
          <w:rFonts w:ascii="仿宋_GB2312" w:hAnsi="仿宋_GB2312" w:eastAsia="仿宋_GB2312"/>
          <w:b w:val="0"/>
          <w:sz w:val="32"/>
        </w:rPr>
        <w:t>六、《一般公共预算财政拨款基本支出决算表》</w:t>
      </w:r>
    </w:p>
    <w:p w14:paraId="3FB5D547">
      <w:pPr>
        <w:spacing w:line="240" w:lineRule="auto"/>
        <w:ind w:firstLine="640"/>
        <w:jc w:val="both"/>
      </w:pPr>
      <w:r>
        <w:rPr>
          <w:rFonts w:ascii="仿宋_GB2312" w:hAnsi="仿宋_GB2312" w:eastAsia="仿宋_GB2312"/>
          <w:b w:val="0"/>
          <w:sz w:val="32"/>
        </w:rPr>
        <w:t>七、《政府性基金预算财政拨款收入支出决算表》</w:t>
      </w:r>
    </w:p>
    <w:p w14:paraId="0E25BD8D">
      <w:pPr>
        <w:spacing w:line="240" w:lineRule="auto"/>
        <w:ind w:firstLine="640"/>
        <w:jc w:val="both"/>
      </w:pPr>
      <w:r>
        <w:rPr>
          <w:rFonts w:ascii="仿宋_GB2312" w:hAnsi="仿宋_GB2312" w:eastAsia="仿宋_GB2312"/>
          <w:b w:val="0"/>
          <w:sz w:val="32"/>
        </w:rPr>
        <w:t>八、《国有资本经营预算财政拨款收入支出决算表》</w:t>
      </w:r>
    </w:p>
    <w:p w14:paraId="3CFAB8EB">
      <w:pPr>
        <w:spacing w:line="240" w:lineRule="auto"/>
        <w:ind w:firstLine="640"/>
        <w:jc w:val="both"/>
      </w:pPr>
      <w:r>
        <w:rPr>
          <w:rFonts w:ascii="仿宋_GB2312" w:hAnsi="仿宋_GB2312" w:eastAsia="仿宋_GB2312"/>
          <w:b w:val="0"/>
          <w:sz w:val="32"/>
        </w:rPr>
        <w:t>九、《财政拨款“三公”经费支出决算表》</w:t>
      </w:r>
    </w:p>
    <w:p w14:paraId="42C2CECA">
      <w:pPr>
        <w:spacing w:line="240" w:lineRule="auto"/>
        <w:ind w:firstLine="640"/>
        <w:jc w:val="both"/>
      </w:pPr>
    </w:p>
    <w:p w14:paraId="39F22F13">
      <w:pPr>
        <w:spacing w:line="240" w:lineRule="auto"/>
        <w:ind w:firstLine="640"/>
        <w:jc w:val="both"/>
      </w:pPr>
    </w:p>
    <w:p w14:paraId="66B11310">
      <w:pPr>
        <w:spacing w:line="240" w:lineRule="auto"/>
        <w:ind w:firstLine="640"/>
        <w:jc w:val="both"/>
      </w:pPr>
    </w:p>
    <w:p w14:paraId="16E4EE0F">
      <w:pPr>
        <w:spacing w:line="240" w:lineRule="auto"/>
        <w:ind w:firstLine="640"/>
        <w:jc w:val="both"/>
      </w:pPr>
    </w:p>
    <w:p w14:paraId="28C40A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3AF0F6-A019-4BFC-91F1-A0DFA46B17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A9EF1FA-7A47-43D4-BF48-22AD7297D152}"/>
  </w:font>
  <w:font w:name="仿宋_GB2312">
    <w:panose1 w:val="02010609030101010101"/>
    <w:charset w:val="86"/>
    <w:family w:val="modern"/>
    <w:pitch w:val="default"/>
    <w:sig w:usb0="00000001" w:usb1="080E0000" w:usb2="00000000" w:usb3="00000000" w:csb0="00040000" w:csb1="00000000"/>
    <w:embedRegular r:id="rId3" w:fontKey="{1D237739-FC4A-4993-90FF-A68598EF0AD4}"/>
  </w:font>
  <w:font w:name="楷体_GB2312">
    <w:panose1 w:val="02010609030101010101"/>
    <w:charset w:val="86"/>
    <w:family w:val="auto"/>
    <w:pitch w:val="default"/>
    <w:sig w:usb0="00000001" w:usb1="080E0000" w:usb2="00000000" w:usb3="00000000" w:csb0="00040000" w:csb1="00000000"/>
    <w:embedRegular r:id="rId4" w:fontKey="{CFF5340D-8C3F-4E30-BA40-35719680F3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0B4777"/>
    <w:rsid w:val="09A729D8"/>
    <w:rsid w:val="0A3C58E8"/>
    <w:rsid w:val="0A7B4867"/>
    <w:rsid w:val="0B8C3ECC"/>
    <w:rsid w:val="0C3613A3"/>
    <w:rsid w:val="0C7227A7"/>
    <w:rsid w:val="0DCA6EF7"/>
    <w:rsid w:val="0E4B1576"/>
    <w:rsid w:val="0E4D1E83"/>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9215E1"/>
    <w:rsid w:val="5FA17648"/>
    <w:rsid w:val="5FD320BD"/>
    <w:rsid w:val="60DE4D57"/>
    <w:rsid w:val="613409CB"/>
    <w:rsid w:val="61A46A97"/>
    <w:rsid w:val="62DD7D21"/>
    <w:rsid w:val="65D97752"/>
    <w:rsid w:val="664C500C"/>
    <w:rsid w:val="67D111AB"/>
    <w:rsid w:val="68DB0208"/>
    <w:rsid w:val="68DF36D5"/>
    <w:rsid w:val="69846A0E"/>
    <w:rsid w:val="69AD798C"/>
    <w:rsid w:val="6A0B6B43"/>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798</Words>
  <Characters>807</Characters>
  <Lines>0</Lines>
  <Paragraphs>0</Paragraphs>
  <TotalTime>2</TotalTime>
  <ScaleCrop>false</ScaleCrop>
  <LinksUpToDate>false</LinksUpToDate>
  <CharactersWithSpaces>814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2025-09-11T12:12:55Z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