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新疆巴州且末县人民法院2024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E8D04E1">
      <w:r>
        <w:br w:type="page"/>
      </w:r>
    </w:p>
    <w:p w14:paraId="164FF319">
      <w:pPr>
        <w:spacing w:line="640" w:lineRule="exact"/>
        <w:jc w:val="center"/>
        <w:outlineLvl w:val="1"/>
      </w:pPr>
      <w:r>
        <w:rPr>
          <w:rFonts w:ascii="黑体" w:hAnsi="黑体" w:eastAsia="黑体"/>
          <w:sz w:val="32"/>
        </w:rPr>
        <w:t>第一部分 部门概况</w:t>
      </w:r>
    </w:p>
    <w:p w14:paraId="72A1A037">
      <w:pPr>
        <w:spacing w:line="640" w:lineRule="exact"/>
        <w:ind w:firstLine="640"/>
        <w:jc w:val="both"/>
        <w:outlineLvl w:val="2"/>
      </w:pPr>
      <w:r>
        <w:rPr>
          <w:rFonts w:ascii="黑体" w:hAnsi="黑体" w:eastAsia="黑体"/>
          <w:sz w:val="32"/>
        </w:rPr>
        <w:t>一、主要职能</w:t>
      </w:r>
    </w:p>
    <w:p w14:paraId="34F9D99E">
      <w:pPr>
        <w:spacing w:line="580" w:lineRule="exact"/>
        <w:ind w:firstLine="640"/>
        <w:jc w:val="both"/>
      </w:pPr>
      <w:r>
        <w:rPr>
          <w:rFonts w:ascii="仿宋_GB2312" w:hAnsi="仿宋_GB2312" w:eastAsia="仿宋_GB2312"/>
          <w:sz w:val="32"/>
        </w:rPr>
        <w:t>1.审判法律规定由本辖区法院管辖的刑事、民事、行政等类案件。</w:t>
      </w:r>
    </w:p>
    <w:p w14:paraId="35BE39F1">
      <w:pPr>
        <w:spacing w:line="580" w:lineRule="exact"/>
        <w:ind w:firstLine="640"/>
        <w:jc w:val="both"/>
      </w:pPr>
      <w:r>
        <w:rPr>
          <w:rFonts w:ascii="仿宋_GB2312" w:hAnsi="仿宋_GB2312" w:eastAsia="仿宋_GB2312"/>
          <w:sz w:val="32"/>
        </w:rPr>
        <w:t>2.审理由本辖区人民检察院按照审判监督程序提起的抗诉案件。</w:t>
      </w:r>
    </w:p>
    <w:p w14:paraId="33D05E68">
      <w:pPr>
        <w:spacing w:line="580" w:lineRule="exact"/>
        <w:ind w:firstLine="640"/>
        <w:jc w:val="both"/>
      </w:pPr>
      <w:r>
        <w:rPr>
          <w:rFonts w:ascii="仿宋_GB2312" w:hAnsi="仿宋_GB2312" w:eastAsia="仿宋_GB2312"/>
          <w:sz w:val="32"/>
        </w:rPr>
        <w:t>3.依照审判监督程序，审理告诉申诉的刑事、民事、行政案件。</w:t>
      </w:r>
    </w:p>
    <w:p w14:paraId="65556DAE">
      <w:pPr>
        <w:spacing w:line="580" w:lineRule="exact"/>
        <w:ind w:firstLine="640"/>
        <w:jc w:val="both"/>
      </w:pPr>
      <w:r>
        <w:rPr>
          <w:rFonts w:ascii="仿宋_GB2312" w:hAnsi="仿宋_GB2312" w:eastAsia="仿宋_GB2312"/>
          <w:sz w:val="32"/>
        </w:rPr>
        <w:t>4.依法行使司法执行权和司法决定权，执行本院已经发生法律效力的判决、裁定以及国家行政机关申请执行的案件和外地法院委托执行的案件。</w:t>
      </w:r>
    </w:p>
    <w:p w14:paraId="0F634B6D">
      <w:pPr>
        <w:spacing w:line="580" w:lineRule="exact"/>
        <w:ind w:firstLine="640"/>
        <w:jc w:val="both"/>
      </w:pPr>
      <w:r>
        <w:rPr>
          <w:rFonts w:ascii="仿宋_GB2312" w:hAnsi="仿宋_GB2312" w:eastAsia="仿宋_GB2312"/>
          <w:sz w:val="32"/>
        </w:rPr>
        <w:t>5.调查研究审判工作中的法律、法规、规章、政策及疑难问题，针对案件审理中发现的问题提出司法建议。</w:t>
      </w:r>
    </w:p>
    <w:p w14:paraId="5C96BB57">
      <w:pPr>
        <w:spacing w:line="580" w:lineRule="exact"/>
        <w:ind w:firstLine="640"/>
        <w:jc w:val="both"/>
      </w:pPr>
      <w:r>
        <w:rPr>
          <w:rFonts w:ascii="仿宋_GB2312" w:hAnsi="仿宋_GB2312" w:eastAsia="仿宋_GB2312"/>
          <w:sz w:val="32"/>
        </w:rPr>
        <w:t>6.对本院的法官和其他工作人员进行思想政治教育、组织专业培训；按照权限管理法官和其他工作人员；协助机构编制主管部门管理人民法院的机构编制工作。</w:t>
      </w:r>
    </w:p>
    <w:p w14:paraId="66509BE9">
      <w:pPr>
        <w:spacing w:line="580" w:lineRule="exact"/>
        <w:ind w:firstLine="640"/>
        <w:jc w:val="both"/>
      </w:pPr>
      <w:r>
        <w:rPr>
          <w:rFonts w:ascii="仿宋_GB2312" w:hAnsi="仿宋_GB2312" w:eastAsia="仿宋_GB2312"/>
          <w:sz w:val="32"/>
        </w:rPr>
        <w:t>7.管理本院的有关经费和物资装备。</w:t>
      </w:r>
    </w:p>
    <w:p w14:paraId="472BD07B">
      <w:pPr>
        <w:spacing w:line="580" w:lineRule="exact"/>
        <w:ind w:firstLine="640"/>
        <w:jc w:val="both"/>
      </w:pPr>
      <w:r>
        <w:rPr>
          <w:rFonts w:ascii="仿宋_GB2312" w:hAnsi="仿宋_GB2312" w:eastAsia="仿宋_GB2312"/>
          <w:sz w:val="32"/>
        </w:rPr>
        <w:t>8.参与社会治安综合治理工作，在审判工作中宣传法制，教育公民自觉遵守宪法、法律、法规和社会公德。</w:t>
      </w:r>
    </w:p>
    <w:p w14:paraId="2B6285CF">
      <w:pPr>
        <w:spacing w:line="640" w:lineRule="exact"/>
        <w:ind w:firstLine="640"/>
        <w:jc w:val="both"/>
        <w:outlineLvl w:val="2"/>
      </w:pPr>
      <w:r>
        <w:rPr>
          <w:rFonts w:ascii="黑体" w:hAnsi="黑体" w:eastAsia="黑体"/>
          <w:sz w:val="32"/>
        </w:rPr>
        <w:t>二、机构设置及人员情况</w:t>
      </w:r>
    </w:p>
    <w:p w14:paraId="7C4EEE33">
      <w:pPr>
        <w:spacing w:line="580" w:lineRule="exact"/>
        <w:ind w:firstLine="640"/>
        <w:jc w:val="both"/>
      </w:pPr>
      <w:r>
        <w:rPr>
          <w:rFonts w:ascii="仿宋_GB2312" w:hAnsi="仿宋_GB2312" w:eastAsia="仿宋_GB2312"/>
          <w:sz w:val="32"/>
        </w:rPr>
        <w:t>新疆巴州且末县人民法院2024年度，实有人数72人，其中：在职人员47人，增加2人；离休人员0人，增加0人；退休人员25人,减少1人。</w:t>
      </w:r>
    </w:p>
    <w:p w14:paraId="1028E078">
      <w:pPr>
        <w:spacing w:line="580" w:lineRule="exact"/>
        <w:ind w:firstLine="640"/>
        <w:jc w:val="both"/>
      </w:pPr>
      <w:r>
        <w:rPr>
          <w:rFonts w:ascii="仿宋_GB2312" w:hAnsi="仿宋_GB2312" w:eastAsia="仿宋_GB2312"/>
          <w:sz w:val="32"/>
        </w:rPr>
        <w:t>新疆巴州且末县人民法院无下属预算单位，下设5个科室，分别是：立案庭（诉讼服务中心）、综合审判庭、执行局、综合办公室（司法警察大队）、政治部。</w:t>
      </w:r>
    </w:p>
    <w:p w14:paraId="051B1C5D">
      <w:r>
        <w:br w:type="page"/>
      </w:r>
    </w:p>
    <w:p w14:paraId="21922EA4">
      <w:pPr>
        <w:spacing w:line="240" w:lineRule="auto"/>
        <w:jc w:val="center"/>
        <w:outlineLvl w:val="1"/>
      </w:pPr>
      <w:r>
        <w:rPr>
          <w:rFonts w:ascii="黑体" w:hAnsi="黑体" w:eastAsia="黑体"/>
          <w:sz w:val="32"/>
        </w:rPr>
        <w:t>第二部分 部门决算情况说明</w:t>
      </w:r>
    </w:p>
    <w:p w14:paraId="09B87DC6">
      <w:pPr>
        <w:spacing w:line="640" w:lineRule="exact"/>
        <w:ind w:firstLine="640"/>
        <w:jc w:val="both"/>
        <w:outlineLvl w:val="2"/>
      </w:pPr>
      <w:r>
        <w:rPr>
          <w:rFonts w:ascii="黑体" w:hAnsi="黑体" w:eastAsia="黑体"/>
          <w:sz w:val="32"/>
        </w:rPr>
        <w:t>一、收入支出决算总体情况说明</w:t>
      </w:r>
    </w:p>
    <w:p w14:paraId="1ED4709F">
      <w:pPr>
        <w:spacing w:line="580" w:lineRule="exact"/>
        <w:ind w:firstLine="640"/>
        <w:jc w:val="both"/>
      </w:pPr>
      <w:r>
        <w:rPr>
          <w:rFonts w:ascii="仿宋_GB2312" w:hAnsi="仿宋_GB2312" w:eastAsia="仿宋_GB2312"/>
          <w:b/>
          <w:sz w:val="32"/>
        </w:rPr>
        <w:t>2024年度收入总计1,562.64万元，</w:t>
      </w:r>
      <w:r>
        <w:rPr>
          <w:rFonts w:ascii="仿宋_GB2312" w:hAnsi="仿宋_GB2312" w:eastAsia="仿宋_GB2312"/>
          <w:b w:val="0"/>
          <w:sz w:val="32"/>
        </w:rPr>
        <w:t>其中：本年收入合计1,562.64万元，使用非财政拨款结余（含专用结余）0.00万元，年初结转和结余0.00万元。</w:t>
      </w:r>
    </w:p>
    <w:p w14:paraId="09E56237">
      <w:pPr>
        <w:spacing w:line="580" w:lineRule="exact"/>
        <w:ind w:firstLine="640"/>
        <w:jc w:val="both"/>
      </w:pPr>
      <w:r>
        <w:rPr>
          <w:rFonts w:ascii="仿宋_GB2312" w:hAnsi="仿宋_GB2312" w:eastAsia="仿宋_GB2312"/>
          <w:b/>
          <w:sz w:val="32"/>
        </w:rPr>
        <w:t>2024年度支出总计1,562.64万元，</w:t>
      </w:r>
      <w:r>
        <w:rPr>
          <w:rFonts w:ascii="仿宋_GB2312" w:hAnsi="仿宋_GB2312" w:eastAsia="仿宋_GB2312"/>
          <w:b w:val="0"/>
          <w:sz w:val="32"/>
        </w:rPr>
        <w:t>其中：本年支出合计1,562.64万元，结余分配0.00万元，年末结转和结余0.00万元。</w:t>
      </w:r>
    </w:p>
    <w:p w14:paraId="0198139C">
      <w:pPr>
        <w:spacing w:line="580" w:lineRule="exact"/>
        <w:ind w:firstLine="640"/>
        <w:jc w:val="both"/>
      </w:pPr>
      <w:r>
        <w:rPr>
          <w:rFonts w:ascii="仿宋_GB2312" w:hAnsi="仿宋_GB2312" w:eastAsia="仿宋_GB2312"/>
          <w:b w:val="0"/>
          <w:sz w:val="32"/>
        </w:rPr>
        <w:t>收入支出总体与上年相比，增加92.54万元，增长6.29%，主要原因是：本年在职人员增加，在职人员工资调增、社保、公积金基数调增，人员经费增加，本年增加综合业务经费，导致经费较上年增加。</w:t>
      </w:r>
    </w:p>
    <w:p w14:paraId="6846D809">
      <w:pPr>
        <w:spacing w:line="640" w:lineRule="exact"/>
        <w:ind w:firstLine="640"/>
        <w:jc w:val="both"/>
        <w:outlineLvl w:val="2"/>
      </w:pPr>
      <w:r>
        <w:rPr>
          <w:rFonts w:ascii="黑体" w:hAnsi="黑体" w:eastAsia="黑体"/>
          <w:sz w:val="32"/>
        </w:rPr>
        <w:t>二、收入决算情况说明</w:t>
      </w:r>
    </w:p>
    <w:p w14:paraId="5C696DAC">
      <w:pPr>
        <w:spacing w:line="580" w:lineRule="exact"/>
        <w:ind w:firstLine="640"/>
        <w:jc w:val="both"/>
      </w:pPr>
      <w:r>
        <w:rPr>
          <w:rFonts w:ascii="仿宋_GB2312" w:hAnsi="仿宋_GB2312" w:eastAsia="仿宋_GB2312"/>
          <w:b/>
          <w:sz w:val="32"/>
        </w:rPr>
        <w:t>本年收入1,562.64万元，</w:t>
      </w:r>
      <w:r>
        <w:rPr>
          <w:rFonts w:ascii="仿宋_GB2312" w:hAnsi="仿宋_GB2312" w:eastAsia="仿宋_GB2312"/>
          <w:b w:val="0"/>
          <w:sz w:val="32"/>
        </w:rPr>
        <w:t>其中：财政拨款收入1,562.64万元，占100.00%；上级补助收入0.00万元，占0.00%；事业收入0.00万元，占0.00%；经营收入0.00万元，占0.00%；附属单位上缴收入0.00万元，占0.00%；其他收入0.00万元，占0.00%。</w:t>
      </w:r>
    </w:p>
    <w:p w14:paraId="358F1848">
      <w:pPr>
        <w:spacing w:line="640" w:lineRule="exact"/>
        <w:ind w:firstLine="640"/>
        <w:jc w:val="both"/>
        <w:outlineLvl w:val="2"/>
      </w:pPr>
      <w:r>
        <w:rPr>
          <w:rFonts w:ascii="黑体" w:hAnsi="黑体" w:eastAsia="黑体"/>
          <w:sz w:val="32"/>
        </w:rPr>
        <w:t>三、支出决算情况说明</w:t>
      </w:r>
    </w:p>
    <w:p w14:paraId="764E9AA7">
      <w:pPr>
        <w:spacing w:line="580" w:lineRule="exact"/>
        <w:ind w:firstLine="640"/>
        <w:jc w:val="both"/>
      </w:pPr>
      <w:r>
        <w:rPr>
          <w:rFonts w:ascii="仿宋_GB2312" w:hAnsi="仿宋_GB2312" w:eastAsia="仿宋_GB2312"/>
          <w:b/>
          <w:sz w:val="32"/>
        </w:rPr>
        <w:t>本年支出1,562.64万元，</w:t>
      </w:r>
      <w:r>
        <w:rPr>
          <w:rFonts w:ascii="仿宋_GB2312" w:hAnsi="仿宋_GB2312" w:eastAsia="仿宋_GB2312"/>
          <w:b w:val="0"/>
          <w:sz w:val="32"/>
        </w:rPr>
        <w:t>其中：基本支出1,234.64万元，占79.01%；项目支出328.00万元，占20.99%；上缴上级支出0.00万元，占0.00%；经营支出0.00万元，占0.00%；对附属单位补助支出0.00万元，占0.00%。</w:t>
      </w:r>
    </w:p>
    <w:p w14:paraId="2AD9C620">
      <w:pPr>
        <w:spacing w:line="640" w:lineRule="exact"/>
        <w:ind w:firstLine="640"/>
        <w:jc w:val="both"/>
        <w:outlineLvl w:val="2"/>
      </w:pPr>
      <w:r>
        <w:rPr>
          <w:rFonts w:ascii="黑体" w:hAnsi="黑体" w:eastAsia="黑体"/>
          <w:sz w:val="32"/>
        </w:rPr>
        <w:t>四、财政拨款收入支出决算总体情况说明</w:t>
      </w:r>
    </w:p>
    <w:p w14:paraId="71B000A9">
      <w:pPr>
        <w:spacing w:line="580" w:lineRule="exact"/>
        <w:ind w:firstLine="640"/>
        <w:jc w:val="both"/>
      </w:pPr>
      <w:r>
        <w:rPr>
          <w:rFonts w:ascii="仿宋_GB2312" w:hAnsi="仿宋_GB2312" w:eastAsia="仿宋_GB2312"/>
          <w:b/>
          <w:sz w:val="32"/>
        </w:rPr>
        <w:t>2024年度财政拨款收入总计1,562.64万元，</w:t>
      </w:r>
      <w:r>
        <w:rPr>
          <w:rFonts w:ascii="仿宋_GB2312" w:hAnsi="仿宋_GB2312" w:eastAsia="仿宋_GB2312"/>
          <w:b w:val="0"/>
          <w:sz w:val="32"/>
        </w:rPr>
        <w:t>其中：年初财政拨款结转和结余0.00万元，本年财政拨款收入1,562.64万元。</w:t>
      </w:r>
      <w:r>
        <w:rPr>
          <w:rFonts w:ascii="仿宋_GB2312" w:hAnsi="仿宋_GB2312" w:eastAsia="仿宋_GB2312"/>
          <w:b/>
          <w:sz w:val="32"/>
        </w:rPr>
        <w:t>财政拨款支出总计1,562.64万元，</w:t>
      </w:r>
      <w:r>
        <w:rPr>
          <w:rFonts w:ascii="仿宋_GB2312" w:hAnsi="仿宋_GB2312" w:eastAsia="仿宋_GB2312"/>
          <w:b w:val="0"/>
          <w:sz w:val="32"/>
        </w:rPr>
        <w:t>其中：年末财政拨款结转和结余0.00万元，本年财政拨款支出1,562.64万元。</w:t>
      </w:r>
    </w:p>
    <w:p w14:paraId="5FBF5E4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增加92.54万元，增长6.29%，主要原因是：本年在职人员增加，在职人员工资调增、社保、公积金基数调增，人员经费增加，本年增加综合业务经费，导致经费较上年增加。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年初预算数1,571.32万元，决算数1,562.64万元，预决算差异率-0.55%，主要原因是：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办公费、电费等</w:t>
      </w:r>
      <w:r>
        <w:rPr>
          <w:rFonts w:hint="eastAsia" w:ascii="仿宋_GB2312" w:hAnsi="仿宋_GB2312" w:eastAsia="仿宋_GB2312"/>
          <w:b w:val="0"/>
          <w:sz w:val="32"/>
          <w:lang w:val="en-US" w:eastAsia="zh-CN"/>
        </w:rPr>
        <w:t>经费，导致预决算产生差异</w:t>
      </w:r>
      <w:r>
        <w:rPr>
          <w:rFonts w:ascii="仿宋_GB2312" w:hAnsi="仿宋_GB2312" w:eastAsia="仿宋_GB2312"/>
          <w:b w:val="0"/>
          <w:sz w:val="32"/>
        </w:rPr>
        <w:t>。</w:t>
      </w:r>
    </w:p>
    <w:p w14:paraId="55DA701D">
      <w:pPr>
        <w:spacing w:line="640" w:lineRule="exact"/>
        <w:ind w:firstLine="640"/>
        <w:jc w:val="both"/>
        <w:outlineLvl w:val="2"/>
      </w:pPr>
      <w:r>
        <w:rPr>
          <w:rFonts w:ascii="黑体" w:hAnsi="黑体" w:eastAsia="黑体"/>
          <w:sz w:val="32"/>
        </w:rPr>
        <w:t>五、一般公共预算财政拨款支出决算情况说明</w:t>
      </w:r>
    </w:p>
    <w:p w14:paraId="42558B41">
      <w:pPr>
        <w:spacing w:line="640" w:lineRule="exact"/>
        <w:ind w:firstLine="640"/>
        <w:jc w:val="both"/>
        <w:outlineLvl w:val="3"/>
      </w:pPr>
      <w:r>
        <w:rPr>
          <w:rFonts w:ascii="楷体_GB2312" w:hAnsi="楷体_GB2312" w:eastAsia="楷体_GB2312"/>
          <w:b/>
          <w:sz w:val="32"/>
        </w:rPr>
        <w:t>（一）一般公共预算财政拨款支出决算总体情况</w:t>
      </w:r>
    </w:p>
    <w:p w14:paraId="5A773D18">
      <w:pPr>
        <w:spacing w:line="580" w:lineRule="exact"/>
        <w:ind w:firstLine="640"/>
        <w:jc w:val="both"/>
      </w:pPr>
      <w:r>
        <w:rPr>
          <w:rFonts w:ascii="仿宋_GB2312" w:hAnsi="仿宋_GB2312" w:eastAsia="仿宋_GB2312"/>
          <w:b/>
          <w:sz w:val="32"/>
        </w:rPr>
        <w:t>2024年度一般公共预算财政拨款支出1,562.64万元，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增加92.54万元，增长6.29%，主要原因是：本年在职人员增加，在职人员工资调增、社保、公积金基数调增，人员经费增加，本年增加综合业务经费，导致经费较上年增加。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年初预算数1,571.32万元，决算数1,562.64万元，预决算差异率-0.55%，主要原因是：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办公费、电费等</w:t>
      </w:r>
      <w:r>
        <w:rPr>
          <w:rFonts w:hint="eastAsia" w:ascii="仿宋_GB2312" w:hAnsi="仿宋_GB2312" w:eastAsia="仿宋_GB2312"/>
          <w:b w:val="0"/>
          <w:sz w:val="32"/>
          <w:lang w:val="en-US" w:eastAsia="zh-CN"/>
        </w:rPr>
        <w:t>经费，导致预决算产生差异</w:t>
      </w:r>
      <w:r>
        <w:rPr>
          <w:rFonts w:ascii="仿宋_GB2312" w:hAnsi="仿宋_GB2312" w:eastAsia="仿宋_GB2312"/>
          <w:b w:val="0"/>
          <w:sz w:val="32"/>
        </w:rPr>
        <w:t>。</w:t>
      </w:r>
    </w:p>
    <w:p w14:paraId="21C1E2AD">
      <w:pPr>
        <w:spacing w:line="640" w:lineRule="exact"/>
        <w:ind w:firstLine="640"/>
        <w:jc w:val="both"/>
        <w:outlineLvl w:val="3"/>
      </w:pPr>
      <w:r>
        <w:rPr>
          <w:rFonts w:ascii="楷体_GB2312" w:hAnsi="楷体_GB2312" w:eastAsia="楷体_GB2312"/>
          <w:b/>
          <w:sz w:val="32"/>
        </w:rPr>
        <w:t>（二）一般公共预算财政拨款支出决算结构情况</w:t>
      </w:r>
    </w:p>
    <w:p w14:paraId="4A4498C8">
      <w:pPr>
        <w:spacing w:line="580" w:lineRule="exact"/>
        <w:ind w:firstLine="640"/>
        <w:jc w:val="both"/>
      </w:pPr>
      <w:r>
        <w:rPr>
          <w:rFonts w:ascii="仿宋_GB2312" w:hAnsi="仿宋_GB2312" w:eastAsia="仿宋_GB2312"/>
          <w:b w:val="0"/>
          <w:sz w:val="32"/>
        </w:rPr>
        <w:t>1.公共安全支出(类)1320.48万元,占84.50%。</w:t>
      </w:r>
    </w:p>
    <w:p w14:paraId="1680E14C">
      <w:pPr>
        <w:spacing w:line="580" w:lineRule="exact"/>
        <w:ind w:firstLine="640"/>
        <w:jc w:val="both"/>
      </w:pPr>
      <w:r>
        <w:rPr>
          <w:rFonts w:ascii="仿宋_GB2312" w:hAnsi="仿宋_GB2312" w:eastAsia="仿宋_GB2312"/>
          <w:b w:val="0"/>
          <w:sz w:val="32"/>
        </w:rPr>
        <w:t>2.教育支出(类)2.81万元,占0.18%。</w:t>
      </w:r>
    </w:p>
    <w:p w14:paraId="2C59FF63">
      <w:pPr>
        <w:spacing w:line="580" w:lineRule="exact"/>
        <w:ind w:firstLine="640"/>
        <w:jc w:val="both"/>
      </w:pPr>
      <w:r>
        <w:rPr>
          <w:rFonts w:ascii="仿宋_GB2312" w:hAnsi="仿宋_GB2312" w:eastAsia="仿宋_GB2312"/>
          <w:b w:val="0"/>
          <w:sz w:val="32"/>
        </w:rPr>
        <w:t>3.社会保障和就业支出(类)103.02万元,占6.59%。</w:t>
      </w:r>
    </w:p>
    <w:p w14:paraId="1F3360DC">
      <w:pPr>
        <w:spacing w:line="580" w:lineRule="exact"/>
        <w:ind w:firstLine="640"/>
        <w:jc w:val="both"/>
      </w:pPr>
      <w:r>
        <w:rPr>
          <w:rFonts w:ascii="仿宋_GB2312" w:hAnsi="仿宋_GB2312" w:eastAsia="仿宋_GB2312"/>
          <w:b w:val="0"/>
          <w:sz w:val="32"/>
        </w:rPr>
        <w:t>4.卫生健康支出(类)55.62万元,占3.56%。</w:t>
      </w:r>
    </w:p>
    <w:p w14:paraId="7AED38E7">
      <w:pPr>
        <w:spacing w:line="580" w:lineRule="exact"/>
        <w:ind w:firstLine="640"/>
        <w:jc w:val="both"/>
      </w:pPr>
      <w:r>
        <w:rPr>
          <w:rFonts w:ascii="仿宋_GB2312" w:hAnsi="仿宋_GB2312" w:eastAsia="仿宋_GB2312"/>
          <w:b w:val="0"/>
          <w:sz w:val="32"/>
        </w:rPr>
        <w:t>5.住房保障支出(类)80.71万元,占5.16%。</w:t>
      </w:r>
    </w:p>
    <w:p w14:paraId="5A8BAF6F">
      <w:pPr>
        <w:spacing w:line="640" w:lineRule="exact"/>
        <w:ind w:firstLine="640"/>
        <w:jc w:val="both"/>
        <w:outlineLvl w:val="3"/>
      </w:pPr>
      <w:r>
        <w:rPr>
          <w:rFonts w:ascii="楷体_GB2312" w:hAnsi="楷体_GB2312" w:eastAsia="楷体_GB2312"/>
          <w:b/>
          <w:sz w:val="32"/>
        </w:rPr>
        <w:t>（三）一般公共预算财政拨款支出决算具体情况</w:t>
      </w:r>
    </w:p>
    <w:p w14:paraId="708AA2AA">
      <w:pPr>
        <w:spacing w:line="580" w:lineRule="exact"/>
        <w:ind w:firstLine="640"/>
        <w:jc w:val="both"/>
      </w:pPr>
      <w:r>
        <w:rPr>
          <w:rFonts w:ascii="仿宋_GB2312" w:hAnsi="仿宋_GB2312" w:eastAsia="仿宋_GB2312"/>
          <w:b w:val="0"/>
          <w:sz w:val="32"/>
        </w:rPr>
        <w:t>1.公共安全支出(类)法院(款)行政运行(项):支出决算数为992.48万元，比上年决算增加1.47万元，增长0.15%,主要原因是：本年新增在职人员，人员经费增加，导致经费较上年有所增加。</w:t>
      </w:r>
    </w:p>
    <w:p w14:paraId="4E03017E">
      <w:pPr>
        <w:spacing w:line="580" w:lineRule="exact"/>
        <w:ind w:firstLine="640"/>
        <w:jc w:val="both"/>
      </w:pPr>
      <w:r>
        <w:rPr>
          <w:rFonts w:ascii="仿宋_GB2312" w:hAnsi="仿宋_GB2312" w:eastAsia="仿宋_GB2312"/>
          <w:b w:val="0"/>
          <w:sz w:val="32"/>
        </w:rPr>
        <w:t>2.公共安全支出(类)法院(款)一般行政管理事务(项):支出决算数为7万元，比上年决算增加0.00万元，增长0.00%,主要原因是：为民办实事工作经费与上年一致无变化。</w:t>
      </w:r>
    </w:p>
    <w:p w14:paraId="632ECF87">
      <w:pPr>
        <w:spacing w:line="580" w:lineRule="exact"/>
        <w:ind w:firstLine="640"/>
        <w:jc w:val="both"/>
      </w:pPr>
      <w:r>
        <w:rPr>
          <w:rFonts w:ascii="仿宋_GB2312" w:hAnsi="仿宋_GB2312" w:eastAsia="仿宋_GB2312"/>
          <w:b w:val="0"/>
          <w:sz w:val="32"/>
        </w:rPr>
        <w:t>3.公共安全支出(类)法院(款)其他法院支出(项):支出决算数为321万元，比上年决算增加61.00万元，增长23.46%,主要原因是：本年增加专项业务经费，相关支出增加。</w:t>
      </w:r>
    </w:p>
    <w:p w14:paraId="1F075EBE">
      <w:pPr>
        <w:spacing w:line="580" w:lineRule="exact"/>
        <w:ind w:firstLine="640"/>
        <w:jc w:val="both"/>
      </w:pPr>
      <w:r>
        <w:rPr>
          <w:rFonts w:ascii="仿宋_GB2312" w:hAnsi="仿宋_GB2312" w:eastAsia="仿宋_GB2312"/>
          <w:b w:val="0"/>
          <w:sz w:val="32"/>
        </w:rPr>
        <w:t>4.教育支出(类)进修及培训(款)培训支出(项):支出决算数为2.81万元，比上年决算增加0.46万元，增长19.57%,主要原因是：本年组织干部职工参加高院、自治州相关业务培训增加，经费增加。</w:t>
      </w:r>
    </w:p>
    <w:p w14:paraId="45D11C7F">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5.社会保障和就业支出(类)行政事业单位养老支出(款)行政单位离退休(项):支出决算数为20.2万元，比上年决算增加4.33万元，增长27.28%,主要原因是：本年增加退休人员基础绩效奖，退休费支出增加。</w:t>
      </w:r>
    </w:p>
    <w:p w14:paraId="3449A5ED">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6.社会保障和就业支出(类)行政事业单位养老支出(款)机关事业单位基本养老保险缴费支出(项):支出决算数为82.81万元，比上年决算增加7.93万元，增长10.59%,主要原因是：本年在职人员增加，</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养老保险缴费较上年增加。</w:t>
      </w:r>
    </w:p>
    <w:p w14:paraId="233E6E23">
      <w:pPr>
        <w:spacing w:line="580" w:lineRule="exact"/>
        <w:ind w:firstLine="640"/>
        <w:jc w:val="both"/>
      </w:pPr>
      <w:r>
        <w:rPr>
          <w:rFonts w:ascii="仿宋_GB2312" w:hAnsi="仿宋_GB2312" w:eastAsia="仿宋_GB2312"/>
          <w:b w:val="0"/>
          <w:sz w:val="32"/>
        </w:rPr>
        <w:t>7.卫生健康支出(类)行政事业单位医疗(款)行政单位医疗(项):支出决算数为38.27万元，比上年决算减少6.88万元，下降15.24%,主要原因是：因退休人员医疗保险制度改革，退休人员基本医疗不再由单位缴纳，导致经费较上年减少。</w:t>
      </w:r>
    </w:p>
    <w:p w14:paraId="63EA9C6F">
      <w:pPr>
        <w:spacing w:line="580" w:lineRule="exact"/>
        <w:ind w:firstLine="640"/>
        <w:jc w:val="both"/>
      </w:pPr>
      <w:r>
        <w:rPr>
          <w:rFonts w:ascii="仿宋_GB2312" w:hAnsi="仿宋_GB2312" w:eastAsia="仿宋_GB2312"/>
          <w:b w:val="0"/>
          <w:sz w:val="32"/>
        </w:rPr>
        <w:t>8.卫生健康支出(类)行政事业单位医疗(款)公务员医疗补助(项):支出决算数为16.06万元，比上年决算增加2.32万元，增长16.89%,主要原因是：本年在职人员增加，公务员医疗补助较上年增加。</w:t>
      </w:r>
    </w:p>
    <w:p w14:paraId="7FE6DDCF">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1.29万元，比上年决算减少0.42万元，下降24.56%,主要原因是：因退休人员医疗保险制度改革，退休人员基本医疗不再由单位缴纳，导致经费较上年减少。</w:t>
      </w:r>
    </w:p>
    <w:p w14:paraId="036F35D3">
      <w:pPr>
        <w:spacing w:line="580" w:lineRule="exact"/>
        <w:ind w:firstLine="640"/>
        <w:jc w:val="both"/>
      </w:pPr>
      <w:r>
        <w:rPr>
          <w:rFonts w:ascii="仿宋_GB2312" w:hAnsi="仿宋_GB2312" w:eastAsia="仿宋_GB2312"/>
          <w:b w:val="0"/>
          <w:sz w:val="32"/>
        </w:rPr>
        <w:t>10.住房保障支出(类)住房改革支出(款)住房公积金(项):支出决算数为80.71万元，比上年决算增加22.32万元，增长38.23%,主要原因是：本年在职人员增加，住房公积金支出较上年增加。</w:t>
      </w:r>
    </w:p>
    <w:p w14:paraId="41E81D01">
      <w:pPr>
        <w:spacing w:line="640" w:lineRule="exact"/>
        <w:ind w:firstLine="640"/>
        <w:jc w:val="both"/>
        <w:outlineLvl w:val="2"/>
      </w:pPr>
      <w:r>
        <w:rPr>
          <w:rFonts w:ascii="黑体" w:hAnsi="黑体" w:eastAsia="黑体"/>
          <w:sz w:val="32"/>
        </w:rPr>
        <w:t>六、一般公共预算财政拨款基本支出决算情况说明</w:t>
      </w:r>
    </w:p>
    <w:p w14:paraId="5A73C5D7">
      <w:pPr>
        <w:spacing w:line="580" w:lineRule="exact"/>
        <w:ind w:firstLine="640"/>
        <w:jc w:val="both"/>
      </w:pPr>
      <w:r>
        <w:rPr>
          <w:rFonts w:ascii="仿宋_GB2312" w:hAnsi="仿宋_GB2312" w:eastAsia="仿宋_GB2312"/>
          <w:b w:val="0"/>
          <w:sz w:val="32"/>
        </w:rPr>
        <w:t>2024年度一般公共预算财政拨款基本支出1,234.64万元，其中：</w:t>
      </w:r>
      <w:r>
        <w:rPr>
          <w:rFonts w:ascii="仿宋_GB2312" w:hAnsi="仿宋_GB2312" w:eastAsia="仿宋_GB2312"/>
          <w:b/>
          <w:sz w:val="32"/>
        </w:rPr>
        <w:t>人员经费1,161.92万元，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包括：基本工资、津贴补贴、奖金、机关事业单位基本养老保险缴费、职工基本医疗保险缴费、公务员医疗补助缴费、其他社会保障缴费、住房公积金、其他工资福利支出、退休费、抚恤金、生活补助、奖励金。</w:t>
      </w:r>
    </w:p>
    <w:p w14:paraId="18D8E205">
      <w:pPr>
        <w:spacing w:line="580" w:lineRule="exact"/>
        <w:ind w:firstLine="640"/>
        <w:jc w:val="both"/>
      </w:pPr>
      <w:r>
        <w:rPr>
          <w:rFonts w:ascii="仿宋_GB2312" w:hAnsi="仿宋_GB2312" w:eastAsia="仿宋_GB2312"/>
          <w:b/>
          <w:sz w:val="32"/>
        </w:rPr>
        <w:t>公用经费72.72万元，</w:t>
      </w:r>
      <w:r>
        <w:rPr>
          <w:rFonts w:ascii="仿宋_GB2312" w:hAnsi="仿宋_GB2312" w:eastAsia="仿宋_GB2312"/>
          <w:b w:val="0"/>
          <w:sz w:val="32"/>
        </w:rPr>
        <w:t>包括：办公费、水费、电费、邮电费、物业管理费、维修（护）费、培训费、劳务费、工会经费、福利费、公务用车运行维护费、其他商品和服务支出、办公设备购置。</w:t>
      </w:r>
    </w:p>
    <w:p w14:paraId="34CF0289">
      <w:pPr>
        <w:spacing w:line="640" w:lineRule="exact"/>
        <w:ind w:firstLine="640"/>
        <w:jc w:val="both"/>
        <w:outlineLvl w:val="2"/>
      </w:pPr>
      <w:r>
        <w:rPr>
          <w:rFonts w:ascii="黑体" w:hAnsi="黑体" w:eastAsia="黑体"/>
          <w:sz w:val="32"/>
        </w:rPr>
        <w:t>七、政府性基金预算财政拨款收入支出决算情况说明</w:t>
      </w:r>
    </w:p>
    <w:p w14:paraId="50D893A0">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0979DC1C">
      <w:pPr>
        <w:spacing w:line="640" w:lineRule="exact"/>
        <w:ind w:firstLine="640"/>
        <w:jc w:val="both"/>
        <w:outlineLvl w:val="2"/>
      </w:pPr>
      <w:r>
        <w:rPr>
          <w:rFonts w:ascii="黑体" w:hAnsi="黑体" w:eastAsia="黑体"/>
          <w:sz w:val="32"/>
        </w:rPr>
        <w:t>八、国有资本经营预算财政拨款收入支出决算情况说明</w:t>
      </w:r>
    </w:p>
    <w:p w14:paraId="48E75899">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5F10659A">
      <w:pPr>
        <w:spacing w:line="640" w:lineRule="exact"/>
        <w:ind w:firstLine="640"/>
        <w:jc w:val="both"/>
        <w:outlineLvl w:val="2"/>
      </w:pPr>
      <w:r>
        <w:rPr>
          <w:rFonts w:ascii="黑体" w:hAnsi="黑体" w:eastAsia="黑体"/>
          <w:sz w:val="32"/>
        </w:rPr>
        <w:t>九、财政拨款“三公”经费支出决算情况说明</w:t>
      </w:r>
    </w:p>
    <w:p w14:paraId="1FB0675D">
      <w:pPr>
        <w:spacing w:line="580" w:lineRule="exact"/>
        <w:ind w:firstLine="640"/>
        <w:jc w:val="both"/>
      </w:pPr>
      <w:r>
        <w:rPr>
          <w:rFonts w:ascii="仿宋_GB2312" w:hAnsi="仿宋_GB2312" w:eastAsia="仿宋_GB2312"/>
          <w:b/>
          <w:sz w:val="32"/>
        </w:rPr>
        <w:t>2024年度财政拨款“三公”经费支出25.00万元，</w:t>
      </w:r>
      <w:r>
        <w:rPr>
          <w:rFonts w:ascii="仿宋_GB2312" w:hAnsi="仿宋_GB2312" w:eastAsia="仿宋_GB2312"/>
          <w:b w:val="0"/>
          <w:sz w:val="32"/>
        </w:rPr>
        <w:t>比上年增加10.98万元，增长78.32%，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25.00万元，占100.00%，比上年增加10.98万元，增长78.32%，主要原因是：本年因业务需求，用车次数增加，燃油费增加，导致公务用车运行维护费较上年增加。公务接待费支出0.00万元，占0.00%，比上年增加0.00万元，增长0.00%，主要原因是：2023年与2024年均未安排公务接待费支出。</w:t>
      </w:r>
    </w:p>
    <w:p w14:paraId="18533D37">
      <w:pPr>
        <w:spacing w:line="580" w:lineRule="exact"/>
        <w:ind w:firstLine="640"/>
        <w:jc w:val="both"/>
      </w:pPr>
      <w:r>
        <w:rPr>
          <w:rFonts w:ascii="仿宋_GB2312" w:hAnsi="仿宋_GB2312" w:eastAsia="仿宋_GB2312"/>
          <w:b/>
          <w:sz w:val="32"/>
        </w:rPr>
        <w:t>具体情况如下：</w:t>
      </w:r>
    </w:p>
    <w:p w14:paraId="2449BE19">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25D4EBEF">
      <w:pPr>
        <w:spacing w:line="580" w:lineRule="exact"/>
        <w:ind w:firstLine="640"/>
        <w:jc w:val="both"/>
      </w:pPr>
      <w:r>
        <w:rPr>
          <w:rFonts w:ascii="仿宋_GB2312" w:hAnsi="仿宋_GB2312" w:eastAsia="仿宋_GB2312"/>
          <w:b w:val="0"/>
          <w:sz w:val="32"/>
        </w:rPr>
        <w:t>公务用车购置及运行维护费25.00万元，其中：公务用车购置费0.00万元，公务用车运行维护费25.00万元。公务用车运行维护费开支内容包括车辆加油费、维修费、保险费、审车费、过路费等。公务用车购置数0辆，公务用车保有量12辆。国有资产占用情况中固定资产车辆12辆，与公务用车保有量差异原因是：本部门固定资产车辆与公务用车保有量一致无差异。</w:t>
      </w:r>
    </w:p>
    <w:p w14:paraId="69EE5127">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559BED4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25.00万元，决算数25.00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25.00万元，决算数25.00万元，预决算差异率0.00%，主要原因是：严格按照预算执行，预决算无差异。公务接待费全年预算数0.00万元，决算数0.00万元，预决算差异率0.00%，主要原因是：本部门无公务接待费。</w:t>
      </w:r>
    </w:p>
    <w:p w14:paraId="42B90F46">
      <w:pPr>
        <w:spacing w:line="640" w:lineRule="exact"/>
        <w:ind w:firstLine="640"/>
        <w:jc w:val="both"/>
        <w:outlineLvl w:val="2"/>
      </w:pPr>
      <w:r>
        <w:rPr>
          <w:rFonts w:ascii="黑体" w:hAnsi="黑体" w:eastAsia="黑体"/>
          <w:sz w:val="32"/>
        </w:rPr>
        <w:t>十、其他重要事项的情况说明</w:t>
      </w:r>
    </w:p>
    <w:p w14:paraId="0F09A92E">
      <w:pPr>
        <w:spacing w:line="640" w:lineRule="exact"/>
        <w:ind w:firstLine="640"/>
        <w:jc w:val="both"/>
        <w:outlineLvl w:val="3"/>
      </w:pPr>
      <w:r>
        <w:rPr>
          <w:rFonts w:ascii="楷体_GB2312" w:hAnsi="楷体_GB2312" w:eastAsia="楷体_GB2312"/>
          <w:b/>
          <w:sz w:val="32"/>
        </w:rPr>
        <w:t>（一）机关运行经费及公用经费支出情况</w:t>
      </w:r>
    </w:p>
    <w:p w14:paraId="42B12169">
      <w:pPr>
        <w:spacing w:line="580" w:lineRule="exact"/>
        <w:ind w:firstLine="640"/>
        <w:jc w:val="both"/>
      </w:pPr>
      <w:r>
        <w:rPr>
          <w:rFonts w:ascii="仿宋_GB2312" w:hAnsi="仿宋_GB2312" w:eastAsia="仿宋_GB2312"/>
          <w:b w:val="0"/>
          <w:sz w:val="32"/>
        </w:rPr>
        <w:t>2024年度新疆巴州且末县人民法院（行政单位和参照公务员法管理事业单位）机关运行经费支出72.72万元，比上年减少19.06万元，下降20.77%，主要原因是：本年办公费、电费等经费减少，机关运行经费支出减少。</w:t>
      </w:r>
    </w:p>
    <w:p w14:paraId="2557DF71">
      <w:pPr>
        <w:spacing w:line="640" w:lineRule="exact"/>
        <w:ind w:firstLine="640"/>
        <w:jc w:val="both"/>
        <w:outlineLvl w:val="3"/>
      </w:pPr>
      <w:r>
        <w:rPr>
          <w:rFonts w:ascii="楷体_GB2312" w:hAnsi="楷体_GB2312" w:eastAsia="楷体_GB2312"/>
          <w:b/>
          <w:sz w:val="32"/>
        </w:rPr>
        <w:t>（二）政府采购情况</w:t>
      </w:r>
    </w:p>
    <w:p w14:paraId="5284F48D">
      <w:pPr>
        <w:spacing w:line="580" w:lineRule="exact"/>
        <w:ind w:firstLine="640"/>
        <w:jc w:val="both"/>
      </w:pPr>
      <w:r>
        <w:rPr>
          <w:rFonts w:ascii="仿宋_GB2312" w:hAnsi="仿宋_GB2312" w:eastAsia="仿宋_GB2312"/>
          <w:b w:val="0"/>
          <w:sz w:val="32"/>
        </w:rPr>
        <w:t>2024年度政府采购支出总额75.15万元，其中：政府采购货物支出58.41万元、政府采购工程支出0.00万元、政府采购服务支出16.74万元。</w:t>
      </w:r>
    </w:p>
    <w:p w14:paraId="13409280">
      <w:pPr>
        <w:spacing w:line="580" w:lineRule="exact"/>
        <w:ind w:firstLine="640"/>
        <w:jc w:val="both"/>
      </w:pPr>
      <w:r>
        <w:rPr>
          <w:rFonts w:ascii="仿宋_GB2312" w:hAnsi="仿宋_GB2312" w:eastAsia="仿宋_GB2312"/>
          <w:b w:val="0"/>
          <w:sz w:val="32"/>
        </w:rPr>
        <w:t>授予中小企业合同金额72.49万元，占政府采购支出总额的96.46%，其中：授予小微企业合同金额58.28万元，占政府采购支出总额的77.55%。</w:t>
      </w:r>
    </w:p>
    <w:p w14:paraId="115C6F42">
      <w:pPr>
        <w:spacing w:line="640" w:lineRule="exact"/>
        <w:ind w:firstLine="640"/>
        <w:jc w:val="both"/>
        <w:outlineLvl w:val="3"/>
      </w:pPr>
      <w:r>
        <w:rPr>
          <w:rFonts w:ascii="楷体_GB2312" w:hAnsi="楷体_GB2312" w:eastAsia="楷体_GB2312"/>
          <w:b/>
          <w:sz w:val="32"/>
        </w:rPr>
        <w:t>（三）国有资产占用情况说明</w:t>
      </w:r>
    </w:p>
    <w:p w14:paraId="70A4B12E">
      <w:pPr>
        <w:spacing w:line="580" w:lineRule="exact"/>
        <w:ind w:firstLine="640"/>
        <w:jc w:val="both"/>
      </w:pPr>
      <w:r>
        <w:rPr>
          <w:rFonts w:ascii="仿宋_GB2312" w:hAnsi="仿宋_GB2312" w:eastAsia="仿宋_GB2312"/>
          <w:b w:val="0"/>
          <w:sz w:val="32"/>
        </w:rPr>
        <w:t>截至2024年12月31日，房屋4,254.80平方米，价值1,271.59万元。车辆12辆，价值236.19万元，其中：副部（省）级及以上领导用车0辆、主要负责人用车0辆、机要通信用车0辆、应急保障用车0辆、执法执勤用车12辆、特种专业技术用车0辆、离退休干部服务用车0辆、其他用车0辆，其他用车主要是：本部门无其他用车。单价100万元（含）以上设备（不含车辆）1台（套）。</w:t>
      </w:r>
    </w:p>
    <w:p w14:paraId="1DEB03D1">
      <w:pPr>
        <w:spacing w:line="640" w:lineRule="exact"/>
        <w:ind w:firstLine="640"/>
        <w:jc w:val="both"/>
        <w:outlineLvl w:val="2"/>
      </w:pPr>
      <w:r>
        <w:rPr>
          <w:rFonts w:ascii="黑体" w:hAnsi="黑体" w:eastAsia="黑体"/>
          <w:sz w:val="32"/>
        </w:rPr>
        <w:t>十一、预算绩效的情况说明</w:t>
      </w:r>
    </w:p>
    <w:p w14:paraId="1636019D">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根据预算绩效管理要求，本部门2024年度预算绩效管理形成整体支出绩效自评表1个，全年预算总额1,562.64万元，实际执行总额1,562.64万元；预算绩效评价项目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328</w:t>
      </w:r>
      <w:r>
        <w:rPr>
          <w:rFonts w:ascii="仿宋_GB2312" w:hAnsi="仿宋_GB2312" w:eastAsia="仿宋_GB2312"/>
          <w:b w:val="0"/>
          <w:sz w:val="32"/>
        </w:rPr>
        <w:t>.00万元，全年执行数</w:t>
      </w:r>
      <w:r>
        <w:rPr>
          <w:rFonts w:hint="eastAsia" w:ascii="仿宋_GB2312" w:hAnsi="仿宋_GB2312" w:eastAsia="仿宋_GB2312"/>
          <w:b w:val="0"/>
          <w:sz w:val="32"/>
          <w:lang w:val="en-US" w:eastAsia="zh-CN"/>
        </w:rPr>
        <w:t>328</w:t>
      </w:r>
      <w:r>
        <w:rPr>
          <w:rFonts w:ascii="仿宋_GB2312" w:hAnsi="仿宋_GB2312" w:eastAsia="仿宋_GB2312"/>
          <w:b w:val="0"/>
          <w:sz w:val="32"/>
        </w:rPr>
        <w:t>.00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各项指标的设置要进一步优化、完善，主要在细化、量化上改进。二是相关绩效管理方面专业知识的系统性学习有待加强。下一步改进措施：一是强化预算支出的约束，进一步提高年初预算编制的科学性和准确性，完善预算执行动态约束机制，加强财政预算资金管理，统筹协调推进项目执行，提高财政资金效益和效果。二是多进行有关绩效管理工作方面的培训，进一步夯实业务基础，提高</w:t>
      </w:r>
      <w:bookmarkStart w:id="0" w:name="_GoBack"/>
      <w:bookmarkEnd w:id="0"/>
      <w:r>
        <w:rPr>
          <w:rFonts w:ascii="仿宋_GB2312" w:hAnsi="仿宋_GB2312" w:eastAsia="仿宋_GB2312"/>
          <w:b w:val="0"/>
          <w:sz w:val="32"/>
        </w:rPr>
        <w:t>绩效人员水平。具体附部门整体支出绩效自评表，项目支出绩效自评表。</w:t>
      </w:r>
    </w:p>
    <w:p w14:paraId="3472713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EAE3A4E">
        <w:tblPrEx>
          <w:tblCellMar>
            <w:top w:w="0" w:type="dxa"/>
            <w:left w:w="108" w:type="dxa"/>
            <w:bottom w:w="0" w:type="dxa"/>
            <w:right w:w="108" w:type="dxa"/>
          </w:tblCellMar>
        </w:tblPrEx>
        <w:tc>
          <w:tcPr>
            <w:tcW w:w="8840" w:type="dxa"/>
            <w:gridSpan w:val="8"/>
            <w:vAlign w:val="center"/>
          </w:tcPr>
          <w:p w14:paraId="3A397F65">
            <w:pPr>
              <w:jc w:val="center"/>
            </w:pPr>
            <w:r>
              <w:rPr>
                <w:rFonts w:ascii="宋体" w:hAnsi="宋体" w:eastAsia="宋体"/>
                <w:sz w:val="24"/>
              </w:rPr>
              <w:t>部门整体支出绩效自评表</w:t>
            </w:r>
          </w:p>
        </w:tc>
      </w:tr>
      <w:tr w14:paraId="6FFAA0A4">
        <w:tblPrEx>
          <w:tblCellMar>
            <w:top w:w="0" w:type="dxa"/>
            <w:left w:w="108" w:type="dxa"/>
            <w:bottom w:w="0" w:type="dxa"/>
            <w:right w:w="108" w:type="dxa"/>
          </w:tblCellMar>
        </w:tblPrEx>
        <w:tc>
          <w:tcPr>
            <w:tcW w:w="8840" w:type="dxa"/>
            <w:gridSpan w:val="8"/>
            <w:vAlign w:val="center"/>
          </w:tcPr>
          <w:p w14:paraId="5681337F">
            <w:pPr>
              <w:jc w:val="center"/>
            </w:pPr>
            <w:r>
              <w:rPr>
                <w:rFonts w:ascii="宋体" w:hAnsi="宋体" w:eastAsia="宋体"/>
                <w:sz w:val="24"/>
              </w:rPr>
              <w:t>（2024年度）</w:t>
            </w:r>
          </w:p>
        </w:tc>
      </w:tr>
      <w:tr w14:paraId="1F00BA0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22A9E">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6105F">
            <w:pPr>
              <w:jc w:val="center"/>
            </w:pPr>
            <w:r>
              <w:rPr>
                <w:rFonts w:ascii="宋体" w:hAnsi="宋体" w:eastAsia="宋体"/>
                <w:sz w:val="16"/>
              </w:rPr>
              <w:t>新疆巴州且末县人民法院</w:t>
            </w:r>
          </w:p>
        </w:tc>
      </w:tr>
      <w:tr w14:paraId="3537284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8727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8F8F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ABC4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0439C">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BE3A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7669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4FBD3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0772F">
            <w:pPr>
              <w:jc w:val="center"/>
            </w:pPr>
            <w:r>
              <w:rPr>
                <w:rFonts w:ascii="宋体" w:hAnsi="宋体" w:eastAsia="宋体"/>
                <w:sz w:val="16"/>
              </w:rPr>
              <w:t>得分</w:t>
            </w:r>
          </w:p>
        </w:tc>
      </w:tr>
      <w:tr w14:paraId="2070451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60A5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805D0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4B7F6">
            <w:pPr>
              <w:jc w:val="center"/>
            </w:pPr>
            <w:r>
              <w:rPr>
                <w:rFonts w:ascii="宋体" w:hAnsi="宋体" w:eastAsia="宋体"/>
                <w:sz w:val="16"/>
              </w:rPr>
              <w:t>1,571.32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64EA7">
            <w:pPr>
              <w:jc w:val="center"/>
            </w:pPr>
            <w:r>
              <w:rPr>
                <w:rFonts w:ascii="宋体" w:hAnsi="宋体" w:eastAsia="宋体"/>
                <w:sz w:val="16"/>
              </w:rPr>
              <w:t>1,562.64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C29C8">
            <w:pPr>
              <w:jc w:val="center"/>
            </w:pPr>
            <w:r>
              <w:rPr>
                <w:rFonts w:ascii="宋体" w:hAnsi="宋体" w:eastAsia="宋体"/>
                <w:sz w:val="16"/>
              </w:rPr>
              <w:t>1,562.64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D034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DF52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98750">
            <w:pPr>
              <w:jc w:val="center"/>
            </w:pPr>
            <w:r>
              <w:rPr>
                <w:rFonts w:ascii="宋体" w:hAnsi="宋体" w:eastAsia="宋体"/>
                <w:sz w:val="16"/>
              </w:rPr>
              <w:t>10</w:t>
            </w:r>
          </w:p>
        </w:tc>
      </w:tr>
      <w:tr w14:paraId="3454D2B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79DF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AE4EB">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C55DE">
            <w:pPr>
              <w:jc w:val="center"/>
            </w:pPr>
            <w:r>
              <w:rPr>
                <w:rFonts w:ascii="宋体" w:hAnsi="宋体" w:eastAsia="宋体"/>
                <w:sz w:val="16"/>
              </w:rPr>
              <w:t>259.00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1621C">
            <w:pPr>
              <w:jc w:val="center"/>
            </w:pPr>
            <w:r>
              <w:rPr>
                <w:rFonts w:ascii="宋体" w:hAnsi="宋体" w:eastAsia="宋体"/>
                <w:sz w:val="16"/>
              </w:rPr>
              <w:t>321.00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050CB">
            <w:pPr>
              <w:jc w:val="center"/>
            </w:pPr>
            <w:r>
              <w:rPr>
                <w:rFonts w:ascii="宋体" w:hAnsi="宋体" w:eastAsia="宋体"/>
                <w:sz w:val="16"/>
              </w:rPr>
              <w:t>321.00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0A32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721A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81C8A0">
            <w:pPr>
              <w:jc w:val="center"/>
            </w:pPr>
            <w:r>
              <w:rPr>
                <w:rFonts w:ascii="宋体" w:hAnsi="宋体" w:eastAsia="宋体"/>
                <w:sz w:val="16"/>
              </w:rPr>
              <w:t>-</w:t>
            </w:r>
          </w:p>
        </w:tc>
      </w:tr>
      <w:tr w14:paraId="1487A09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8A3C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16E797">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46CF7">
            <w:pPr>
              <w:jc w:val="center"/>
            </w:pPr>
            <w:r>
              <w:rPr>
                <w:rFonts w:ascii="宋体" w:hAnsi="宋体" w:eastAsia="宋体"/>
                <w:sz w:val="16"/>
              </w:rPr>
              <w:t>1,312.32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829D6">
            <w:pPr>
              <w:jc w:val="center"/>
            </w:pPr>
            <w:r>
              <w:rPr>
                <w:rFonts w:ascii="宋体" w:hAnsi="宋体" w:eastAsia="宋体"/>
                <w:sz w:val="16"/>
              </w:rPr>
              <w:t>1,241.64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87EE4C">
            <w:pPr>
              <w:jc w:val="center"/>
            </w:pPr>
            <w:r>
              <w:rPr>
                <w:rFonts w:ascii="宋体" w:hAnsi="宋体" w:eastAsia="宋体"/>
                <w:sz w:val="16"/>
              </w:rPr>
              <w:t>1,241.64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76D4B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0E02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316F8">
            <w:pPr>
              <w:jc w:val="center"/>
            </w:pPr>
            <w:r>
              <w:rPr>
                <w:rFonts w:ascii="宋体" w:hAnsi="宋体" w:eastAsia="宋体"/>
                <w:sz w:val="16"/>
              </w:rPr>
              <w:t>-</w:t>
            </w:r>
          </w:p>
        </w:tc>
      </w:tr>
      <w:tr w14:paraId="05A779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981F3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A103E">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78F8A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FFA1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F16F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7CB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6F7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04A73">
            <w:pPr>
              <w:jc w:val="center"/>
            </w:pPr>
            <w:r>
              <w:rPr>
                <w:rFonts w:ascii="宋体" w:hAnsi="宋体" w:eastAsia="宋体"/>
                <w:sz w:val="16"/>
              </w:rPr>
              <w:t>-</w:t>
            </w:r>
          </w:p>
        </w:tc>
      </w:tr>
      <w:tr w14:paraId="40476A2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3503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F5ED1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CA8DEC">
            <w:pPr>
              <w:jc w:val="center"/>
            </w:pPr>
            <w:r>
              <w:rPr>
                <w:rFonts w:ascii="宋体" w:hAnsi="宋体" w:eastAsia="宋体"/>
                <w:sz w:val="16"/>
              </w:rPr>
              <w:t>实际完成情况</w:t>
            </w:r>
          </w:p>
        </w:tc>
      </w:tr>
      <w:tr w14:paraId="4D4117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98F8E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9A240C">
            <w:pPr>
              <w:jc w:val="both"/>
            </w:pPr>
            <w:r>
              <w:rPr>
                <w:rFonts w:ascii="宋体" w:hAnsi="宋体" w:eastAsia="宋体"/>
                <w:sz w:val="16"/>
              </w:rPr>
              <w:t>按照“十四五”规划部署，紧紧围绕促进新疆社会稳定和长治久安的总目标，充分发挥法院的审判执行工作职能，全面提升审判执行工作质效，保障法院审判执行工作的顺利开展。全面提升法官队伍整体职业素养，打造忠诚担当爱岗敬业的法院队伍，保障维护案件审判执行的公平正义，提升法官队伍职业素养，推进司法体制改革进程。坚持司法为民,公正司法，为和硕经济社会发展提供坚强有力的司法服务和保障。保障我院依法审理刑事、民商事、执行各类案件。提高人民满意度，保障司法审判的各项工作顺利进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EABE75">
            <w:pPr>
              <w:jc w:val="both"/>
            </w:pPr>
            <w:r>
              <w:rPr>
                <w:rFonts w:ascii="宋体" w:hAnsi="宋体" w:eastAsia="宋体"/>
                <w:sz w:val="16"/>
              </w:rPr>
              <w:t>且末县人民法院2024年继续深化落实案件质量，继续发挥科技法庭，网络直播法庭，远程执行查控等大数据和高科技设备的技术运用，收案2605件，案件调解数为1329件，庭审公开率达98%，法定审限期内结案率达到97.67%，增进法院可持续发展提升社会司法环境公平公正。坚持司法为民，公正司法，保护人民群众合法权益，提高了法院信息化整体应用水平，推进智慧法院项目实施，确保且末法院信息化项目稳步推进。</w:t>
            </w:r>
          </w:p>
        </w:tc>
      </w:tr>
      <w:tr w14:paraId="2EE0BC1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DD57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43B9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182A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7546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C6039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FF05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7C19C6">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F46D2C">
            <w:pPr>
              <w:jc w:val="center"/>
            </w:pPr>
            <w:r>
              <w:rPr>
                <w:rFonts w:ascii="宋体" w:hAnsi="宋体" w:eastAsia="宋体"/>
                <w:sz w:val="16"/>
              </w:rPr>
              <w:t>得分</w:t>
            </w:r>
          </w:p>
        </w:tc>
      </w:tr>
      <w:tr w14:paraId="6628459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CF68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E9B5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B11DEA">
            <w:pPr>
              <w:jc w:val="center"/>
            </w:pPr>
            <w:r>
              <w:rPr>
                <w:rFonts w:ascii="宋体" w:hAnsi="宋体" w:eastAsia="宋体"/>
                <w:sz w:val="16"/>
              </w:rPr>
              <w:t>法院受案数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4B755">
            <w:pPr>
              <w:jc w:val="center"/>
            </w:pPr>
            <w:r>
              <w:rPr>
                <w:rFonts w:ascii="宋体" w:hAnsi="宋体" w:eastAsia="宋体"/>
                <w:sz w:val="16"/>
              </w:rPr>
              <w:t>&gt;=2500件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A131C">
            <w:pPr>
              <w:jc w:val="center"/>
            </w:pPr>
            <w:r>
              <w:rPr>
                <w:rFonts w:ascii="宋体" w:hAnsi="宋体" w:eastAsia="宋体"/>
                <w:sz w:val="16"/>
              </w:rPr>
              <w:t>且末法院工作报告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78E4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1A9A0">
            <w:pPr>
              <w:jc w:val="center"/>
            </w:pPr>
            <w:r>
              <w:rPr>
                <w:rFonts w:ascii="宋体" w:hAnsi="宋体" w:eastAsia="宋体"/>
                <w:sz w:val="16"/>
              </w:rPr>
              <w:t>2605件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2AFCA">
            <w:pPr>
              <w:jc w:val="center"/>
            </w:pPr>
            <w:r>
              <w:rPr>
                <w:rFonts w:ascii="宋体" w:hAnsi="宋体" w:eastAsia="宋体"/>
                <w:sz w:val="16"/>
              </w:rPr>
              <w:t>20</w:t>
            </w:r>
          </w:p>
        </w:tc>
      </w:tr>
      <w:tr w14:paraId="7F69271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4E4DE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F853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5FCB82">
            <w:pPr>
              <w:jc w:val="center"/>
            </w:pPr>
            <w:r>
              <w:rPr>
                <w:rFonts w:ascii="宋体" w:hAnsi="宋体" w:eastAsia="宋体"/>
                <w:sz w:val="16"/>
              </w:rPr>
              <w:t>案件调解数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7D18B">
            <w:pPr>
              <w:jc w:val="center"/>
            </w:pPr>
            <w:r>
              <w:rPr>
                <w:rFonts w:ascii="宋体" w:hAnsi="宋体" w:eastAsia="宋体"/>
                <w:sz w:val="16"/>
              </w:rPr>
              <w:t>&gt;=700件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5E67D">
            <w:pPr>
              <w:jc w:val="center"/>
            </w:pPr>
            <w:r>
              <w:rPr>
                <w:rFonts w:ascii="宋体" w:hAnsi="宋体" w:eastAsia="宋体"/>
                <w:sz w:val="16"/>
              </w:rPr>
              <w:t>且末法院工作报告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6981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B3216">
            <w:pPr>
              <w:jc w:val="center"/>
            </w:pPr>
            <w:r>
              <w:rPr>
                <w:rFonts w:ascii="宋体" w:hAnsi="宋体" w:eastAsia="宋体"/>
                <w:sz w:val="16"/>
              </w:rPr>
              <w:t>1329件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F71EFA">
            <w:pPr>
              <w:jc w:val="center"/>
            </w:pPr>
            <w:r>
              <w:rPr>
                <w:rFonts w:ascii="宋体" w:hAnsi="宋体" w:eastAsia="宋体"/>
                <w:sz w:val="16"/>
              </w:rPr>
              <w:t>20</w:t>
            </w:r>
          </w:p>
        </w:tc>
      </w:tr>
      <w:tr w14:paraId="75DD3D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7EFB94"/>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C50C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F822E">
            <w:pPr>
              <w:jc w:val="center"/>
            </w:pPr>
            <w:r>
              <w:rPr>
                <w:rFonts w:ascii="宋体" w:hAnsi="宋体" w:eastAsia="宋体"/>
                <w:sz w:val="16"/>
              </w:rPr>
              <w:t>庭审公开率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28DE4">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F288EF">
            <w:pPr>
              <w:jc w:val="center"/>
            </w:pPr>
            <w:r>
              <w:rPr>
                <w:rFonts w:ascii="宋体" w:hAnsi="宋体" w:eastAsia="宋体"/>
                <w:sz w:val="16"/>
              </w:rPr>
              <w:t>且末法院工作报告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832F3">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E733D6">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B2457">
            <w:pPr>
              <w:jc w:val="center"/>
            </w:pPr>
            <w:r>
              <w:rPr>
                <w:rFonts w:ascii="宋体" w:hAnsi="宋体" w:eastAsia="宋体"/>
                <w:sz w:val="16"/>
              </w:rPr>
              <w:t>25</w:t>
            </w:r>
          </w:p>
        </w:tc>
      </w:tr>
      <w:tr w14:paraId="4DAD2A6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9B0FE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C183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3F673">
            <w:pPr>
              <w:jc w:val="center"/>
            </w:pPr>
            <w:r>
              <w:rPr>
                <w:rFonts w:ascii="宋体" w:hAnsi="宋体" w:eastAsia="宋体"/>
                <w:sz w:val="16"/>
              </w:rPr>
              <w:t>法定审限期内结案率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10810E">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C4BAF">
            <w:pPr>
              <w:jc w:val="center"/>
            </w:pPr>
            <w:r>
              <w:rPr>
                <w:rFonts w:ascii="宋体" w:hAnsi="宋体" w:eastAsia="宋体"/>
                <w:sz w:val="16"/>
              </w:rPr>
              <w:t>且末法院工作报告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94AD7">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918350">
            <w:pPr>
              <w:jc w:val="center"/>
            </w:pPr>
            <w:r>
              <w:rPr>
                <w:rFonts w:ascii="宋体" w:hAnsi="宋体" w:eastAsia="宋体"/>
                <w:sz w:val="16"/>
              </w:rPr>
              <w:t>97.67%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102EE5">
            <w:pPr>
              <w:jc w:val="center"/>
            </w:pPr>
            <w:r>
              <w:rPr>
                <w:rFonts w:ascii="宋体" w:hAnsi="宋体" w:eastAsia="宋体"/>
                <w:sz w:val="16"/>
              </w:rPr>
              <w:t>25</w:t>
            </w:r>
          </w:p>
        </w:tc>
      </w:tr>
    </w:tbl>
    <w:p w14:paraId="095D17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545D64C2">
        <w:tblPrEx>
          <w:tblCellMar>
            <w:top w:w="0" w:type="dxa"/>
            <w:left w:w="108" w:type="dxa"/>
            <w:bottom w:w="0" w:type="dxa"/>
            <w:right w:w="108" w:type="dxa"/>
          </w:tblCellMar>
        </w:tblPrEx>
        <w:tc>
          <w:tcPr>
            <w:tcW w:w="8848" w:type="dxa"/>
            <w:gridSpan w:val="14"/>
            <w:vAlign w:val="center"/>
          </w:tcPr>
          <w:p w14:paraId="184F13BB">
            <w:pPr>
              <w:jc w:val="center"/>
            </w:pPr>
            <w:r>
              <w:rPr>
                <w:rFonts w:ascii="宋体" w:hAnsi="宋体" w:eastAsia="宋体"/>
                <w:sz w:val="24"/>
              </w:rPr>
              <w:t>项目支出绩效自评表</w:t>
            </w:r>
          </w:p>
        </w:tc>
      </w:tr>
      <w:tr w14:paraId="40535332">
        <w:tblPrEx>
          <w:tblCellMar>
            <w:top w:w="0" w:type="dxa"/>
            <w:left w:w="108" w:type="dxa"/>
            <w:bottom w:w="0" w:type="dxa"/>
            <w:right w:w="108" w:type="dxa"/>
          </w:tblCellMar>
        </w:tblPrEx>
        <w:tc>
          <w:tcPr>
            <w:tcW w:w="8848" w:type="dxa"/>
            <w:gridSpan w:val="14"/>
            <w:vAlign w:val="center"/>
          </w:tcPr>
          <w:p w14:paraId="14E22734">
            <w:pPr>
              <w:jc w:val="center"/>
            </w:pPr>
            <w:r>
              <w:rPr>
                <w:rFonts w:ascii="宋体" w:hAnsi="宋体" w:eastAsia="宋体"/>
                <w:sz w:val="24"/>
              </w:rPr>
              <w:t>(2024年度)</w:t>
            </w:r>
          </w:p>
        </w:tc>
      </w:tr>
      <w:tr w14:paraId="7251C3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97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806D11">
            <w:pPr>
              <w:jc w:val="center"/>
            </w:pPr>
            <w:r>
              <w:rPr>
                <w:rFonts w:ascii="宋体" w:hAnsi="宋体" w:eastAsia="宋体"/>
                <w:sz w:val="16"/>
              </w:rPr>
              <w:t>为民办实事、第一书记经费</w:t>
            </w:r>
          </w:p>
        </w:tc>
      </w:tr>
      <w:tr w14:paraId="64B827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5B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37E0A">
            <w:pPr>
              <w:jc w:val="center"/>
            </w:pPr>
            <w:r>
              <w:rPr>
                <w:rFonts w:ascii="宋体" w:hAnsi="宋体" w:eastAsia="宋体"/>
                <w:sz w:val="16"/>
              </w:rPr>
              <w:t>新疆巴州且末县人民法院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50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BC7FFD">
            <w:pPr>
              <w:jc w:val="center"/>
            </w:pPr>
            <w:r>
              <w:rPr>
                <w:rFonts w:ascii="宋体" w:hAnsi="宋体" w:eastAsia="宋体"/>
                <w:sz w:val="16"/>
              </w:rPr>
              <w:t>新疆巴州且末县人民法院</w:t>
            </w:r>
          </w:p>
        </w:tc>
      </w:tr>
      <w:tr w14:paraId="61615C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C4B7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933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836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AA1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861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9693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A74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0E4E">
            <w:pPr>
              <w:jc w:val="center"/>
            </w:pPr>
            <w:r>
              <w:rPr>
                <w:rFonts w:ascii="宋体" w:hAnsi="宋体" w:eastAsia="宋体"/>
                <w:sz w:val="16"/>
              </w:rPr>
              <w:t>得分</w:t>
            </w:r>
          </w:p>
        </w:tc>
      </w:tr>
      <w:tr w14:paraId="42DA44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9BC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BDA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9F9D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4700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5E60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FB0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6F4B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5516">
            <w:pPr>
              <w:jc w:val="center"/>
            </w:pPr>
            <w:r>
              <w:rPr>
                <w:rFonts w:ascii="宋体" w:hAnsi="宋体" w:eastAsia="宋体"/>
                <w:sz w:val="16"/>
              </w:rPr>
              <w:t>10.00</w:t>
            </w:r>
          </w:p>
        </w:tc>
      </w:tr>
      <w:tr w14:paraId="2A0F6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6B0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62C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04A1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71C0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7062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3AC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966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AC89">
            <w:pPr>
              <w:jc w:val="center"/>
            </w:pPr>
            <w:r>
              <w:rPr>
                <w:rFonts w:ascii="宋体" w:hAnsi="宋体" w:eastAsia="宋体"/>
                <w:sz w:val="16"/>
              </w:rPr>
              <w:t>-</w:t>
            </w:r>
          </w:p>
        </w:tc>
      </w:tr>
      <w:tr w14:paraId="5ACC0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4B1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F214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17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2D4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621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58C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C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B957">
            <w:pPr>
              <w:jc w:val="center"/>
            </w:pPr>
            <w:r>
              <w:rPr>
                <w:rFonts w:ascii="宋体" w:hAnsi="宋体" w:eastAsia="宋体"/>
                <w:sz w:val="16"/>
              </w:rPr>
              <w:t>-</w:t>
            </w:r>
          </w:p>
        </w:tc>
      </w:tr>
      <w:tr w14:paraId="5CB088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BC6A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21C2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733F0B">
            <w:pPr>
              <w:jc w:val="center"/>
            </w:pPr>
            <w:r>
              <w:rPr>
                <w:rFonts w:ascii="宋体" w:hAnsi="宋体" w:eastAsia="宋体"/>
                <w:sz w:val="16"/>
              </w:rPr>
              <w:t>总体目标完成情况</w:t>
            </w:r>
          </w:p>
        </w:tc>
      </w:tr>
      <w:tr w14:paraId="50F04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22E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4A0DD">
            <w:pPr>
              <w:jc w:val="both"/>
            </w:pPr>
            <w:r>
              <w:rPr>
                <w:rFonts w:ascii="宋体" w:hAnsi="宋体" w:eastAsia="宋体"/>
                <w:sz w:val="16"/>
              </w:rPr>
              <w:t>按照自治区工作指示，我院驻点且末县库拉木拉克乡阿克亚村工作队，合理合规使用为民办实事经费，确保为民办实事经费使用的安全性、规范性和实效性</w:t>
            </w:r>
            <w:r>
              <w:rPr>
                <w:rFonts w:hint="eastAsia" w:ascii="宋体" w:hAnsi="宋体"/>
                <w:sz w:val="16"/>
                <w:lang w:eastAsia="zh-CN"/>
              </w:rPr>
              <w:t>，把</w:t>
            </w:r>
            <w:r>
              <w:rPr>
                <w:rFonts w:ascii="宋体" w:hAnsi="宋体" w:eastAsia="宋体"/>
                <w:sz w:val="16"/>
              </w:rPr>
              <w:t>为民办实事工作经费落实到实处，组织各项慰问和文化活动，提高村民文化生活水平；确保村基础设施建设完备；确保贫困群众生活质量提升，进行访贫问苦，从而提升群众获得感、幸福感。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81CBBC">
            <w:pPr>
              <w:jc w:val="both"/>
            </w:pPr>
            <w:r>
              <w:rPr>
                <w:rFonts w:ascii="宋体" w:hAnsi="宋体" w:eastAsia="宋体"/>
                <w:sz w:val="16"/>
              </w:rPr>
              <w:t>确保且末县库拉木拉克乡阿克亚村工作，工作经费落实到实处，组织各项慰问和文化活动，提高村民文化生活水平；确保村基础设施建设完备；确保贫困群众生活质量提升，进行访贫问苦，从而提升群众获得感、幸福感。</w:t>
            </w:r>
          </w:p>
        </w:tc>
      </w:tr>
      <w:tr w14:paraId="37C34F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DB2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89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DB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AA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B5E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1E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12F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37C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01C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09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1E6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084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167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326C">
            <w:pPr>
              <w:jc w:val="center"/>
            </w:pPr>
            <w:r>
              <w:rPr>
                <w:rFonts w:ascii="宋体" w:hAnsi="宋体" w:eastAsia="宋体"/>
                <w:sz w:val="16"/>
              </w:rPr>
              <w:t>偏差原因分析及改进措施</w:t>
            </w:r>
          </w:p>
        </w:tc>
      </w:tr>
      <w:tr w14:paraId="19D6C4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92B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C5A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B9D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6720">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69A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3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7F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92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B9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E4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55E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D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FF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2C95">
            <w:pPr>
              <w:jc w:val="center"/>
            </w:pPr>
          </w:p>
        </w:tc>
      </w:tr>
      <w:tr w14:paraId="4DFDC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7C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26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F7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F857">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374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5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9A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38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D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4F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67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E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4A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9B1D">
            <w:pPr>
              <w:jc w:val="center"/>
            </w:pPr>
          </w:p>
        </w:tc>
      </w:tr>
      <w:tr w14:paraId="239A0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EE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49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52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CE9D">
            <w:pPr>
              <w:jc w:val="center"/>
            </w:pPr>
            <w:r>
              <w:rPr>
                <w:rFonts w:ascii="宋体" w:hAnsi="宋体" w:eastAsia="宋体"/>
                <w:sz w:val="16"/>
              </w:rPr>
              <w:t>派驻工作队人员数量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760D">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D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4BEE">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9E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9F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FC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8E7B">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8CC2">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A477">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FBCA">
            <w:pPr>
              <w:jc w:val="center"/>
            </w:pPr>
            <w:r>
              <w:rPr>
                <w:rFonts w:ascii="宋体" w:hAnsi="宋体" w:eastAsia="宋体"/>
                <w:sz w:val="16"/>
              </w:rPr>
              <w:t>偏差原因：工作队队员按要求返回单位，减少1人。改进措施：下年度在项目开始前综合考虑影响项目目标的因素，并在实施期间及时调整。</w:t>
            </w:r>
          </w:p>
        </w:tc>
      </w:tr>
      <w:tr w14:paraId="135FB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21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5C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4B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EE21">
            <w:pPr>
              <w:jc w:val="center"/>
            </w:pPr>
            <w:r>
              <w:rPr>
                <w:rFonts w:ascii="宋体" w:hAnsi="宋体" w:eastAsia="宋体"/>
                <w:sz w:val="16"/>
              </w:rPr>
              <w:t>派驻工作队人员数量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4E09">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57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09E8">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A9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5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55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BA8A">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2CA0">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B0E4">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3844">
            <w:pPr>
              <w:jc w:val="center"/>
            </w:pPr>
            <w:r>
              <w:rPr>
                <w:rFonts w:ascii="宋体" w:hAnsi="宋体" w:eastAsia="宋体"/>
                <w:sz w:val="16"/>
              </w:rPr>
              <w:t>偏差原因：工作队队员按要求返回单位，减少1人。改进措施：下年度在项目开始前综合考虑影响项目目标的因素，并在实施期间及时调整。</w:t>
            </w:r>
          </w:p>
        </w:tc>
      </w:tr>
      <w:tr w14:paraId="003D5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71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51C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CB3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B494">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5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D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7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20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6D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5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3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6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B7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879C">
            <w:pPr>
              <w:jc w:val="center"/>
            </w:pPr>
          </w:p>
        </w:tc>
      </w:tr>
      <w:tr w14:paraId="4EA2E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58C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1E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8AD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91F7">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F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0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72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26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34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23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F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1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E1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508A">
            <w:pPr>
              <w:jc w:val="center"/>
            </w:pPr>
          </w:p>
        </w:tc>
      </w:tr>
      <w:tr w14:paraId="12330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56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E4B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F70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BD1B">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0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4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A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B4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6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8D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E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1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FC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2895">
            <w:pPr>
              <w:jc w:val="center"/>
            </w:pPr>
          </w:p>
        </w:tc>
      </w:tr>
      <w:tr w14:paraId="32ECC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66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62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4F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FA17">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9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4C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A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66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E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5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6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6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18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0D5D">
            <w:pPr>
              <w:jc w:val="center"/>
            </w:pPr>
          </w:p>
        </w:tc>
      </w:tr>
      <w:tr w14:paraId="641F9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144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DBA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8D6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2A5D">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DC0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F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01D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08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C6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CF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DDC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B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4A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36D7">
            <w:pPr>
              <w:jc w:val="center"/>
            </w:pPr>
          </w:p>
        </w:tc>
      </w:tr>
      <w:tr w14:paraId="064A9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FF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0D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97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4B62">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3CE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4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2A3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95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B5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EE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058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8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28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F9D0">
            <w:pPr>
              <w:jc w:val="center"/>
            </w:pPr>
          </w:p>
        </w:tc>
      </w:tr>
      <w:tr w14:paraId="7BACE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CC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81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D4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1B49">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3FF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D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E57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3D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E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6C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E35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3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5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8F23">
            <w:pPr>
              <w:jc w:val="center"/>
            </w:pPr>
          </w:p>
        </w:tc>
      </w:tr>
      <w:tr w14:paraId="517C7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26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1E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02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78A8">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3C2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3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44B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ED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14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7B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9EF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7A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B7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0FDC">
            <w:pPr>
              <w:jc w:val="center"/>
            </w:pPr>
          </w:p>
        </w:tc>
      </w:tr>
      <w:tr w14:paraId="2500A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8D5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D6A8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C35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6FA1">
            <w:pPr>
              <w:jc w:val="center"/>
            </w:pPr>
            <w:r>
              <w:rPr>
                <w:rFonts w:ascii="宋体" w:hAnsi="宋体" w:eastAsia="宋体"/>
                <w:sz w:val="16"/>
              </w:rPr>
              <w:t>受益牧民人数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8DD0">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1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C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38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AF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F2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E2BB">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A1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AE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1204">
            <w:pPr>
              <w:jc w:val="center"/>
            </w:pPr>
          </w:p>
        </w:tc>
      </w:tr>
      <w:tr w14:paraId="583EF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A9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F93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A8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BD8E">
            <w:pPr>
              <w:jc w:val="center"/>
            </w:pPr>
            <w:r>
              <w:rPr>
                <w:rFonts w:ascii="宋体" w:hAnsi="宋体" w:eastAsia="宋体"/>
                <w:sz w:val="16"/>
              </w:rPr>
              <w:t>受益牧民人数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2E30">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8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45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52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7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D9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A999">
            <w:pPr>
              <w:jc w:val="center"/>
            </w:pPr>
            <w:r>
              <w:rPr>
                <w:rFonts w:ascii="宋体" w:hAnsi="宋体" w:eastAsia="宋体"/>
                <w:sz w:val="16"/>
              </w:rPr>
              <w:t>=203人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DC12">
            <w:pPr>
              <w:jc w:val="center"/>
            </w:pPr>
            <w:r>
              <w:rPr>
                <w:rFonts w:ascii="宋体" w:hAnsi="宋体" w:eastAsia="宋体"/>
                <w:sz w:val="16"/>
              </w:rPr>
              <w:t>253.75%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AE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FA02">
            <w:pPr>
              <w:jc w:val="center"/>
            </w:pPr>
            <w:r>
              <w:rPr>
                <w:rFonts w:ascii="宋体" w:hAnsi="宋体" w:eastAsia="宋体"/>
                <w:sz w:val="16"/>
              </w:rPr>
              <w:t>偏差原因：工作队通过组织乡村文化活动，全村203人皆参与其中。改进措施：下年度在项目开始前综合考虑影响项目目标的因素，并在实施期间及时调整。</w:t>
            </w:r>
          </w:p>
        </w:tc>
      </w:tr>
      <w:tr w14:paraId="15337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A97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10D2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BA0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B4F3">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22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A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FB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06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24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85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EA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0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F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BFC5">
            <w:pPr>
              <w:jc w:val="center"/>
            </w:pPr>
          </w:p>
        </w:tc>
      </w:tr>
      <w:tr w14:paraId="7CB21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94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3A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93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9335">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04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5E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7B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B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BD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3A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C0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5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74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7293">
            <w:pPr>
              <w:jc w:val="center"/>
            </w:pPr>
          </w:p>
        </w:tc>
      </w:tr>
      <w:tr w14:paraId="13FED9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B00B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BC0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8C43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C12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7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EF57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432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E83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76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7482">
            <w:pPr>
              <w:jc w:val="center"/>
            </w:pPr>
            <w:r>
              <w:rPr>
                <w:rFonts w:ascii="宋体" w:hAnsi="宋体" w:eastAsia="宋体"/>
                <w:sz w:val="16"/>
              </w:rPr>
              <w:t>73.75分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A7925"/>
        </w:tc>
      </w:tr>
    </w:tbl>
    <w:p w14:paraId="17E7DA39">
      <w:r>
        <w:br w:type="page"/>
      </w:r>
    </w:p>
    <w:p w14:paraId="3CBA0C04">
      <w:pPr>
        <w:spacing w:line="640" w:lineRule="exact"/>
        <w:ind w:firstLine="640"/>
        <w:jc w:val="both"/>
        <w:outlineLvl w:val="2"/>
      </w:pPr>
      <w:r>
        <w:rPr>
          <w:rFonts w:ascii="黑体" w:hAnsi="黑体" w:eastAsia="黑体"/>
          <w:sz w:val="32"/>
        </w:rPr>
        <w:t>十二、其他需说明的事项</w:t>
      </w:r>
    </w:p>
    <w:p w14:paraId="434A29D5">
      <w:pPr>
        <w:spacing w:line="580" w:lineRule="exact"/>
        <w:ind w:firstLine="640"/>
        <w:jc w:val="both"/>
      </w:pPr>
      <w:r>
        <w:rPr>
          <w:rFonts w:ascii="仿宋_GB2312" w:hAnsi="仿宋_GB2312" w:eastAsia="仿宋_GB2312"/>
          <w:b w:val="0"/>
          <w:sz w:val="32"/>
        </w:rPr>
        <w:t>本年本部门SM项目1个，全年预算数321.00万元，全年执行数321.00万元。</w:t>
      </w:r>
    </w:p>
    <w:p w14:paraId="6BBB656E">
      <w:r>
        <w:br w:type="page"/>
      </w:r>
    </w:p>
    <w:p w14:paraId="7BE472FE">
      <w:pPr>
        <w:spacing w:line="240" w:lineRule="auto"/>
        <w:jc w:val="center"/>
        <w:outlineLvl w:val="1"/>
      </w:pPr>
      <w:r>
        <w:rPr>
          <w:rFonts w:ascii="黑体" w:hAnsi="黑体" w:eastAsia="黑体"/>
          <w:sz w:val="32"/>
        </w:rPr>
        <w:t>第三部分 专业名词解释</w:t>
      </w:r>
    </w:p>
    <w:p w14:paraId="2DF8AB6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D117F9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29942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BE187D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4C20E7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2B4BCB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A5D268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0B295C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90423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AD37F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F447D9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A3ADDB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61CA5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1F111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FBD1841">
      <w:r>
        <w:br w:type="page"/>
      </w:r>
    </w:p>
    <w:p w14:paraId="0188BDBF">
      <w:pPr>
        <w:spacing w:line="240" w:lineRule="auto"/>
        <w:jc w:val="center"/>
        <w:outlineLvl w:val="1"/>
      </w:pPr>
      <w:r>
        <w:rPr>
          <w:rFonts w:ascii="黑体" w:hAnsi="黑体" w:eastAsia="黑体"/>
          <w:sz w:val="32"/>
        </w:rPr>
        <w:t>第四部分 部门决算报表（见附表）</w:t>
      </w:r>
    </w:p>
    <w:p w14:paraId="3383E5F6">
      <w:pPr>
        <w:spacing w:line="240" w:lineRule="auto"/>
        <w:ind w:firstLine="640"/>
        <w:jc w:val="both"/>
      </w:pPr>
      <w:r>
        <w:rPr>
          <w:rFonts w:ascii="仿宋_GB2312" w:hAnsi="仿宋_GB2312" w:eastAsia="仿宋_GB2312"/>
          <w:b w:val="0"/>
          <w:sz w:val="32"/>
        </w:rPr>
        <w:t>一、《收入支出决算总表》</w:t>
      </w:r>
    </w:p>
    <w:p w14:paraId="3C464EE3">
      <w:pPr>
        <w:spacing w:line="240" w:lineRule="auto"/>
        <w:ind w:firstLine="640"/>
        <w:jc w:val="both"/>
      </w:pPr>
      <w:r>
        <w:rPr>
          <w:rFonts w:ascii="仿宋_GB2312" w:hAnsi="仿宋_GB2312" w:eastAsia="仿宋_GB2312"/>
          <w:b w:val="0"/>
          <w:sz w:val="32"/>
        </w:rPr>
        <w:t>二、《收入决算表》</w:t>
      </w:r>
    </w:p>
    <w:p w14:paraId="49A438E2">
      <w:pPr>
        <w:spacing w:line="240" w:lineRule="auto"/>
        <w:ind w:firstLine="640"/>
        <w:jc w:val="both"/>
      </w:pPr>
      <w:r>
        <w:rPr>
          <w:rFonts w:ascii="仿宋_GB2312" w:hAnsi="仿宋_GB2312" w:eastAsia="仿宋_GB2312"/>
          <w:b w:val="0"/>
          <w:sz w:val="32"/>
        </w:rPr>
        <w:t>三、《支出决算表》</w:t>
      </w:r>
    </w:p>
    <w:p w14:paraId="72B90D53">
      <w:pPr>
        <w:spacing w:line="240" w:lineRule="auto"/>
        <w:ind w:firstLine="640"/>
        <w:jc w:val="both"/>
      </w:pPr>
      <w:r>
        <w:rPr>
          <w:rFonts w:ascii="仿宋_GB2312" w:hAnsi="仿宋_GB2312" w:eastAsia="仿宋_GB2312"/>
          <w:b w:val="0"/>
          <w:sz w:val="32"/>
        </w:rPr>
        <w:t>四、《财政拨款收入支出决算总表》</w:t>
      </w:r>
    </w:p>
    <w:p w14:paraId="2D0C1175">
      <w:pPr>
        <w:spacing w:line="240" w:lineRule="auto"/>
        <w:ind w:firstLine="640"/>
        <w:jc w:val="both"/>
      </w:pPr>
      <w:r>
        <w:rPr>
          <w:rFonts w:ascii="仿宋_GB2312" w:hAnsi="仿宋_GB2312" w:eastAsia="仿宋_GB2312"/>
          <w:b w:val="0"/>
          <w:sz w:val="32"/>
        </w:rPr>
        <w:t>五、《一般公共预算财政拨款支出决算表》</w:t>
      </w:r>
    </w:p>
    <w:p w14:paraId="19CE1BF0">
      <w:pPr>
        <w:spacing w:line="240" w:lineRule="auto"/>
        <w:ind w:firstLine="640"/>
        <w:jc w:val="both"/>
      </w:pPr>
      <w:r>
        <w:rPr>
          <w:rFonts w:ascii="仿宋_GB2312" w:hAnsi="仿宋_GB2312" w:eastAsia="仿宋_GB2312"/>
          <w:b w:val="0"/>
          <w:sz w:val="32"/>
        </w:rPr>
        <w:t>六、《一般公共预算财政拨款基本支出决算表》</w:t>
      </w:r>
    </w:p>
    <w:p w14:paraId="371C0F85">
      <w:pPr>
        <w:spacing w:line="240" w:lineRule="auto"/>
        <w:ind w:firstLine="640"/>
        <w:jc w:val="both"/>
      </w:pPr>
      <w:r>
        <w:rPr>
          <w:rFonts w:ascii="仿宋_GB2312" w:hAnsi="仿宋_GB2312" w:eastAsia="仿宋_GB2312"/>
          <w:b w:val="0"/>
          <w:sz w:val="32"/>
        </w:rPr>
        <w:t>七、《政府性基金预算财政拨款收入支出决算表》</w:t>
      </w:r>
    </w:p>
    <w:p w14:paraId="0EC46E81">
      <w:pPr>
        <w:spacing w:line="240" w:lineRule="auto"/>
        <w:ind w:firstLine="640"/>
        <w:jc w:val="both"/>
      </w:pPr>
      <w:r>
        <w:rPr>
          <w:rFonts w:ascii="仿宋_GB2312" w:hAnsi="仿宋_GB2312" w:eastAsia="仿宋_GB2312"/>
          <w:b w:val="0"/>
          <w:sz w:val="32"/>
        </w:rPr>
        <w:t>八、《国有资本经营预算财政拨款收入支出决算表》</w:t>
      </w:r>
    </w:p>
    <w:p w14:paraId="54A949C7">
      <w:pPr>
        <w:spacing w:line="240" w:lineRule="auto"/>
        <w:ind w:firstLine="640"/>
        <w:jc w:val="both"/>
      </w:pPr>
      <w:r>
        <w:rPr>
          <w:rFonts w:ascii="仿宋_GB2312" w:hAnsi="仿宋_GB2312" w:eastAsia="仿宋_GB2312"/>
          <w:b w:val="0"/>
          <w:sz w:val="32"/>
        </w:rPr>
        <w:t>九、《财政拨款“三公”经费支出决算表》</w:t>
      </w:r>
    </w:p>
    <w:p w14:paraId="62DA0849">
      <w:pPr>
        <w:spacing w:line="240" w:lineRule="auto"/>
        <w:ind w:firstLine="640"/>
        <w:jc w:val="both"/>
      </w:pPr>
    </w:p>
    <w:p w14:paraId="2B4820B8">
      <w:pPr>
        <w:spacing w:line="240" w:lineRule="auto"/>
        <w:ind w:firstLine="640"/>
        <w:jc w:val="both"/>
      </w:pPr>
    </w:p>
    <w:p w14:paraId="66C4FA9B">
      <w:pPr>
        <w:spacing w:line="240" w:lineRule="auto"/>
        <w:ind w:firstLine="640"/>
        <w:jc w:val="both"/>
      </w:pPr>
    </w:p>
    <w:p w14:paraId="4558D952">
      <w:pPr>
        <w:spacing w:line="240" w:lineRule="auto"/>
        <w:ind w:firstLine="640"/>
        <w:jc w:val="both"/>
      </w:pPr>
    </w:p>
    <w:p w14:paraId="1A12991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2B563F-B19C-48A6-A91A-5CCD9C2EAB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55FC2E3-2D98-4887-BB04-D6D5057338FD}"/>
  </w:font>
  <w:font w:name="仿宋_GB2312">
    <w:panose1 w:val="02010609030101010101"/>
    <w:charset w:val="86"/>
    <w:family w:val="modern"/>
    <w:pitch w:val="default"/>
    <w:sig w:usb0="00000001" w:usb1="080E0000" w:usb2="00000000" w:usb3="00000000" w:csb0="00040000" w:csb1="00000000"/>
    <w:embedRegular r:id="rId3" w:fontKey="{9AAAE7BC-2351-42AC-ABBF-D9611BF640AE}"/>
  </w:font>
  <w:font w:name="楷体_GB2312">
    <w:panose1 w:val="02010609030101010101"/>
    <w:charset w:val="86"/>
    <w:family w:val="auto"/>
    <w:pitch w:val="default"/>
    <w:sig w:usb0="00000001" w:usb1="080E0000" w:usb2="00000000" w:usb3="00000000" w:csb0="00040000" w:csb1="00000000"/>
    <w:embedRegular r:id="rId4" w:fontKey="{C4F6BAC6-CD4F-4B8E-ACA4-61A89058E18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FE25D7"/>
    <w:rsid w:val="38006E2C"/>
    <w:rsid w:val="3914510A"/>
    <w:rsid w:val="3B1220C9"/>
    <w:rsid w:val="3BF138D1"/>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4C4DD7"/>
    <w:rsid w:val="4F3F074E"/>
    <w:rsid w:val="50C563BD"/>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5027</Words>
  <Characters>5785</Characters>
  <Lines>0</Lines>
  <Paragraphs>0</Paragraphs>
  <TotalTime>3</TotalTime>
  <ScaleCrop>false</ScaleCrop>
  <LinksUpToDate>false</LinksUpToDate>
  <CharactersWithSpaces>5793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2025-09-11T12:09:18Z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