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新疆巴州和静县人民法院2024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3C6CAE">
      <w:r>
        <w:br w:type="page"/>
      </w:r>
    </w:p>
    <w:p w14:paraId="0855253D">
      <w:pPr>
        <w:spacing w:line="640" w:lineRule="exact"/>
        <w:jc w:val="center"/>
        <w:outlineLvl w:val="1"/>
      </w:pPr>
      <w:r>
        <w:rPr>
          <w:rFonts w:ascii="黑体" w:hAnsi="黑体" w:eastAsia="黑体"/>
          <w:sz w:val="32"/>
        </w:rPr>
        <w:t>第一部分 部门概况</w:t>
      </w:r>
    </w:p>
    <w:p w14:paraId="014F345E">
      <w:pPr>
        <w:spacing w:line="640" w:lineRule="exact"/>
        <w:ind w:firstLine="640"/>
        <w:jc w:val="both"/>
        <w:outlineLvl w:val="2"/>
      </w:pPr>
      <w:r>
        <w:rPr>
          <w:rFonts w:ascii="黑体" w:hAnsi="黑体" w:eastAsia="黑体"/>
          <w:sz w:val="32"/>
        </w:rPr>
        <w:t>一、主要职能</w:t>
      </w:r>
    </w:p>
    <w:p w14:paraId="386F4B71">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7976405B">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29262F34">
      <w:pPr>
        <w:spacing w:line="580" w:lineRule="exact"/>
        <w:ind w:firstLine="640"/>
        <w:jc w:val="both"/>
      </w:pPr>
      <w:r>
        <w:rPr>
          <w:rFonts w:ascii="仿宋_GB2312" w:hAnsi="仿宋_GB2312" w:eastAsia="仿宋_GB2312"/>
          <w:sz w:val="32"/>
        </w:rPr>
        <w:t>（三）依法行使司法执行权和司法决定权，执行本院已经发生法律效力的判决、裁定、调解书及法律规定由人民法院执行的其他法律文书；执行其他法院委托执行的案件以及法律规定的由基层法院执行的案件。</w:t>
      </w:r>
    </w:p>
    <w:p w14:paraId="4FE9EA54">
      <w:pPr>
        <w:spacing w:line="580" w:lineRule="exact"/>
        <w:ind w:firstLine="640"/>
        <w:jc w:val="both"/>
      </w:pPr>
      <w:r>
        <w:rPr>
          <w:rFonts w:ascii="仿宋_GB2312" w:hAnsi="仿宋_GB2312" w:eastAsia="仿宋_GB2312"/>
          <w:sz w:val="32"/>
        </w:rPr>
        <w:t>（四）依法对应受理的民事、商事案件，组织当事人进行诉前调解，化解矛盾纠纷。</w:t>
      </w:r>
    </w:p>
    <w:p w14:paraId="090C5854">
      <w:pPr>
        <w:spacing w:line="580" w:lineRule="exact"/>
        <w:ind w:firstLine="640"/>
        <w:jc w:val="both"/>
      </w:pPr>
      <w:r>
        <w:rPr>
          <w:rFonts w:ascii="仿宋_GB2312" w:hAnsi="仿宋_GB2312" w:eastAsia="仿宋_GB2312"/>
          <w:sz w:val="32"/>
        </w:rPr>
        <w:t>（五）做好人大代表、政协委员联络工作，对当地人民代表大会及其常务委员会负责并报告工作。</w:t>
      </w:r>
    </w:p>
    <w:p w14:paraId="57D57197">
      <w:pPr>
        <w:spacing w:line="580" w:lineRule="exact"/>
        <w:ind w:firstLine="640"/>
        <w:jc w:val="both"/>
      </w:pPr>
      <w:r>
        <w:rPr>
          <w:rFonts w:ascii="仿宋_GB2312" w:hAnsi="仿宋_GB2312" w:eastAsia="仿宋_GB2312"/>
          <w:sz w:val="32"/>
        </w:rPr>
        <w:t>（六）完成上级法院和当地党委、人大交办的其他</w:t>
      </w:r>
      <w:r>
        <w:rPr>
          <w:rFonts w:hint="eastAsia" w:ascii="仿宋_GB2312" w:hAnsi="仿宋_GB2312" w:eastAsia="仿宋_GB2312"/>
          <w:sz w:val="32"/>
          <w:lang w:eastAsia="zh-CN"/>
        </w:rPr>
        <w:t>工作</w:t>
      </w:r>
      <w:r>
        <w:rPr>
          <w:rFonts w:ascii="仿宋_GB2312" w:hAnsi="仿宋_GB2312" w:eastAsia="仿宋_GB2312"/>
          <w:sz w:val="32"/>
        </w:rPr>
        <w:t>。</w:t>
      </w:r>
    </w:p>
    <w:p w14:paraId="7BB47974">
      <w:pPr>
        <w:spacing w:line="580" w:lineRule="exact"/>
        <w:ind w:firstLine="640"/>
        <w:jc w:val="both"/>
      </w:pPr>
      <w:r>
        <w:rPr>
          <w:rFonts w:ascii="仿宋_GB2312" w:hAnsi="仿宋_GB2312" w:eastAsia="仿宋_GB2312"/>
          <w:sz w:val="32"/>
        </w:rPr>
        <w:t>（七）承办其他应由本院负责的工作。</w:t>
      </w:r>
    </w:p>
    <w:p w14:paraId="5D587078">
      <w:pPr>
        <w:spacing w:line="640" w:lineRule="exact"/>
        <w:ind w:firstLine="640"/>
        <w:jc w:val="both"/>
        <w:outlineLvl w:val="2"/>
      </w:pPr>
      <w:r>
        <w:rPr>
          <w:rFonts w:ascii="黑体" w:hAnsi="黑体" w:eastAsia="黑体"/>
          <w:sz w:val="32"/>
        </w:rPr>
        <w:t>二、机构设置及人员情况</w:t>
      </w:r>
    </w:p>
    <w:p w14:paraId="1EDC3149">
      <w:pPr>
        <w:spacing w:line="580" w:lineRule="exact"/>
        <w:ind w:firstLine="640"/>
        <w:jc w:val="both"/>
      </w:pPr>
      <w:r>
        <w:rPr>
          <w:rFonts w:ascii="仿宋_GB2312" w:hAnsi="仿宋_GB2312" w:eastAsia="仿宋_GB2312"/>
          <w:sz w:val="32"/>
        </w:rPr>
        <w:t>新疆巴州和静县人民法院2024年度，实有人数111人，其中：在职人员73人，增加0人；离休人员0人，增加0人；退休人员38人,增加0人。</w:t>
      </w:r>
    </w:p>
    <w:p w14:paraId="6B56DA4A">
      <w:pPr>
        <w:spacing w:line="580" w:lineRule="exact"/>
        <w:ind w:firstLine="640"/>
        <w:jc w:val="both"/>
      </w:pPr>
      <w:r>
        <w:rPr>
          <w:rFonts w:ascii="仿宋_GB2312" w:hAnsi="仿宋_GB2312" w:eastAsia="仿宋_GB2312"/>
          <w:sz w:val="32"/>
        </w:rPr>
        <w:t>新疆巴州和静县人民法院无下属预算单位，下设12个科室，分别是：立案庭（诉讼服务中心）、刑事审判庭、民事审判庭、行政审判庭（综合审判庭）、执行局、综合办公室（司法警察大队）、政治部、审判管理办公室、哈尔莫顿人民法庭、巴音布鲁克人民法庭、巴仑台人民法庭、巩乃斯人民法庭（巡回法庭）。</w:t>
      </w:r>
    </w:p>
    <w:p w14:paraId="372017F6">
      <w:r>
        <w:br w:type="page"/>
      </w:r>
    </w:p>
    <w:p w14:paraId="3CFAD8F8">
      <w:pPr>
        <w:spacing w:line="240" w:lineRule="auto"/>
        <w:jc w:val="center"/>
        <w:outlineLvl w:val="1"/>
      </w:pPr>
      <w:r>
        <w:rPr>
          <w:rFonts w:ascii="黑体" w:hAnsi="黑体" w:eastAsia="黑体"/>
          <w:sz w:val="32"/>
        </w:rPr>
        <w:t>第二部分 部门决算情况说明</w:t>
      </w:r>
    </w:p>
    <w:p w14:paraId="0D5C0700">
      <w:pPr>
        <w:spacing w:line="640" w:lineRule="exact"/>
        <w:ind w:firstLine="640"/>
        <w:jc w:val="both"/>
        <w:outlineLvl w:val="2"/>
      </w:pPr>
      <w:r>
        <w:rPr>
          <w:rFonts w:ascii="黑体" w:hAnsi="黑体" w:eastAsia="黑体"/>
          <w:sz w:val="32"/>
        </w:rPr>
        <w:t>一、收入支出决算总体情况说明</w:t>
      </w:r>
    </w:p>
    <w:p w14:paraId="0E730D68">
      <w:pPr>
        <w:spacing w:line="580" w:lineRule="exact"/>
        <w:ind w:firstLine="640"/>
        <w:jc w:val="both"/>
      </w:pPr>
      <w:r>
        <w:rPr>
          <w:rFonts w:ascii="仿宋_GB2312" w:hAnsi="仿宋_GB2312" w:eastAsia="仿宋_GB2312"/>
          <w:b/>
          <w:sz w:val="32"/>
        </w:rPr>
        <w:t>2024年度收入总计2,435.64万元，</w:t>
      </w:r>
      <w:r>
        <w:rPr>
          <w:rFonts w:ascii="仿宋_GB2312" w:hAnsi="仿宋_GB2312" w:eastAsia="仿宋_GB2312"/>
          <w:b w:val="0"/>
          <w:sz w:val="32"/>
        </w:rPr>
        <w:t>其中：本年收入合计2,435.64万元，使用非财政拨款结余（含专用结余）0.00万元，年初结转和结余0.00万元。</w:t>
      </w:r>
    </w:p>
    <w:p w14:paraId="71D70137">
      <w:pPr>
        <w:spacing w:line="580" w:lineRule="exact"/>
        <w:ind w:firstLine="640"/>
        <w:jc w:val="both"/>
      </w:pPr>
      <w:r>
        <w:rPr>
          <w:rFonts w:ascii="仿宋_GB2312" w:hAnsi="仿宋_GB2312" w:eastAsia="仿宋_GB2312"/>
          <w:b/>
          <w:sz w:val="32"/>
        </w:rPr>
        <w:t>2024年度支出总计2,435.64万元，</w:t>
      </w:r>
      <w:r>
        <w:rPr>
          <w:rFonts w:ascii="仿宋_GB2312" w:hAnsi="仿宋_GB2312" w:eastAsia="仿宋_GB2312"/>
          <w:b w:val="0"/>
          <w:sz w:val="32"/>
        </w:rPr>
        <w:t>其中：本年支出合计2,435.64万元，结余分配0.00万元，年末结转和结余0.00万元。</w:t>
      </w:r>
    </w:p>
    <w:p w14:paraId="3DA430AD">
      <w:pPr>
        <w:spacing w:line="580" w:lineRule="exact"/>
        <w:ind w:firstLine="640"/>
        <w:jc w:val="both"/>
      </w:pPr>
      <w:r>
        <w:rPr>
          <w:rFonts w:ascii="仿宋_GB2312" w:hAnsi="仿宋_GB2312" w:eastAsia="仿宋_GB2312"/>
          <w:b w:val="0"/>
          <w:sz w:val="32"/>
        </w:rPr>
        <w:t>收入支出总体与上年相比，增加11.78万元，增长0.49%，主要原因是：本年增加司法救助金项目、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工作队项目经费及中央转移支付资金项目经费。</w:t>
      </w:r>
    </w:p>
    <w:p w14:paraId="4BE9A897">
      <w:pPr>
        <w:spacing w:line="640" w:lineRule="exact"/>
        <w:ind w:firstLine="640"/>
        <w:jc w:val="both"/>
        <w:outlineLvl w:val="2"/>
      </w:pPr>
      <w:r>
        <w:rPr>
          <w:rFonts w:ascii="黑体" w:hAnsi="黑体" w:eastAsia="黑体"/>
          <w:sz w:val="32"/>
        </w:rPr>
        <w:t>二、收入决算情况说明</w:t>
      </w:r>
    </w:p>
    <w:p w14:paraId="352F60D6">
      <w:pPr>
        <w:spacing w:line="580" w:lineRule="exact"/>
        <w:ind w:firstLine="640"/>
        <w:jc w:val="both"/>
      </w:pPr>
      <w:r>
        <w:rPr>
          <w:rFonts w:ascii="仿宋_GB2312" w:hAnsi="仿宋_GB2312" w:eastAsia="仿宋_GB2312"/>
          <w:b/>
          <w:sz w:val="32"/>
        </w:rPr>
        <w:t>本年收入2,435.64万元，</w:t>
      </w:r>
      <w:r>
        <w:rPr>
          <w:rFonts w:ascii="仿宋_GB2312" w:hAnsi="仿宋_GB2312" w:eastAsia="仿宋_GB2312"/>
          <w:b w:val="0"/>
          <w:sz w:val="32"/>
        </w:rPr>
        <w:t>其中：财政拨款收入2,435.64万元，占100.00%；上级补助收入0.00万元，占0.00%；事业收入0.00万元，占0.00%；经营收入0.00万元，占0.00%；附属单位上缴收入0.00万元，占0.00%；其他收入0.00万元，占0.00%。</w:t>
      </w:r>
    </w:p>
    <w:p w14:paraId="1C528EB7">
      <w:pPr>
        <w:spacing w:line="640" w:lineRule="exact"/>
        <w:ind w:firstLine="640"/>
        <w:jc w:val="both"/>
        <w:outlineLvl w:val="2"/>
      </w:pPr>
      <w:r>
        <w:rPr>
          <w:rFonts w:ascii="黑体" w:hAnsi="黑体" w:eastAsia="黑体"/>
          <w:sz w:val="32"/>
        </w:rPr>
        <w:t>三、支出决算情况说明</w:t>
      </w:r>
    </w:p>
    <w:p w14:paraId="3EDE96F0">
      <w:pPr>
        <w:spacing w:line="580" w:lineRule="exact"/>
        <w:ind w:firstLine="640"/>
        <w:jc w:val="both"/>
      </w:pPr>
      <w:r>
        <w:rPr>
          <w:rFonts w:ascii="仿宋_GB2312" w:hAnsi="仿宋_GB2312" w:eastAsia="仿宋_GB2312"/>
          <w:b/>
          <w:sz w:val="32"/>
        </w:rPr>
        <w:t>本年支出2,435.64万元，</w:t>
      </w:r>
      <w:r>
        <w:rPr>
          <w:rFonts w:ascii="仿宋_GB2312" w:hAnsi="仿宋_GB2312" w:eastAsia="仿宋_GB2312"/>
          <w:b w:val="0"/>
          <w:sz w:val="32"/>
        </w:rPr>
        <w:t>其中：基本支出1,883.64万元，占77.34%；项目支出552.00万元，占22.66%；上缴上级支出0.00万元，占0.00%；经营支出0.00万元，占0.00%；对附属单位补助支出0.00万元，占0.00%。</w:t>
      </w:r>
    </w:p>
    <w:p w14:paraId="19D9418B">
      <w:pPr>
        <w:spacing w:line="640" w:lineRule="exact"/>
        <w:ind w:firstLine="640"/>
        <w:jc w:val="both"/>
        <w:outlineLvl w:val="2"/>
      </w:pPr>
      <w:r>
        <w:rPr>
          <w:rFonts w:ascii="黑体" w:hAnsi="黑体" w:eastAsia="黑体"/>
          <w:sz w:val="32"/>
        </w:rPr>
        <w:t>四、财政拨款收入支出决算总体情况说明</w:t>
      </w:r>
    </w:p>
    <w:p w14:paraId="45D09C8A">
      <w:pPr>
        <w:spacing w:line="580" w:lineRule="exact"/>
        <w:ind w:firstLine="640"/>
        <w:jc w:val="both"/>
      </w:pPr>
      <w:r>
        <w:rPr>
          <w:rFonts w:ascii="仿宋_GB2312" w:hAnsi="仿宋_GB2312" w:eastAsia="仿宋_GB2312"/>
          <w:b/>
          <w:sz w:val="32"/>
        </w:rPr>
        <w:t>2024年度财政拨款收入总计2,435.64万元，</w:t>
      </w:r>
      <w:r>
        <w:rPr>
          <w:rFonts w:ascii="仿宋_GB2312" w:hAnsi="仿宋_GB2312" w:eastAsia="仿宋_GB2312"/>
          <w:b w:val="0"/>
          <w:sz w:val="32"/>
        </w:rPr>
        <w:t>其中：年初财政拨款结转和结余0.00万元，本年财政拨款收入2,435.64万元。</w:t>
      </w:r>
      <w:r>
        <w:rPr>
          <w:rFonts w:ascii="仿宋_GB2312" w:hAnsi="仿宋_GB2312" w:eastAsia="仿宋_GB2312"/>
          <w:b/>
          <w:sz w:val="32"/>
        </w:rPr>
        <w:t>财政拨款支出总计2,435.64万元，</w:t>
      </w:r>
      <w:r>
        <w:rPr>
          <w:rFonts w:ascii="仿宋_GB2312" w:hAnsi="仿宋_GB2312" w:eastAsia="仿宋_GB2312"/>
          <w:b w:val="0"/>
          <w:sz w:val="32"/>
        </w:rPr>
        <w:t>其中：年末财政拨款结转和结余0.00万元，本年财政拨款支出2,435.64万元。</w:t>
      </w:r>
    </w:p>
    <w:p w14:paraId="5545E9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增加11.78万元，增长0.49%，主要原因是：本年增加司法救助金项目、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工作队项目经费及中央转移支付资金项目经费。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年初预算数2,527.60万元，决算数2,435.64万元，预决算差异率-3.64%，主要原因是：本年在职人员调入调出，基数不同及存在时间差，年中调减人员经费，导致预决算差异。</w:t>
      </w:r>
    </w:p>
    <w:p w14:paraId="0B5D3C17">
      <w:pPr>
        <w:spacing w:line="640" w:lineRule="exact"/>
        <w:ind w:firstLine="640"/>
        <w:jc w:val="both"/>
        <w:outlineLvl w:val="2"/>
      </w:pPr>
      <w:r>
        <w:rPr>
          <w:rFonts w:ascii="黑体" w:hAnsi="黑体" w:eastAsia="黑体"/>
          <w:sz w:val="32"/>
        </w:rPr>
        <w:t>五、一般公共预算财政拨款支出决算情况说明</w:t>
      </w:r>
    </w:p>
    <w:p w14:paraId="6008E8C7">
      <w:pPr>
        <w:spacing w:line="640" w:lineRule="exact"/>
        <w:ind w:firstLine="640"/>
        <w:jc w:val="both"/>
        <w:outlineLvl w:val="3"/>
      </w:pPr>
      <w:r>
        <w:rPr>
          <w:rFonts w:ascii="楷体_GB2312" w:hAnsi="楷体_GB2312" w:eastAsia="楷体_GB2312"/>
          <w:b/>
          <w:sz w:val="32"/>
        </w:rPr>
        <w:t>（一）一般公共预算财政拨款支出决算总体情况</w:t>
      </w:r>
    </w:p>
    <w:p w14:paraId="5A33B967">
      <w:pPr>
        <w:spacing w:line="580" w:lineRule="exact"/>
        <w:ind w:firstLine="640"/>
        <w:jc w:val="both"/>
      </w:pPr>
      <w:r>
        <w:rPr>
          <w:rFonts w:ascii="仿宋_GB2312" w:hAnsi="仿宋_GB2312" w:eastAsia="仿宋_GB2312"/>
          <w:b/>
          <w:sz w:val="32"/>
        </w:rPr>
        <w:t>2024年度一般公共预算财政拨款支出2,435.64万元，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增加11.78万元，增长0.49%，主要原因是：本年增加司法救助金项目、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工作队项目经费及中央转移支付资金项目经费。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年初预算数2,527.60万元，决算数2,435.64万元，预决算差异率-3.64%，主要原因是：本年在职人员调入调出，基数不同及存在时间差，年中调减人员经费，导致预决算差异。</w:t>
      </w:r>
    </w:p>
    <w:p w14:paraId="4BB6D070">
      <w:pPr>
        <w:spacing w:line="640" w:lineRule="exact"/>
        <w:ind w:firstLine="640"/>
        <w:jc w:val="both"/>
        <w:outlineLvl w:val="3"/>
      </w:pPr>
      <w:r>
        <w:rPr>
          <w:rFonts w:ascii="楷体_GB2312" w:hAnsi="楷体_GB2312" w:eastAsia="楷体_GB2312"/>
          <w:b/>
          <w:sz w:val="32"/>
        </w:rPr>
        <w:t>（二）一般公共预算财政拨款支出决算结构情况</w:t>
      </w:r>
    </w:p>
    <w:p w14:paraId="14110490">
      <w:pPr>
        <w:spacing w:line="580" w:lineRule="exact"/>
        <w:ind w:firstLine="640"/>
        <w:jc w:val="both"/>
      </w:pPr>
      <w:r>
        <w:rPr>
          <w:rFonts w:ascii="仿宋_GB2312" w:hAnsi="仿宋_GB2312" w:eastAsia="仿宋_GB2312"/>
          <w:b w:val="0"/>
          <w:sz w:val="32"/>
        </w:rPr>
        <w:t>1.公共安全支出(类)2019.19万元,占82.90%。</w:t>
      </w:r>
    </w:p>
    <w:p w14:paraId="7CC73A79">
      <w:pPr>
        <w:spacing w:line="580" w:lineRule="exact"/>
        <w:ind w:firstLine="640"/>
        <w:jc w:val="both"/>
      </w:pPr>
      <w:r>
        <w:rPr>
          <w:rFonts w:ascii="仿宋_GB2312" w:hAnsi="仿宋_GB2312" w:eastAsia="仿宋_GB2312"/>
          <w:b w:val="0"/>
          <w:sz w:val="32"/>
        </w:rPr>
        <w:t>2.教育支出(类)5.14万元,占0.21%。</w:t>
      </w:r>
    </w:p>
    <w:p w14:paraId="1D68A4B9">
      <w:pPr>
        <w:spacing w:line="580" w:lineRule="exact"/>
        <w:ind w:firstLine="640"/>
        <w:jc w:val="both"/>
      </w:pPr>
      <w:r>
        <w:rPr>
          <w:rFonts w:ascii="仿宋_GB2312" w:hAnsi="仿宋_GB2312" w:eastAsia="仿宋_GB2312"/>
          <w:b w:val="0"/>
          <w:sz w:val="32"/>
        </w:rPr>
        <w:t>3.社会保障和就业支出(类)228.9万元,占9.40%。</w:t>
      </w:r>
    </w:p>
    <w:p w14:paraId="7B37EDEB">
      <w:pPr>
        <w:spacing w:line="580" w:lineRule="exact"/>
        <w:ind w:firstLine="640"/>
        <w:jc w:val="both"/>
      </w:pPr>
      <w:r>
        <w:rPr>
          <w:rFonts w:ascii="仿宋_GB2312" w:hAnsi="仿宋_GB2312" w:eastAsia="仿宋_GB2312"/>
          <w:b w:val="0"/>
          <w:sz w:val="32"/>
        </w:rPr>
        <w:t>4.卫生健康支出(类)53.5万元,占2.20%。</w:t>
      </w:r>
    </w:p>
    <w:p w14:paraId="285E72AF">
      <w:pPr>
        <w:spacing w:line="580" w:lineRule="exact"/>
        <w:ind w:firstLine="640"/>
        <w:jc w:val="both"/>
      </w:pPr>
      <w:r>
        <w:rPr>
          <w:rFonts w:ascii="仿宋_GB2312" w:hAnsi="仿宋_GB2312" w:eastAsia="仿宋_GB2312"/>
          <w:b w:val="0"/>
          <w:sz w:val="32"/>
        </w:rPr>
        <w:t>5.住房保障支出(类)128.91万元,占5.29%。</w:t>
      </w:r>
    </w:p>
    <w:p w14:paraId="7FD4C0F2">
      <w:pPr>
        <w:spacing w:line="640" w:lineRule="exact"/>
        <w:ind w:firstLine="640"/>
        <w:jc w:val="both"/>
        <w:outlineLvl w:val="3"/>
      </w:pPr>
      <w:r>
        <w:rPr>
          <w:rFonts w:ascii="楷体_GB2312" w:hAnsi="楷体_GB2312" w:eastAsia="楷体_GB2312"/>
          <w:b/>
          <w:sz w:val="32"/>
        </w:rPr>
        <w:t>（三）一般公共预算财政拨款支出决算具体情况</w:t>
      </w:r>
    </w:p>
    <w:p w14:paraId="47EC2521">
      <w:pPr>
        <w:spacing w:line="580" w:lineRule="exact"/>
        <w:ind w:firstLine="640"/>
        <w:jc w:val="both"/>
      </w:pPr>
      <w:r>
        <w:rPr>
          <w:rFonts w:ascii="仿宋_GB2312" w:hAnsi="仿宋_GB2312" w:eastAsia="仿宋_GB2312"/>
          <w:b w:val="0"/>
          <w:sz w:val="32"/>
        </w:rPr>
        <w:t>1.公共安全支出(类)法院(款)行政运行(项):支出决算数为1459.13万元，比上年决算减少123.62万元，下降7.81%,主要原因是：本年聘用人员减少，相应人员经费较上年减少；物业管理费及取暖费减少，导致经费较上年减少。</w:t>
      </w:r>
    </w:p>
    <w:p w14:paraId="76F508DA">
      <w:pPr>
        <w:spacing w:line="580" w:lineRule="exact"/>
        <w:ind w:firstLine="640"/>
        <w:jc w:val="both"/>
      </w:pPr>
      <w:r>
        <w:rPr>
          <w:rFonts w:ascii="仿宋_GB2312" w:hAnsi="仿宋_GB2312" w:eastAsia="仿宋_GB2312"/>
          <w:b w:val="0"/>
          <w:sz w:val="32"/>
        </w:rPr>
        <w:t>2.公共安全支出(类)法院(款)一般行政管理事务(项):支出决算数为25万元，比上年决算增加6.00万元，增长31.58%,主要原因是：本年为民办实事工作队项目经费较上年增加。</w:t>
      </w:r>
    </w:p>
    <w:p w14:paraId="379CAD1B">
      <w:pPr>
        <w:spacing w:line="580" w:lineRule="exact"/>
        <w:ind w:firstLine="640"/>
        <w:jc w:val="both"/>
      </w:pPr>
      <w:r>
        <w:rPr>
          <w:rFonts w:ascii="仿宋_GB2312" w:hAnsi="仿宋_GB2312" w:eastAsia="仿宋_GB2312"/>
          <w:b w:val="0"/>
          <w:sz w:val="32"/>
        </w:rPr>
        <w:t>3.公共安全支出(类)法院(款)事业运行(项):支出决算数为8.07万元，比上年决算减少7.09万元，下降46.77%,主要原因是：本年在职事业人员转退休1人，相应人员经费较上年减少。</w:t>
      </w:r>
    </w:p>
    <w:p w14:paraId="6E469E48">
      <w:pPr>
        <w:spacing w:line="580" w:lineRule="exact"/>
        <w:ind w:firstLine="640"/>
        <w:jc w:val="both"/>
      </w:pPr>
      <w:r>
        <w:rPr>
          <w:rFonts w:ascii="仿宋_GB2312" w:hAnsi="仿宋_GB2312" w:eastAsia="仿宋_GB2312"/>
          <w:b w:val="0"/>
          <w:sz w:val="32"/>
        </w:rPr>
        <w:t>4.公共安全支出(类)法院(款)其他法院支出(项):支出决算数为527万元，比上年决算增加84.79万元，增长19.17%,主要原因是：本年中央转移支付资金项目经费较上年增加。</w:t>
      </w:r>
    </w:p>
    <w:p w14:paraId="3F12634C">
      <w:pPr>
        <w:spacing w:line="580" w:lineRule="exact"/>
        <w:ind w:firstLine="640"/>
        <w:jc w:val="both"/>
      </w:pPr>
      <w:r>
        <w:rPr>
          <w:rFonts w:ascii="仿宋_GB2312" w:hAnsi="仿宋_GB2312" w:eastAsia="仿宋_GB2312"/>
          <w:b w:val="0"/>
          <w:sz w:val="32"/>
        </w:rPr>
        <w:t>5.教育支出(类)进修及培训(款)培训支出(项):支出决算数为5.14万元，比上年决算增加0.27万元，增长5.54%,主要原因是：本年组织干部职工参加自治区、自治州相关业务培训，培训次数增加，相应培训费增加。</w:t>
      </w:r>
    </w:p>
    <w:p w14:paraId="726AAD6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6.社会保障和就业支出(类)行政事业单位养老支出(款)行政单位离退休(项):支出决算数为29.72万元，比上年决算增加9.83万元，增长49.42%,主要原因是：本年退休人员增加，退休基础绩效奖增加，退休费支出增加。</w:t>
      </w:r>
    </w:p>
    <w:p w14:paraId="55113D9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128.13万元，比上年决算增加5.25万元，增长4.27%,主要原因是：本年在职人员工资基数调增，养老缴费基数上涨，相应支出增加。</w:t>
      </w:r>
    </w:p>
    <w:p w14:paraId="15D50A5F">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8.社会保障和就业支出(类)行政事业单位养老支出(款)机关事业单位职业年金缴费支出(项):支出决算数为29万元，比上年决算增加15.63万元，增长116.90%,主要原因是：本年新增退休人员，职业年金缴费支出增加。</w:t>
      </w:r>
    </w:p>
    <w:p w14:paraId="4F5D7A44">
      <w:pPr>
        <w:spacing w:line="580" w:lineRule="exact"/>
        <w:ind w:firstLine="640"/>
        <w:jc w:val="both"/>
      </w:pPr>
      <w:r>
        <w:rPr>
          <w:rFonts w:ascii="仿宋_GB2312" w:hAnsi="仿宋_GB2312" w:eastAsia="仿宋_GB2312"/>
          <w:b w:val="0"/>
          <w:sz w:val="32"/>
        </w:rPr>
        <w:t>9.社会保障和就业支出(类)抚恤(款)死亡抚恤(项):支出决算数为42.06万元，比上年决算增加12.58万元，增长42.67%,主要原因是：本年新增退休死亡人员较上年增加，死亡抚恤支出增加。</w:t>
      </w:r>
    </w:p>
    <w:p w14:paraId="6F4EDFE7">
      <w:pPr>
        <w:spacing w:line="580" w:lineRule="exact"/>
        <w:ind w:firstLine="640"/>
        <w:jc w:val="both"/>
      </w:pPr>
      <w:r>
        <w:rPr>
          <w:rFonts w:ascii="仿宋_GB2312" w:hAnsi="仿宋_GB2312" w:eastAsia="仿宋_GB2312"/>
          <w:b w:val="0"/>
          <w:sz w:val="32"/>
        </w:rPr>
        <w:t>10.卫生健康支出(类)行政事业单位医疗(款)行政单位医疗(项):支出决算数为29.44万元，比上年决算减少20.26万元，下降40.76%,主要原因是：因退休人员医疗保险制度改革，退休人员基本医疗不再由单位缴纳，导致经费较上年减少。</w:t>
      </w:r>
    </w:p>
    <w:p w14:paraId="4737EB01">
      <w:pPr>
        <w:spacing w:line="580" w:lineRule="exact"/>
        <w:ind w:firstLine="640"/>
        <w:jc w:val="both"/>
      </w:pPr>
      <w:r>
        <w:rPr>
          <w:rFonts w:ascii="仿宋_GB2312" w:hAnsi="仿宋_GB2312" w:eastAsia="仿宋_GB2312"/>
          <w:b w:val="0"/>
          <w:sz w:val="32"/>
        </w:rPr>
        <w:t>11.卫生健康支出(类)行政事业单位医疗(款)事业单位医疗(项):支出决算数为0.46万元，比上年决算减少0.29万元，下降38.67%,主要原因是：本年在职事业人员转退休，事业单位医疗较上年减少。</w:t>
      </w:r>
    </w:p>
    <w:p w14:paraId="7B26FD11">
      <w:pPr>
        <w:spacing w:line="580" w:lineRule="exact"/>
        <w:ind w:firstLine="640"/>
        <w:jc w:val="both"/>
      </w:pPr>
      <w:r>
        <w:rPr>
          <w:rFonts w:ascii="仿宋_GB2312" w:hAnsi="仿宋_GB2312" w:eastAsia="仿宋_GB2312"/>
          <w:b w:val="0"/>
          <w:sz w:val="32"/>
        </w:rPr>
        <w:t>12.卫生健康支出(类)行政事业单位医疗(款)公务员医疗补助(项):支出决算数为23.43万元，比上年决算增加0.87万元，增长3.86%,主要原因是：本年新增行政人员1人，在职人员工资基数调增，医疗缴费基数上涨，相应公务员医疗补助支出增加。</w:t>
      </w:r>
    </w:p>
    <w:p w14:paraId="60F99B19">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13.卫生健康支出(类)行政事业单位医疗(款)其他行政事业单位医疗支出(项):支出决算数为0.17万元，比上年决算减少2.59万元，下降93.84%,主要原因是：本年在职事业人员转退休</w:t>
      </w:r>
      <w:bookmarkStart w:id="0" w:name="_GoBack"/>
      <w:bookmarkEnd w:id="0"/>
      <w:r>
        <w:rPr>
          <w:rFonts w:ascii="仿宋_GB2312" w:hAnsi="仿宋_GB2312" w:eastAsia="仿宋_GB2312"/>
          <w:b w:val="0"/>
          <w:sz w:val="32"/>
        </w:rPr>
        <w:t>，导致经费较上年减少。</w:t>
      </w:r>
    </w:p>
    <w:p w14:paraId="36E53FCE">
      <w:pPr>
        <w:spacing w:line="580" w:lineRule="exact"/>
        <w:ind w:firstLine="640"/>
        <w:jc w:val="both"/>
      </w:pPr>
      <w:r>
        <w:rPr>
          <w:rFonts w:ascii="仿宋_GB2312" w:hAnsi="仿宋_GB2312" w:eastAsia="仿宋_GB2312"/>
          <w:b w:val="0"/>
          <w:sz w:val="32"/>
        </w:rPr>
        <w:t>14.住房保障支出(类)住房改革支出(款)住房公积金(项):支出决算数为128.91万元，比上年决算增加30.42万元，增长30.89%,主要原因是：本年新增行政人员1人，在职人员工资调增，住房公积金缴费基数上涨，相应经费增加。</w:t>
      </w:r>
    </w:p>
    <w:p w14:paraId="46098D27">
      <w:pPr>
        <w:spacing w:line="640" w:lineRule="exact"/>
        <w:ind w:firstLine="640"/>
        <w:jc w:val="both"/>
        <w:outlineLvl w:val="2"/>
      </w:pPr>
      <w:r>
        <w:rPr>
          <w:rFonts w:ascii="黑体" w:hAnsi="黑体" w:eastAsia="黑体"/>
          <w:sz w:val="32"/>
        </w:rPr>
        <w:t>六、一般公共预算财政拨款基本支出决算情况说明</w:t>
      </w:r>
    </w:p>
    <w:p w14:paraId="076B30F3">
      <w:pPr>
        <w:spacing w:line="580" w:lineRule="exact"/>
        <w:ind w:firstLine="640"/>
        <w:jc w:val="both"/>
      </w:pPr>
      <w:r>
        <w:rPr>
          <w:rFonts w:ascii="仿宋_GB2312" w:hAnsi="仿宋_GB2312" w:eastAsia="仿宋_GB2312"/>
          <w:b w:val="0"/>
          <w:sz w:val="32"/>
        </w:rPr>
        <w:t>2024年度一般公共预算财政拨款基本支出1,883.64万元，其中：</w:t>
      </w:r>
      <w:r>
        <w:rPr>
          <w:rFonts w:ascii="仿宋_GB2312" w:hAnsi="仿宋_GB2312" w:eastAsia="仿宋_GB2312"/>
          <w:b/>
          <w:sz w:val="32"/>
        </w:rPr>
        <w:t>人员经费1,731.88万元，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奖励金。</w:t>
      </w:r>
    </w:p>
    <w:p w14:paraId="5FDEB95B">
      <w:pPr>
        <w:spacing w:line="580" w:lineRule="exact"/>
        <w:ind w:firstLine="640"/>
        <w:jc w:val="both"/>
      </w:pPr>
      <w:r>
        <w:rPr>
          <w:rFonts w:ascii="仿宋_GB2312" w:hAnsi="仿宋_GB2312" w:eastAsia="仿宋_GB2312"/>
          <w:b/>
          <w:sz w:val="32"/>
        </w:rPr>
        <w:t>公用经费151.76万元，</w:t>
      </w:r>
      <w:r>
        <w:rPr>
          <w:rFonts w:ascii="仿宋_GB2312" w:hAnsi="仿宋_GB2312" w:eastAsia="仿宋_GB2312"/>
          <w:b w:val="0"/>
          <w:sz w:val="32"/>
        </w:rPr>
        <w:t>包括：办公费、水费、电费、取暖费、物业管理费、培训费、公务接待费、劳务费、委托业务费、工会经费、福利费、公务用车运行维护费、其他商品和服务支出。</w:t>
      </w:r>
    </w:p>
    <w:p w14:paraId="680D548D">
      <w:pPr>
        <w:spacing w:line="640" w:lineRule="exact"/>
        <w:ind w:firstLine="640"/>
        <w:jc w:val="both"/>
        <w:outlineLvl w:val="2"/>
      </w:pPr>
      <w:r>
        <w:rPr>
          <w:rFonts w:ascii="黑体" w:hAnsi="黑体" w:eastAsia="黑体"/>
          <w:sz w:val="32"/>
        </w:rPr>
        <w:t>七、政府性基金预算财政拨款收入支出决算情况说明</w:t>
      </w:r>
    </w:p>
    <w:p w14:paraId="3944CFF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815CE81">
      <w:pPr>
        <w:spacing w:line="640" w:lineRule="exact"/>
        <w:ind w:firstLine="640"/>
        <w:jc w:val="both"/>
        <w:outlineLvl w:val="2"/>
      </w:pPr>
      <w:r>
        <w:rPr>
          <w:rFonts w:ascii="黑体" w:hAnsi="黑体" w:eastAsia="黑体"/>
          <w:sz w:val="32"/>
        </w:rPr>
        <w:t>八、国有资本经营预算财政拨款收入支出决算情况说明</w:t>
      </w:r>
    </w:p>
    <w:p w14:paraId="1F00C950">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4A7E525">
      <w:pPr>
        <w:spacing w:line="640" w:lineRule="exact"/>
        <w:ind w:firstLine="640"/>
        <w:jc w:val="both"/>
        <w:outlineLvl w:val="2"/>
      </w:pPr>
      <w:r>
        <w:rPr>
          <w:rFonts w:ascii="黑体" w:hAnsi="黑体" w:eastAsia="黑体"/>
          <w:sz w:val="32"/>
        </w:rPr>
        <w:t>九、财政拨款“三公”经费支出决算情况说明</w:t>
      </w:r>
    </w:p>
    <w:p w14:paraId="2C1B80CF">
      <w:pPr>
        <w:spacing w:line="580" w:lineRule="exact"/>
        <w:ind w:firstLine="640"/>
        <w:jc w:val="both"/>
      </w:pPr>
      <w:r>
        <w:rPr>
          <w:rFonts w:ascii="仿宋_GB2312" w:hAnsi="仿宋_GB2312" w:eastAsia="仿宋_GB2312"/>
          <w:b/>
          <w:sz w:val="32"/>
        </w:rPr>
        <w:t>2024年度财政拨款“三公”经费支出39.60万元，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37.50万元，占94.70%，比上年增加0.00万元，增长0.00%，主要原因是：本部门公务用车运行维护费与上年一致无变化。公务接待费支出2.10万元，占5.30%，比上年增加0.00万元，增长0.00%，主要原因是：本部门公务接待费与上年一致无变化。</w:t>
      </w:r>
    </w:p>
    <w:p w14:paraId="438977A4">
      <w:pPr>
        <w:spacing w:line="580" w:lineRule="exact"/>
        <w:ind w:firstLine="640"/>
        <w:jc w:val="both"/>
      </w:pPr>
      <w:r>
        <w:rPr>
          <w:rFonts w:ascii="仿宋_GB2312" w:hAnsi="仿宋_GB2312" w:eastAsia="仿宋_GB2312"/>
          <w:b/>
          <w:sz w:val="32"/>
        </w:rPr>
        <w:t>具体情况如下：</w:t>
      </w:r>
    </w:p>
    <w:p w14:paraId="5EB4AB2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9D0FB73">
      <w:pPr>
        <w:spacing w:line="580" w:lineRule="exact"/>
        <w:ind w:firstLine="640"/>
        <w:jc w:val="both"/>
      </w:pPr>
      <w:r>
        <w:rPr>
          <w:rFonts w:ascii="仿宋_GB2312" w:hAnsi="仿宋_GB2312" w:eastAsia="仿宋_GB2312"/>
          <w:b w:val="0"/>
          <w:sz w:val="32"/>
        </w:rPr>
        <w:t>公务用车购置及运行维护费37.50万元，其中：公务用车购置费0.00万元，公务用车运行维护费37.50万元。公务用车运行维护费开支内容包括车辆加油费、维修费、保险费、审车费、过路费。公务用车购置数0辆，公务用车保有量20辆。国有资产占用情况中固定资产车辆20辆，与公务用车保有量差异原因是：本部门固定资产车辆与公务用车保有量一致无差异。</w:t>
      </w:r>
    </w:p>
    <w:p w14:paraId="56B734E4">
      <w:pPr>
        <w:spacing w:line="580" w:lineRule="exact"/>
        <w:ind w:firstLine="640"/>
        <w:jc w:val="both"/>
      </w:pPr>
      <w:r>
        <w:rPr>
          <w:rFonts w:ascii="仿宋_GB2312" w:hAnsi="仿宋_GB2312" w:eastAsia="仿宋_GB2312"/>
          <w:b w:val="0"/>
          <w:sz w:val="32"/>
        </w:rPr>
        <w:t>公务接待费2.10万元，开支内容包括开展调研及业务活动、交流学习时产生的就餐费。部门全年安排的国内公务接待18批次，340人次。</w:t>
      </w:r>
    </w:p>
    <w:p w14:paraId="02F5A38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39.60万元，决算数39.60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37.50万元，决算数37.50万元，预决算差异率0.00%，主要原因是：严格按照预算执行，预决算无差异。公务接待费全年预算数2.10万元，决算数2.10万元，预决算差异率0.00%，主要原因是：严格按照预算执行，预决算无差异。</w:t>
      </w:r>
    </w:p>
    <w:p w14:paraId="2CF82F2D">
      <w:pPr>
        <w:spacing w:line="640" w:lineRule="exact"/>
        <w:ind w:firstLine="640"/>
        <w:jc w:val="both"/>
        <w:outlineLvl w:val="2"/>
      </w:pPr>
      <w:r>
        <w:rPr>
          <w:rFonts w:ascii="黑体" w:hAnsi="黑体" w:eastAsia="黑体"/>
          <w:sz w:val="32"/>
        </w:rPr>
        <w:t>十、其他重要事项的情况说明</w:t>
      </w:r>
    </w:p>
    <w:p w14:paraId="54FFCE1B">
      <w:pPr>
        <w:spacing w:line="640" w:lineRule="exact"/>
        <w:ind w:firstLine="640"/>
        <w:jc w:val="both"/>
        <w:outlineLvl w:val="3"/>
      </w:pPr>
      <w:r>
        <w:rPr>
          <w:rFonts w:ascii="楷体_GB2312" w:hAnsi="楷体_GB2312" w:eastAsia="楷体_GB2312"/>
          <w:b/>
          <w:sz w:val="32"/>
        </w:rPr>
        <w:t>（一）机关运行经费及公用经费支出情况</w:t>
      </w:r>
    </w:p>
    <w:p w14:paraId="09438319">
      <w:pPr>
        <w:spacing w:line="580" w:lineRule="exact"/>
        <w:ind w:firstLine="640"/>
        <w:jc w:val="both"/>
      </w:pPr>
      <w:r>
        <w:rPr>
          <w:rFonts w:ascii="仿宋_GB2312" w:hAnsi="仿宋_GB2312" w:eastAsia="仿宋_GB2312"/>
          <w:b w:val="0"/>
          <w:sz w:val="32"/>
        </w:rPr>
        <w:t>2024年度新疆巴州和静县人民法院（行政单位和参照公务员法管理事业单位）机关运行经费支出151.76万元，比上年减少1.90万元，下降1.24%，主要原因是：严控经费支出，厉行节约，减少经费支出。</w:t>
      </w:r>
    </w:p>
    <w:p w14:paraId="228E4D2E">
      <w:pPr>
        <w:spacing w:line="640" w:lineRule="exact"/>
        <w:ind w:firstLine="640"/>
        <w:jc w:val="both"/>
        <w:outlineLvl w:val="3"/>
      </w:pPr>
      <w:r>
        <w:rPr>
          <w:rFonts w:ascii="楷体_GB2312" w:hAnsi="楷体_GB2312" w:eastAsia="楷体_GB2312"/>
          <w:b/>
          <w:sz w:val="32"/>
        </w:rPr>
        <w:t>（二）政府采购情况</w:t>
      </w:r>
    </w:p>
    <w:p w14:paraId="1EF17931">
      <w:pPr>
        <w:spacing w:line="580" w:lineRule="exact"/>
        <w:ind w:firstLine="640"/>
        <w:jc w:val="both"/>
      </w:pPr>
      <w:r>
        <w:rPr>
          <w:rFonts w:ascii="仿宋_GB2312" w:hAnsi="仿宋_GB2312" w:eastAsia="仿宋_GB2312"/>
          <w:b w:val="0"/>
          <w:sz w:val="32"/>
        </w:rPr>
        <w:t>2024年度政府采购支出总额241.68万元，其中：政府采购货物支出85.32万元、政府采购工程支出69.00万元、政府采购服务支出87.36万元。</w:t>
      </w:r>
    </w:p>
    <w:p w14:paraId="608331C7">
      <w:pPr>
        <w:spacing w:line="580" w:lineRule="exact"/>
        <w:ind w:firstLine="640"/>
        <w:jc w:val="both"/>
      </w:pPr>
      <w:r>
        <w:rPr>
          <w:rFonts w:ascii="仿宋_GB2312" w:hAnsi="仿宋_GB2312" w:eastAsia="仿宋_GB2312"/>
          <w:b w:val="0"/>
          <w:sz w:val="32"/>
        </w:rPr>
        <w:t>授予中小企业合同金额235.90万元，占政府采购支出总额的97.61%，其中：授予小微企业合同金额210.58万元，占政府采购支出总额的87.13%。</w:t>
      </w:r>
    </w:p>
    <w:p w14:paraId="538E91B2">
      <w:pPr>
        <w:spacing w:line="640" w:lineRule="exact"/>
        <w:ind w:firstLine="640"/>
        <w:jc w:val="both"/>
        <w:outlineLvl w:val="3"/>
      </w:pPr>
      <w:r>
        <w:rPr>
          <w:rFonts w:ascii="楷体_GB2312" w:hAnsi="楷体_GB2312" w:eastAsia="楷体_GB2312"/>
          <w:b/>
          <w:sz w:val="32"/>
        </w:rPr>
        <w:t>（三）国有资产占用情况说明</w:t>
      </w:r>
    </w:p>
    <w:p w14:paraId="3E124751">
      <w:pPr>
        <w:spacing w:line="580" w:lineRule="exact"/>
        <w:ind w:firstLine="640"/>
        <w:jc w:val="both"/>
      </w:pPr>
      <w:r>
        <w:rPr>
          <w:rFonts w:ascii="仿宋_GB2312" w:hAnsi="仿宋_GB2312" w:eastAsia="仿宋_GB2312"/>
          <w:b w:val="0"/>
          <w:sz w:val="32"/>
        </w:rPr>
        <w:t>截至2024年12月31日，房屋10,008.87平方米，价值2,097.00万元。车辆20辆，价值275.04万元，其中：副部（省）级及以上领导用车0辆、主要负责人用车0辆、机要通信用车0辆、应急保障用车0辆、执法执勤用车20辆、特种专业技术用车0辆、离退休干部服务用车0辆、其他用车0辆，其他用车主要是：本部门无其他用车。单价100万元（含）以上设备（不含车辆）0台（套）。</w:t>
      </w:r>
    </w:p>
    <w:p w14:paraId="16D5B136">
      <w:pPr>
        <w:spacing w:line="640" w:lineRule="exact"/>
        <w:ind w:firstLine="640"/>
        <w:jc w:val="both"/>
        <w:outlineLvl w:val="2"/>
      </w:pPr>
      <w:r>
        <w:rPr>
          <w:rFonts w:ascii="黑体" w:hAnsi="黑体" w:eastAsia="黑体"/>
          <w:sz w:val="32"/>
        </w:rPr>
        <w:t>十一、预算绩效的情况说明</w:t>
      </w:r>
    </w:p>
    <w:p w14:paraId="758E0AF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根据预算绩效管理要求，本部门2024年度预算绩效管理形成整体支出绩效自评表1个，全年预算总额2,435.64万元，实际执行总额2,435.64万元；预算绩效评价项目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552</w:t>
      </w:r>
      <w:r>
        <w:rPr>
          <w:rFonts w:ascii="仿宋_GB2312" w:hAnsi="仿宋_GB2312" w:eastAsia="仿宋_GB2312"/>
          <w:b w:val="0"/>
          <w:sz w:val="32"/>
        </w:rPr>
        <w:t>.00万元，全年执行数</w:t>
      </w:r>
      <w:r>
        <w:rPr>
          <w:rFonts w:hint="eastAsia" w:ascii="仿宋_GB2312" w:hAnsi="仿宋_GB2312" w:eastAsia="仿宋_GB2312"/>
          <w:b w:val="0"/>
          <w:sz w:val="32"/>
        </w:rPr>
        <w:t>552</w:t>
      </w:r>
      <w:r>
        <w:rPr>
          <w:rFonts w:ascii="仿宋_GB2312" w:hAnsi="仿宋_GB2312" w:eastAsia="仿宋_GB2312"/>
          <w:b w:val="0"/>
          <w:sz w:val="32"/>
        </w:rPr>
        <w:t>.00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业务流程持续优化；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53AAD79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5E159BB">
        <w:tblPrEx>
          <w:tblCellMar>
            <w:top w:w="0" w:type="dxa"/>
            <w:left w:w="108" w:type="dxa"/>
            <w:bottom w:w="0" w:type="dxa"/>
            <w:right w:w="108" w:type="dxa"/>
          </w:tblCellMar>
        </w:tblPrEx>
        <w:tc>
          <w:tcPr>
            <w:tcW w:w="8840" w:type="dxa"/>
            <w:gridSpan w:val="8"/>
            <w:vAlign w:val="center"/>
          </w:tcPr>
          <w:p w14:paraId="4B58C6AD">
            <w:pPr>
              <w:jc w:val="center"/>
            </w:pPr>
            <w:r>
              <w:rPr>
                <w:rFonts w:ascii="宋体" w:hAnsi="宋体" w:eastAsia="宋体"/>
                <w:sz w:val="24"/>
              </w:rPr>
              <w:t>部门整体支出绩效自评表</w:t>
            </w:r>
          </w:p>
        </w:tc>
      </w:tr>
      <w:tr w14:paraId="57DEF664">
        <w:tblPrEx>
          <w:tblCellMar>
            <w:top w:w="0" w:type="dxa"/>
            <w:left w:w="108" w:type="dxa"/>
            <w:bottom w:w="0" w:type="dxa"/>
            <w:right w:w="108" w:type="dxa"/>
          </w:tblCellMar>
        </w:tblPrEx>
        <w:tc>
          <w:tcPr>
            <w:tcW w:w="8840" w:type="dxa"/>
            <w:gridSpan w:val="8"/>
            <w:vAlign w:val="center"/>
          </w:tcPr>
          <w:p w14:paraId="39310345">
            <w:pPr>
              <w:jc w:val="center"/>
            </w:pPr>
            <w:r>
              <w:rPr>
                <w:rFonts w:ascii="宋体" w:hAnsi="宋体" w:eastAsia="宋体"/>
                <w:sz w:val="24"/>
              </w:rPr>
              <w:t>（2024年度）</w:t>
            </w:r>
          </w:p>
        </w:tc>
      </w:tr>
      <w:tr w14:paraId="2ACDF3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0439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5118C">
            <w:pPr>
              <w:jc w:val="center"/>
            </w:pPr>
            <w:r>
              <w:rPr>
                <w:rFonts w:ascii="宋体" w:hAnsi="宋体" w:eastAsia="宋体"/>
                <w:sz w:val="16"/>
              </w:rPr>
              <w:t>新疆巴州和静县人民法院</w:t>
            </w:r>
          </w:p>
        </w:tc>
      </w:tr>
      <w:tr w14:paraId="0AFA23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44D5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22B6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9DBF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03AD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F885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4514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F5E5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E560E">
            <w:pPr>
              <w:jc w:val="center"/>
            </w:pPr>
            <w:r>
              <w:rPr>
                <w:rFonts w:ascii="宋体" w:hAnsi="宋体" w:eastAsia="宋体"/>
                <w:sz w:val="16"/>
              </w:rPr>
              <w:t>得分</w:t>
            </w:r>
          </w:p>
        </w:tc>
      </w:tr>
      <w:tr w14:paraId="4DDB9D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2770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4551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0B1F6">
            <w:pPr>
              <w:jc w:val="center"/>
            </w:pPr>
            <w:r>
              <w:rPr>
                <w:rFonts w:ascii="宋体" w:hAnsi="宋体" w:eastAsia="宋体"/>
                <w:sz w:val="16"/>
              </w:rPr>
              <w:t>2,527.60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E91D7">
            <w:pPr>
              <w:jc w:val="center"/>
            </w:pPr>
            <w:r>
              <w:rPr>
                <w:rFonts w:ascii="宋体" w:hAnsi="宋体" w:eastAsia="宋体"/>
                <w:sz w:val="16"/>
              </w:rPr>
              <w:t>2,435.64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0C3CC">
            <w:pPr>
              <w:jc w:val="center"/>
            </w:pPr>
            <w:r>
              <w:rPr>
                <w:rFonts w:ascii="宋体" w:hAnsi="宋体" w:eastAsia="宋体"/>
                <w:sz w:val="16"/>
              </w:rPr>
              <w:t>2,435.64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6493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8538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474A3">
            <w:pPr>
              <w:jc w:val="center"/>
            </w:pPr>
            <w:r>
              <w:rPr>
                <w:rFonts w:ascii="宋体" w:hAnsi="宋体" w:eastAsia="宋体"/>
                <w:sz w:val="16"/>
              </w:rPr>
              <w:t>10</w:t>
            </w:r>
          </w:p>
        </w:tc>
      </w:tr>
      <w:tr w14:paraId="445142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51BF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A23A2">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A1E8C">
            <w:pPr>
              <w:jc w:val="center"/>
            </w:pPr>
            <w:r>
              <w:rPr>
                <w:rFonts w:ascii="宋体" w:hAnsi="宋体" w:eastAsia="宋体"/>
                <w:sz w:val="16"/>
              </w:rPr>
              <w:t>416.00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7E3B7">
            <w:pPr>
              <w:jc w:val="center"/>
            </w:pPr>
            <w:r>
              <w:rPr>
                <w:rFonts w:ascii="宋体" w:hAnsi="宋体" w:eastAsia="宋体"/>
                <w:sz w:val="16"/>
              </w:rPr>
              <w:t>527.00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31E1F">
            <w:pPr>
              <w:jc w:val="center"/>
            </w:pPr>
            <w:r>
              <w:rPr>
                <w:rFonts w:ascii="宋体" w:hAnsi="宋体" w:eastAsia="宋体"/>
                <w:sz w:val="16"/>
              </w:rPr>
              <w:t>527.00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F65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EB5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BD39F">
            <w:pPr>
              <w:jc w:val="center"/>
            </w:pPr>
            <w:r>
              <w:rPr>
                <w:rFonts w:ascii="宋体" w:hAnsi="宋体" w:eastAsia="宋体"/>
                <w:sz w:val="16"/>
              </w:rPr>
              <w:t>-</w:t>
            </w:r>
          </w:p>
        </w:tc>
      </w:tr>
      <w:tr w14:paraId="672587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189D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991A8">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F451E">
            <w:pPr>
              <w:jc w:val="center"/>
            </w:pPr>
            <w:r>
              <w:rPr>
                <w:rFonts w:ascii="宋体" w:hAnsi="宋体" w:eastAsia="宋体"/>
                <w:sz w:val="16"/>
              </w:rPr>
              <w:t>2,111.60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9D983">
            <w:pPr>
              <w:jc w:val="center"/>
            </w:pPr>
            <w:r>
              <w:rPr>
                <w:rFonts w:ascii="宋体" w:hAnsi="宋体" w:eastAsia="宋体"/>
                <w:sz w:val="16"/>
              </w:rPr>
              <w:t>1,908.64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C9147">
            <w:pPr>
              <w:jc w:val="center"/>
            </w:pPr>
            <w:r>
              <w:rPr>
                <w:rFonts w:ascii="宋体" w:hAnsi="宋体" w:eastAsia="宋体"/>
                <w:sz w:val="16"/>
              </w:rPr>
              <w:t>1,908.64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8E5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8F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AB852">
            <w:pPr>
              <w:jc w:val="center"/>
            </w:pPr>
            <w:r>
              <w:rPr>
                <w:rFonts w:ascii="宋体" w:hAnsi="宋体" w:eastAsia="宋体"/>
                <w:sz w:val="16"/>
              </w:rPr>
              <w:t>-</w:t>
            </w:r>
          </w:p>
        </w:tc>
      </w:tr>
      <w:tr w14:paraId="2A443B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CB83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7AB84">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41B2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7236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8FDB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DB8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4FE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0A099">
            <w:pPr>
              <w:jc w:val="center"/>
            </w:pPr>
            <w:r>
              <w:rPr>
                <w:rFonts w:ascii="宋体" w:hAnsi="宋体" w:eastAsia="宋体"/>
                <w:sz w:val="16"/>
              </w:rPr>
              <w:t>-</w:t>
            </w:r>
          </w:p>
        </w:tc>
      </w:tr>
      <w:tr w14:paraId="71ECD7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FC52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386C4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3EC574">
            <w:pPr>
              <w:jc w:val="center"/>
            </w:pPr>
            <w:r>
              <w:rPr>
                <w:rFonts w:ascii="宋体" w:hAnsi="宋体" w:eastAsia="宋体"/>
                <w:sz w:val="16"/>
              </w:rPr>
              <w:t>实际完成情况</w:t>
            </w:r>
          </w:p>
        </w:tc>
      </w:tr>
      <w:tr w14:paraId="533AD4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0BABD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5E317C">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和静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0837D3">
            <w:pPr>
              <w:jc w:val="both"/>
            </w:pPr>
            <w:r>
              <w:rPr>
                <w:rFonts w:ascii="宋体" w:hAnsi="宋体" w:eastAsia="宋体"/>
                <w:sz w:val="16"/>
              </w:rPr>
              <w:t>和静县人民法院2024年继续深化落实案件质量，继续发挥科技法庭，网络直播法庭，远程执行查控等大数据和高科技设备的技术运用，收案4758件，案件调解数为963件，庭审公开率达61.74%，法定审限期内结案率达到97.04%，增进法院可持续发展提升社会司法环境公平公正。坚持司法为民，公正司法，保护人民群众合法权益，提高了法院信息化整体应用水平，推进智慧法院项目实施，确保和静法院信息化项目稳步推进。</w:t>
            </w:r>
          </w:p>
        </w:tc>
      </w:tr>
      <w:tr w14:paraId="5E9AC78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8633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23CD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C2FF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1541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A7E4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03BD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31FB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18E6E">
            <w:pPr>
              <w:jc w:val="center"/>
            </w:pPr>
            <w:r>
              <w:rPr>
                <w:rFonts w:ascii="宋体" w:hAnsi="宋体" w:eastAsia="宋体"/>
                <w:sz w:val="16"/>
              </w:rPr>
              <w:t>得分</w:t>
            </w:r>
          </w:p>
        </w:tc>
      </w:tr>
      <w:tr w14:paraId="34C9F6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478B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0BEF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D7AA5">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A5FE5">
            <w:pPr>
              <w:jc w:val="center"/>
            </w:pPr>
            <w:r>
              <w:rPr>
                <w:rFonts w:ascii="宋体" w:hAnsi="宋体" w:eastAsia="宋体"/>
                <w:sz w:val="16"/>
              </w:rPr>
              <w:t>&gt;=5159件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35D48">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年和静县人民法院工作报告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C00A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3D09F">
            <w:pPr>
              <w:jc w:val="center"/>
            </w:pPr>
            <w:r>
              <w:rPr>
                <w:rFonts w:ascii="宋体" w:hAnsi="宋体" w:eastAsia="宋体"/>
                <w:sz w:val="16"/>
              </w:rPr>
              <w:t>4758件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DA0B4">
            <w:pPr>
              <w:jc w:val="center"/>
            </w:pPr>
            <w:r>
              <w:rPr>
                <w:rFonts w:ascii="宋体" w:hAnsi="宋体" w:eastAsia="宋体"/>
                <w:sz w:val="16"/>
              </w:rPr>
              <w:t>18.45</w:t>
            </w:r>
          </w:p>
        </w:tc>
      </w:tr>
      <w:tr w14:paraId="11D5A1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B40A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8983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0CFD4">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1BDA8">
            <w:pPr>
              <w:jc w:val="center"/>
            </w:pPr>
            <w:r>
              <w:rPr>
                <w:rFonts w:ascii="宋体" w:hAnsi="宋体" w:eastAsia="宋体"/>
                <w:sz w:val="16"/>
              </w:rPr>
              <w:t>&gt;=1389件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24976">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年和静县人民法院工作报告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CB20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757EC">
            <w:pPr>
              <w:jc w:val="center"/>
            </w:pPr>
            <w:r>
              <w:rPr>
                <w:rFonts w:ascii="宋体" w:hAnsi="宋体" w:eastAsia="宋体"/>
                <w:sz w:val="16"/>
              </w:rPr>
              <w:t>963件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D2A37">
            <w:pPr>
              <w:jc w:val="center"/>
            </w:pPr>
            <w:r>
              <w:rPr>
                <w:rFonts w:ascii="宋体" w:hAnsi="宋体" w:eastAsia="宋体"/>
                <w:sz w:val="16"/>
              </w:rPr>
              <w:t>13.87</w:t>
            </w:r>
          </w:p>
        </w:tc>
      </w:tr>
      <w:tr w14:paraId="27D040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C07DEA"/>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654B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E8550">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0738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C5476">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年和静县人民法院工作报告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CB6B8">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6F9B1">
            <w:pPr>
              <w:jc w:val="center"/>
            </w:pPr>
            <w:r>
              <w:rPr>
                <w:rFonts w:ascii="宋体" w:hAnsi="宋体" w:eastAsia="宋体"/>
                <w:sz w:val="16"/>
              </w:rPr>
              <w:t>61.74%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D73EA">
            <w:pPr>
              <w:jc w:val="center"/>
            </w:pPr>
            <w:r>
              <w:rPr>
                <w:rFonts w:ascii="宋体" w:hAnsi="宋体" w:eastAsia="宋体"/>
                <w:sz w:val="16"/>
              </w:rPr>
              <w:t>16.25</w:t>
            </w:r>
          </w:p>
        </w:tc>
      </w:tr>
      <w:tr w14:paraId="7BFE67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61D76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5E50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03369">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556D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AADEC">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年和静县人民法院工作报告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B94AA">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AC7A0">
            <w:pPr>
              <w:jc w:val="center"/>
            </w:pPr>
            <w:r>
              <w:rPr>
                <w:rFonts w:ascii="宋体" w:hAnsi="宋体" w:eastAsia="宋体"/>
                <w:sz w:val="16"/>
              </w:rPr>
              <w:t>97.04%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D372F">
            <w:pPr>
              <w:jc w:val="center"/>
            </w:pPr>
            <w:r>
              <w:rPr>
                <w:rFonts w:ascii="宋体" w:hAnsi="宋体" w:eastAsia="宋体"/>
                <w:sz w:val="16"/>
              </w:rPr>
              <w:t>25</w:t>
            </w:r>
          </w:p>
        </w:tc>
      </w:tr>
    </w:tbl>
    <w:p w14:paraId="61C149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24321AC">
        <w:tblPrEx>
          <w:tblCellMar>
            <w:top w:w="0" w:type="dxa"/>
            <w:left w:w="108" w:type="dxa"/>
            <w:bottom w:w="0" w:type="dxa"/>
            <w:right w:w="108" w:type="dxa"/>
          </w:tblCellMar>
        </w:tblPrEx>
        <w:tc>
          <w:tcPr>
            <w:tcW w:w="8848" w:type="dxa"/>
            <w:gridSpan w:val="14"/>
            <w:vAlign w:val="center"/>
          </w:tcPr>
          <w:p w14:paraId="61AB040A">
            <w:pPr>
              <w:jc w:val="center"/>
            </w:pPr>
            <w:r>
              <w:rPr>
                <w:rFonts w:ascii="宋体" w:hAnsi="宋体" w:eastAsia="宋体"/>
                <w:sz w:val="24"/>
              </w:rPr>
              <w:t>项目支出绩效自评表</w:t>
            </w:r>
          </w:p>
        </w:tc>
      </w:tr>
      <w:tr w14:paraId="7E5FB416">
        <w:tblPrEx>
          <w:tblCellMar>
            <w:top w:w="0" w:type="dxa"/>
            <w:left w:w="108" w:type="dxa"/>
            <w:bottom w:w="0" w:type="dxa"/>
            <w:right w:w="108" w:type="dxa"/>
          </w:tblCellMar>
        </w:tblPrEx>
        <w:tc>
          <w:tcPr>
            <w:tcW w:w="8848" w:type="dxa"/>
            <w:gridSpan w:val="14"/>
            <w:vAlign w:val="center"/>
          </w:tcPr>
          <w:p w14:paraId="5274ABF5">
            <w:pPr>
              <w:jc w:val="center"/>
            </w:pPr>
            <w:r>
              <w:rPr>
                <w:rFonts w:ascii="宋体" w:hAnsi="宋体" w:eastAsia="宋体"/>
                <w:sz w:val="24"/>
              </w:rPr>
              <w:t>(2024年度)</w:t>
            </w:r>
          </w:p>
        </w:tc>
      </w:tr>
      <w:tr w14:paraId="399535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A2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C97F9">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C134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8F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DFCF8">
            <w:pPr>
              <w:jc w:val="center"/>
            </w:pPr>
            <w:r>
              <w:rPr>
                <w:rFonts w:ascii="宋体" w:hAnsi="宋体" w:eastAsia="宋体"/>
                <w:sz w:val="16"/>
              </w:rPr>
              <w:t>新疆巴州和静县人民法院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1E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3D115">
            <w:pPr>
              <w:jc w:val="center"/>
            </w:pPr>
            <w:r>
              <w:rPr>
                <w:rFonts w:ascii="宋体" w:hAnsi="宋体" w:eastAsia="宋体"/>
                <w:sz w:val="16"/>
              </w:rPr>
              <w:t>新疆巴州和静县人民法院</w:t>
            </w:r>
          </w:p>
        </w:tc>
      </w:tr>
      <w:tr w14:paraId="438E2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FD54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CA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59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9C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178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76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2F8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B194">
            <w:pPr>
              <w:jc w:val="center"/>
            </w:pPr>
            <w:r>
              <w:rPr>
                <w:rFonts w:ascii="宋体" w:hAnsi="宋体" w:eastAsia="宋体"/>
                <w:sz w:val="16"/>
              </w:rPr>
              <w:t>得分</w:t>
            </w:r>
          </w:p>
        </w:tc>
      </w:tr>
      <w:tr w14:paraId="3D77C2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197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E9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35CD">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573D">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F34A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AD0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BF1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BAC5">
            <w:pPr>
              <w:jc w:val="center"/>
            </w:pPr>
            <w:r>
              <w:rPr>
                <w:rFonts w:ascii="宋体" w:hAnsi="宋体" w:eastAsia="宋体"/>
                <w:sz w:val="16"/>
              </w:rPr>
              <w:t>10.00</w:t>
            </w:r>
          </w:p>
        </w:tc>
      </w:tr>
      <w:tr w14:paraId="2AEAD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678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DF0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E66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C03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78E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11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D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F718">
            <w:pPr>
              <w:jc w:val="center"/>
            </w:pPr>
            <w:r>
              <w:rPr>
                <w:rFonts w:ascii="宋体" w:hAnsi="宋体" w:eastAsia="宋体"/>
                <w:sz w:val="16"/>
              </w:rPr>
              <w:t>-</w:t>
            </w:r>
          </w:p>
        </w:tc>
      </w:tr>
      <w:tr w14:paraId="673F7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605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EE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71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282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B8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2B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B8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772D">
            <w:pPr>
              <w:jc w:val="center"/>
            </w:pPr>
            <w:r>
              <w:rPr>
                <w:rFonts w:ascii="宋体" w:hAnsi="宋体" w:eastAsia="宋体"/>
                <w:sz w:val="16"/>
              </w:rPr>
              <w:t>-</w:t>
            </w:r>
          </w:p>
        </w:tc>
      </w:tr>
      <w:tr w14:paraId="0D751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E07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BBA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876FE">
            <w:pPr>
              <w:jc w:val="center"/>
            </w:pPr>
            <w:r>
              <w:rPr>
                <w:rFonts w:ascii="宋体" w:hAnsi="宋体" w:eastAsia="宋体"/>
                <w:sz w:val="16"/>
              </w:rPr>
              <w:t>总体目标完成情况</w:t>
            </w:r>
          </w:p>
        </w:tc>
      </w:tr>
      <w:tr w14:paraId="70F12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77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F541B">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）文件精神，通过我院派2名干警前往</w:t>
            </w:r>
            <w:r>
              <w:rPr>
                <w:rFonts w:hint="eastAsia" w:ascii="宋体" w:hAnsi="宋体"/>
                <w:sz w:val="16"/>
                <w:lang w:eastAsia="zh-CN"/>
              </w:rPr>
              <w:t>一个</w:t>
            </w:r>
            <w:r>
              <w:rPr>
                <w:rFonts w:ascii="宋体" w:hAnsi="宋体" w:eastAsia="宋体"/>
                <w:sz w:val="16"/>
              </w:rPr>
              <w:t>村开展</w:t>
            </w:r>
            <w:r>
              <w:rPr>
                <w:rFonts w:hint="eastAsia" w:ascii="宋体" w:hAnsi="宋体"/>
                <w:sz w:val="16"/>
                <w:lang w:eastAsia="zh-CN"/>
              </w:rPr>
              <w:t>为民办实事</w:t>
            </w:r>
            <w:r>
              <w:rPr>
                <w:rFonts w:ascii="宋体" w:hAnsi="宋体" w:eastAsia="宋体"/>
                <w:sz w:val="16"/>
              </w:rPr>
              <w:t>工作，其他三个小村为包联关注支持，保障4个村工作队经费25万元，并合理合规使用为民办实事经费，确保为民办实事经费使用的安全性、规范性和实效性。达到提高组织各项慰问和文体活动效率；提高居民文化生活水平；方便顺利开展“民族团结一家亲”、团结关爱户、独居老人、村干部联谊等各项活动，从而提升群众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9E42D9">
            <w:pPr>
              <w:jc w:val="both"/>
            </w:pPr>
            <w:r>
              <w:rPr>
                <w:rFonts w:hint="eastAsia" w:ascii="宋体" w:hAnsi="宋体"/>
                <w:sz w:val="16"/>
                <w:lang w:eastAsia="zh-CN"/>
              </w:rPr>
              <w:t>1.</w:t>
            </w:r>
            <w:r>
              <w:rPr>
                <w:rFonts w:ascii="宋体" w:hAnsi="宋体" w:eastAsia="宋体"/>
                <w:sz w:val="16"/>
              </w:rPr>
              <w:t>该项目保障了1个派</w:t>
            </w:r>
            <w:r>
              <w:rPr>
                <w:rFonts w:hint="eastAsia" w:ascii="宋体" w:hAnsi="宋体"/>
                <w:sz w:val="16"/>
                <w:lang w:eastAsia="zh-CN"/>
              </w:rPr>
              <w:t>为民办实事</w:t>
            </w:r>
            <w:r>
              <w:rPr>
                <w:rFonts w:ascii="宋体" w:hAnsi="宋体" w:eastAsia="宋体"/>
                <w:sz w:val="16"/>
              </w:rPr>
              <w:t xml:space="preserve">，3个包联关注村工作经费落实到居民实处。派驻工作队工作人员3人，工作经费用于访贫问苦，建设村级基础设施。通过组织各项慰问及文体活动，提高了居民文化生活水平，提高生活幸福指数 ；             </w:t>
            </w:r>
            <w:r>
              <w:rPr>
                <w:rFonts w:ascii="宋体" w:hAnsi="宋体" w:eastAsia="宋体"/>
                <w:sz w:val="16"/>
              </w:rPr>
              <w:br w:type="textWrapping"/>
            </w:r>
            <w:r>
              <w:rPr>
                <w:rFonts w:ascii="宋体" w:hAnsi="宋体" w:eastAsia="宋体"/>
                <w:sz w:val="16"/>
              </w:rPr>
              <w:t>2、开展“民族团结一家亲”，提高了团结关爱户、独居老人、社区干部的干群关系。受益人员满意度达到95%，提高为民办实事力度，提升群众获得感。</w:t>
            </w:r>
          </w:p>
        </w:tc>
      </w:tr>
      <w:tr w14:paraId="7898B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DE2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D9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67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39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46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6D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68F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64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C3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AC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1A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DED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6F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EDB9">
            <w:pPr>
              <w:jc w:val="center"/>
            </w:pPr>
            <w:r>
              <w:rPr>
                <w:rFonts w:ascii="宋体" w:hAnsi="宋体" w:eastAsia="宋体"/>
                <w:sz w:val="16"/>
              </w:rPr>
              <w:t>偏差原因分析及改进措施</w:t>
            </w:r>
          </w:p>
        </w:tc>
      </w:tr>
      <w:tr w14:paraId="0BB0D5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146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5E8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C12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89D9">
            <w:pPr>
              <w:jc w:val="center"/>
            </w:pPr>
            <w:r>
              <w:rPr>
                <w:rFonts w:ascii="宋体" w:hAnsi="宋体" w:eastAsia="宋体"/>
                <w:sz w:val="16"/>
              </w:rPr>
              <w:t>工作队派驻中村数量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D47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3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0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9B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4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9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8C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D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6D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E21A">
            <w:pPr>
              <w:jc w:val="center"/>
            </w:pPr>
          </w:p>
        </w:tc>
      </w:tr>
      <w:tr w14:paraId="67867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CB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F8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3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6E13">
            <w:pPr>
              <w:jc w:val="center"/>
            </w:pPr>
            <w:r>
              <w:rPr>
                <w:rFonts w:ascii="宋体" w:hAnsi="宋体" w:eastAsia="宋体"/>
                <w:sz w:val="16"/>
              </w:rPr>
              <w:t>工作队派驻小村数量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E40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B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5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59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3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5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975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6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62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69DD">
            <w:pPr>
              <w:jc w:val="center"/>
            </w:pPr>
          </w:p>
        </w:tc>
      </w:tr>
      <w:tr w14:paraId="6997F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60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1C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04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69D8">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170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5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B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A3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0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C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44E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1EE0">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14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D533">
            <w:pPr>
              <w:jc w:val="center"/>
            </w:pPr>
            <w:r>
              <w:rPr>
                <w:rFonts w:ascii="宋体" w:hAnsi="宋体" w:eastAsia="宋体"/>
                <w:sz w:val="16"/>
              </w:rPr>
              <w:t>上级根据实际情况下文要求补增1名工作队成员</w:t>
            </w:r>
          </w:p>
        </w:tc>
      </w:tr>
      <w:tr w14:paraId="2DDFC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56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0C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01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944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1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C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4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F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9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E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D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5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02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0B3F">
            <w:pPr>
              <w:jc w:val="center"/>
            </w:pPr>
          </w:p>
        </w:tc>
      </w:tr>
      <w:tr w14:paraId="0BD7F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E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1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F2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FB8E">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A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5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4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B5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F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9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9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0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F3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96CC">
            <w:pPr>
              <w:jc w:val="center"/>
            </w:pPr>
          </w:p>
        </w:tc>
      </w:tr>
      <w:tr w14:paraId="1C2E1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5B0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BF8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E33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DB3C">
            <w:pPr>
              <w:jc w:val="center"/>
            </w:pPr>
            <w:r>
              <w:rPr>
                <w:rFonts w:ascii="宋体" w:hAnsi="宋体" w:eastAsia="宋体"/>
                <w:sz w:val="16"/>
              </w:rPr>
              <w:t>中村经费投入成本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5220">
            <w:pPr>
              <w:jc w:val="center"/>
            </w:pPr>
            <w:r>
              <w:rPr>
                <w:rFonts w:ascii="宋体" w:hAnsi="宋体" w:eastAsia="宋体"/>
                <w:sz w:val="16"/>
              </w:rPr>
              <w:t>&lt;=10万元/村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C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5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F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A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65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F711">
            <w:pPr>
              <w:jc w:val="center"/>
            </w:pPr>
            <w:r>
              <w:rPr>
                <w:rFonts w:ascii="宋体" w:hAnsi="宋体" w:eastAsia="宋体"/>
                <w:sz w:val="16"/>
              </w:rPr>
              <w:t>=10万元/村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1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1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7971">
            <w:pPr>
              <w:jc w:val="center"/>
            </w:pPr>
          </w:p>
        </w:tc>
      </w:tr>
      <w:tr w14:paraId="38482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27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F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81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B7DA">
            <w:pPr>
              <w:jc w:val="center"/>
            </w:pPr>
            <w:r>
              <w:rPr>
                <w:rFonts w:ascii="宋体" w:hAnsi="宋体" w:eastAsia="宋体"/>
                <w:sz w:val="16"/>
              </w:rPr>
              <w:t>小村经费投入成本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0826">
            <w:pPr>
              <w:jc w:val="center"/>
            </w:pPr>
            <w:r>
              <w:rPr>
                <w:rFonts w:ascii="宋体" w:hAnsi="宋体" w:eastAsia="宋体"/>
                <w:sz w:val="16"/>
              </w:rPr>
              <w:t>&lt;=5万元/村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B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A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4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8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7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6685">
            <w:pPr>
              <w:jc w:val="center"/>
            </w:pPr>
            <w:r>
              <w:rPr>
                <w:rFonts w:ascii="宋体" w:hAnsi="宋体" w:eastAsia="宋体"/>
                <w:sz w:val="16"/>
              </w:rPr>
              <w:t>=5万元/村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0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B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D857">
            <w:pPr>
              <w:jc w:val="center"/>
            </w:pPr>
          </w:p>
        </w:tc>
      </w:tr>
      <w:tr w14:paraId="6AAD2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93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A7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9F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281D">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5D7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E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C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ED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5F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4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B4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C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77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E584">
            <w:pPr>
              <w:jc w:val="center"/>
            </w:pPr>
          </w:p>
        </w:tc>
      </w:tr>
      <w:tr w14:paraId="12AEA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D7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AA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2B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DBB4">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A8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E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9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D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BB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B2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1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C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2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0A6">
            <w:pPr>
              <w:jc w:val="center"/>
            </w:pPr>
          </w:p>
        </w:tc>
      </w:tr>
      <w:tr w14:paraId="2D1B29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0E9B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CB5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8B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C7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B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1C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5C6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3A7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B5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9AF6">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1E43C"/>
        </w:tc>
      </w:tr>
    </w:tbl>
    <w:p w14:paraId="74071BA9">
      <w:r>
        <w:br w:type="page"/>
      </w:r>
    </w:p>
    <w:p w14:paraId="38B07624">
      <w:pPr>
        <w:spacing w:line="640" w:lineRule="exact"/>
        <w:ind w:firstLine="640"/>
        <w:jc w:val="both"/>
        <w:outlineLvl w:val="2"/>
      </w:pPr>
      <w:r>
        <w:rPr>
          <w:rFonts w:ascii="黑体" w:hAnsi="黑体" w:eastAsia="黑体"/>
          <w:sz w:val="32"/>
        </w:rPr>
        <w:t>十二、其他需说明的事项</w:t>
      </w:r>
    </w:p>
    <w:p w14:paraId="01A5835F">
      <w:pPr>
        <w:spacing w:line="580" w:lineRule="exact"/>
        <w:ind w:firstLine="640"/>
        <w:jc w:val="both"/>
      </w:pPr>
      <w:r>
        <w:rPr>
          <w:rFonts w:ascii="仿宋_GB2312" w:hAnsi="仿宋_GB2312" w:eastAsia="仿宋_GB2312"/>
          <w:b w:val="0"/>
          <w:sz w:val="32"/>
        </w:rPr>
        <w:t>本年本部门SM项目2个，全年预算数527.00万元，全年执行数527.00万元。</w:t>
      </w:r>
    </w:p>
    <w:p w14:paraId="651447DA">
      <w:r>
        <w:br w:type="page"/>
      </w:r>
    </w:p>
    <w:p w14:paraId="3598EFAB">
      <w:pPr>
        <w:spacing w:line="240" w:lineRule="auto"/>
        <w:jc w:val="center"/>
        <w:outlineLvl w:val="1"/>
      </w:pPr>
      <w:r>
        <w:rPr>
          <w:rFonts w:ascii="黑体" w:hAnsi="黑体" w:eastAsia="黑体"/>
          <w:sz w:val="32"/>
        </w:rPr>
        <w:t>第三部分 专业名词解释</w:t>
      </w:r>
    </w:p>
    <w:p w14:paraId="2C6E066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13CD4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95EA8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84489D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6B15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39FA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FDADC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7DA54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AEAE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8EF10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E19FAD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5137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FEB1B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9ACA3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37493E">
      <w:r>
        <w:br w:type="page"/>
      </w:r>
    </w:p>
    <w:p w14:paraId="41832A13">
      <w:pPr>
        <w:spacing w:line="240" w:lineRule="auto"/>
        <w:jc w:val="center"/>
        <w:outlineLvl w:val="1"/>
      </w:pPr>
      <w:r>
        <w:rPr>
          <w:rFonts w:ascii="黑体" w:hAnsi="黑体" w:eastAsia="黑体"/>
          <w:sz w:val="32"/>
        </w:rPr>
        <w:t>第四部分 部门决算报表（见附表）</w:t>
      </w:r>
    </w:p>
    <w:p w14:paraId="2ECE99F9">
      <w:pPr>
        <w:spacing w:line="240" w:lineRule="auto"/>
        <w:ind w:firstLine="640"/>
        <w:jc w:val="both"/>
      </w:pPr>
      <w:r>
        <w:rPr>
          <w:rFonts w:ascii="仿宋_GB2312" w:hAnsi="仿宋_GB2312" w:eastAsia="仿宋_GB2312"/>
          <w:b w:val="0"/>
          <w:sz w:val="32"/>
        </w:rPr>
        <w:t>一、《收入支出决算总表》</w:t>
      </w:r>
    </w:p>
    <w:p w14:paraId="7D43C023">
      <w:pPr>
        <w:spacing w:line="240" w:lineRule="auto"/>
        <w:ind w:firstLine="640"/>
        <w:jc w:val="both"/>
      </w:pPr>
      <w:r>
        <w:rPr>
          <w:rFonts w:ascii="仿宋_GB2312" w:hAnsi="仿宋_GB2312" w:eastAsia="仿宋_GB2312"/>
          <w:b w:val="0"/>
          <w:sz w:val="32"/>
        </w:rPr>
        <w:t>二、《收入决算表》</w:t>
      </w:r>
    </w:p>
    <w:p w14:paraId="1171B3D5">
      <w:pPr>
        <w:spacing w:line="240" w:lineRule="auto"/>
        <w:ind w:firstLine="640"/>
        <w:jc w:val="both"/>
      </w:pPr>
      <w:r>
        <w:rPr>
          <w:rFonts w:ascii="仿宋_GB2312" w:hAnsi="仿宋_GB2312" w:eastAsia="仿宋_GB2312"/>
          <w:b w:val="0"/>
          <w:sz w:val="32"/>
        </w:rPr>
        <w:t>三、《支出决算表》</w:t>
      </w:r>
    </w:p>
    <w:p w14:paraId="205062F9">
      <w:pPr>
        <w:spacing w:line="240" w:lineRule="auto"/>
        <w:ind w:firstLine="640"/>
        <w:jc w:val="both"/>
      </w:pPr>
      <w:r>
        <w:rPr>
          <w:rFonts w:ascii="仿宋_GB2312" w:hAnsi="仿宋_GB2312" w:eastAsia="仿宋_GB2312"/>
          <w:b w:val="0"/>
          <w:sz w:val="32"/>
        </w:rPr>
        <w:t>四、《财政拨款收入支出决算总表》</w:t>
      </w:r>
    </w:p>
    <w:p w14:paraId="5AACB93D">
      <w:pPr>
        <w:spacing w:line="240" w:lineRule="auto"/>
        <w:ind w:firstLine="640"/>
        <w:jc w:val="both"/>
      </w:pPr>
      <w:r>
        <w:rPr>
          <w:rFonts w:ascii="仿宋_GB2312" w:hAnsi="仿宋_GB2312" w:eastAsia="仿宋_GB2312"/>
          <w:b w:val="0"/>
          <w:sz w:val="32"/>
        </w:rPr>
        <w:t>五、《一般公共预算财政拨款支出决算表》</w:t>
      </w:r>
    </w:p>
    <w:p w14:paraId="108A6861">
      <w:pPr>
        <w:spacing w:line="240" w:lineRule="auto"/>
        <w:ind w:firstLine="640"/>
        <w:jc w:val="both"/>
      </w:pPr>
      <w:r>
        <w:rPr>
          <w:rFonts w:ascii="仿宋_GB2312" w:hAnsi="仿宋_GB2312" w:eastAsia="仿宋_GB2312"/>
          <w:b w:val="0"/>
          <w:sz w:val="32"/>
        </w:rPr>
        <w:t>六、《一般公共预算财政拨款基本支出决算表》</w:t>
      </w:r>
    </w:p>
    <w:p w14:paraId="515FDE6D">
      <w:pPr>
        <w:spacing w:line="240" w:lineRule="auto"/>
        <w:ind w:firstLine="640"/>
        <w:jc w:val="both"/>
      </w:pPr>
      <w:r>
        <w:rPr>
          <w:rFonts w:ascii="仿宋_GB2312" w:hAnsi="仿宋_GB2312" w:eastAsia="仿宋_GB2312"/>
          <w:b w:val="0"/>
          <w:sz w:val="32"/>
        </w:rPr>
        <w:t>七、《政府性基金预算财政拨款收入支出决算表》</w:t>
      </w:r>
    </w:p>
    <w:p w14:paraId="784DDD5A">
      <w:pPr>
        <w:spacing w:line="240" w:lineRule="auto"/>
        <w:ind w:firstLine="640"/>
        <w:jc w:val="both"/>
      </w:pPr>
      <w:r>
        <w:rPr>
          <w:rFonts w:ascii="仿宋_GB2312" w:hAnsi="仿宋_GB2312" w:eastAsia="仿宋_GB2312"/>
          <w:b w:val="0"/>
          <w:sz w:val="32"/>
        </w:rPr>
        <w:t>八、《国有资本经营预算财政拨款收入支出决算表》</w:t>
      </w:r>
    </w:p>
    <w:p w14:paraId="2061CDE8">
      <w:pPr>
        <w:spacing w:line="240" w:lineRule="auto"/>
        <w:ind w:firstLine="640"/>
        <w:jc w:val="both"/>
      </w:pPr>
      <w:r>
        <w:rPr>
          <w:rFonts w:ascii="仿宋_GB2312" w:hAnsi="仿宋_GB2312" w:eastAsia="仿宋_GB2312"/>
          <w:b w:val="0"/>
          <w:sz w:val="32"/>
        </w:rPr>
        <w:t>九、《财政拨款“三公”经费支出决算表》</w:t>
      </w:r>
    </w:p>
    <w:p w14:paraId="67557F0B">
      <w:pPr>
        <w:spacing w:line="240" w:lineRule="auto"/>
        <w:ind w:firstLine="640"/>
        <w:jc w:val="both"/>
      </w:pPr>
    </w:p>
    <w:p w14:paraId="661429C6">
      <w:pPr>
        <w:spacing w:line="240" w:lineRule="auto"/>
        <w:ind w:firstLine="640"/>
        <w:jc w:val="both"/>
      </w:pPr>
    </w:p>
    <w:p w14:paraId="55631C8C">
      <w:pPr>
        <w:spacing w:line="240" w:lineRule="auto"/>
        <w:ind w:firstLine="640"/>
        <w:jc w:val="both"/>
      </w:pPr>
    </w:p>
    <w:p w14:paraId="5BAD449A">
      <w:pPr>
        <w:spacing w:line="240" w:lineRule="auto"/>
        <w:ind w:firstLine="640"/>
        <w:jc w:val="both"/>
      </w:pPr>
    </w:p>
    <w:p w14:paraId="02AF56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046CF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5D190B"/>
    <w:rsid w:val="1DAF458D"/>
    <w:rsid w:val="1E086ACE"/>
    <w:rsid w:val="1E4B5CA5"/>
    <w:rsid w:val="1EAA4A5F"/>
    <w:rsid w:val="1F587A0B"/>
    <w:rsid w:val="2064678E"/>
    <w:rsid w:val="20BC0B75"/>
    <w:rsid w:val="20DD6197"/>
    <w:rsid w:val="21F317F2"/>
    <w:rsid w:val="2241392C"/>
    <w:rsid w:val="23BC04D2"/>
    <w:rsid w:val="24D938CE"/>
    <w:rsid w:val="25275618"/>
    <w:rsid w:val="26CA78D4"/>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22580F"/>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6077</Words>
  <Characters>7060</Characters>
  <Lines>0</Lines>
  <Paragraphs>0</Paragraphs>
  <TotalTime>0</TotalTime>
  <ScaleCrop>false</ScaleCrop>
  <LinksUpToDate>false</LinksUpToDate>
  <CharactersWithSpaces>7068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