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新疆巴州和硕县人民法院2024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00F3AAA">
      <w:r>
        <w:br w:type="page"/>
      </w:r>
    </w:p>
    <w:p w14:paraId="2794F161">
      <w:pPr>
        <w:spacing w:line="640" w:lineRule="exact"/>
        <w:jc w:val="center"/>
        <w:outlineLvl w:val="1"/>
      </w:pPr>
      <w:r>
        <w:rPr>
          <w:rFonts w:ascii="黑体" w:hAnsi="黑体" w:eastAsia="黑体"/>
          <w:sz w:val="32"/>
        </w:rPr>
        <w:t>第一部分 部门概况</w:t>
      </w:r>
    </w:p>
    <w:p w14:paraId="2C787DB9">
      <w:pPr>
        <w:spacing w:line="640" w:lineRule="exact"/>
        <w:ind w:firstLine="640"/>
        <w:jc w:val="both"/>
        <w:outlineLvl w:val="2"/>
      </w:pPr>
      <w:r>
        <w:rPr>
          <w:rFonts w:ascii="黑体" w:hAnsi="黑体" w:eastAsia="黑体"/>
          <w:sz w:val="32"/>
        </w:rPr>
        <w:t>一、主要职能</w:t>
      </w:r>
    </w:p>
    <w:p w14:paraId="2A002ECE">
      <w:pPr>
        <w:spacing w:line="580" w:lineRule="exact"/>
        <w:ind w:firstLine="640"/>
        <w:jc w:val="both"/>
      </w:pPr>
      <w:r>
        <w:rPr>
          <w:rFonts w:ascii="仿宋_GB2312" w:hAnsi="仿宋_GB2312" w:eastAsia="仿宋_GB2312"/>
          <w:sz w:val="32"/>
        </w:rPr>
        <w:t>（一）审判法律规定由基层法院人民法院管辖，上级人民法院指定管辖的刑事，民事和行政第一审案件。</w:t>
      </w:r>
    </w:p>
    <w:p w14:paraId="315AE488">
      <w:pPr>
        <w:spacing w:line="580" w:lineRule="exact"/>
        <w:ind w:firstLine="640"/>
        <w:jc w:val="both"/>
      </w:pPr>
      <w:r>
        <w:rPr>
          <w:rFonts w:ascii="仿宋_GB2312" w:hAnsi="仿宋_GB2312" w:eastAsia="仿宋_GB2312"/>
          <w:sz w:val="32"/>
        </w:rPr>
        <w:t>（二）审判法律规定由基层人民法院审判的非诉讼案件，审判上级法院指令再审案件，依审判监督程序对本院发生法律效力的判决，裁定提起再审案件。</w:t>
      </w:r>
    </w:p>
    <w:p w14:paraId="7DCF46A1">
      <w:pPr>
        <w:spacing w:line="580" w:lineRule="exact"/>
        <w:ind w:firstLine="640"/>
        <w:jc w:val="both"/>
      </w:pPr>
      <w:r>
        <w:rPr>
          <w:rFonts w:ascii="仿宋_GB2312" w:hAnsi="仿宋_GB2312" w:eastAsia="仿宋_GB2312"/>
          <w:sz w:val="32"/>
        </w:rPr>
        <w:t>（三）审判债权人申请支付案件和票据持有人申请公示催告的依特别程序审理的案件。</w:t>
      </w:r>
    </w:p>
    <w:p w14:paraId="00CAA3B1">
      <w:pPr>
        <w:spacing w:line="580" w:lineRule="exact"/>
        <w:ind w:firstLine="640"/>
        <w:jc w:val="both"/>
      </w:pPr>
      <w:r>
        <w:rPr>
          <w:rFonts w:ascii="仿宋_GB2312" w:hAnsi="仿宋_GB2312" w:eastAsia="仿宋_GB2312"/>
          <w:sz w:val="32"/>
        </w:rPr>
        <w:t>（四）依法行使司法执行权和司法决定权。</w:t>
      </w:r>
    </w:p>
    <w:p w14:paraId="13077580">
      <w:pPr>
        <w:spacing w:line="580" w:lineRule="exact"/>
        <w:ind w:firstLine="640"/>
        <w:jc w:val="both"/>
      </w:pPr>
      <w:r>
        <w:rPr>
          <w:rFonts w:ascii="仿宋_GB2312" w:hAnsi="仿宋_GB2312" w:eastAsia="仿宋_GB2312"/>
          <w:sz w:val="32"/>
        </w:rPr>
        <w:t>（五）针对案件审理中发现的问题提出司法建议。</w:t>
      </w:r>
    </w:p>
    <w:p w14:paraId="0B6A5D23">
      <w:pPr>
        <w:spacing w:line="580" w:lineRule="exact"/>
        <w:ind w:firstLine="640"/>
        <w:jc w:val="both"/>
      </w:pPr>
      <w:r>
        <w:rPr>
          <w:rFonts w:ascii="仿宋_GB2312" w:hAnsi="仿宋_GB2312" w:eastAsia="仿宋_GB2312"/>
          <w:sz w:val="32"/>
        </w:rPr>
        <w:t>（六）负责领导班子和队伍建设，按照权限进行管理。</w:t>
      </w:r>
    </w:p>
    <w:p w14:paraId="3395330D">
      <w:pPr>
        <w:spacing w:line="580" w:lineRule="exact"/>
        <w:ind w:firstLine="640"/>
        <w:jc w:val="both"/>
      </w:pPr>
      <w:r>
        <w:rPr>
          <w:rFonts w:ascii="仿宋_GB2312" w:hAnsi="仿宋_GB2312" w:eastAsia="仿宋_GB2312"/>
          <w:sz w:val="32"/>
        </w:rPr>
        <w:t>（七）指导人民调解委员会工作。</w:t>
      </w:r>
    </w:p>
    <w:p w14:paraId="34407C99">
      <w:pPr>
        <w:spacing w:line="580" w:lineRule="exact"/>
        <w:ind w:firstLine="640"/>
        <w:jc w:val="both"/>
      </w:pPr>
      <w:r>
        <w:rPr>
          <w:rFonts w:ascii="仿宋_GB2312" w:hAnsi="仿宋_GB2312" w:eastAsia="仿宋_GB2312"/>
          <w:sz w:val="32"/>
        </w:rPr>
        <w:t>（八）承办其他由本级人民法院负责的工作。</w:t>
      </w:r>
    </w:p>
    <w:p w14:paraId="2F1DC50B">
      <w:pPr>
        <w:spacing w:line="640" w:lineRule="exact"/>
        <w:ind w:firstLine="640"/>
        <w:jc w:val="both"/>
        <w:outlineLvl w:val="2"/>
      </w:pPr>
      <w:r>
        <w:rPr>
          <w:rFonts w:ascii="黑体" w:hAnsi="黑体" w:eastAsia="黑体"/>
          <w:sz w:val="32"/>
        </w:rPr>
        <w:t>二、机构设置及人员情况</w:t>
      </w:r>
    </w:p>
    <w:p w14:paraId="1E441A4D">
      <w:pPr>
        <w:spacing w:line="580" w:lineRule="exact"/>
        <w:ind w:firstLine="640"/>
        <w:jc w:val="both"/>
      </w:pPr>
      <w:r>
        <w:rPr>
          <w:rFonts w:ascii="仿宋_GB2312" w:hAnsi="仿宋_GB2312" w:eastAsia="仿宋_GB2312"/>
          <w:sz w:val="32"/>
        </w:rPr>
        <w:t>新疆巴州和硕县人民法院2024年度，实有人数60人，其中：在职人员42人，增加0人；离休人员1人，增加0人；退休人员17人,增加3人。</w:t>
      </w:r>
    </w:p>
    <w:p w14:paraId="1AC42C77">
      <w:pPr>
        <w:spacing w:line="580" w:lineRule="exact"/>
        <w:ind w:firstLine="640"/>
        <w:jc w:val="both"/>
      </w:pPr>
      <w:r>
        <w:rPr>
          <w:rFonts w:ascii="仿宋_GB2312" w:hAnsi="仿宋_GB2312" w:eastAsia="仿宋_GB2312"/>
          <w:sz w:val="32"/>
        </w:rPr>
        <w:t>新疆巴州和硕县人民法院无下属预算单位，下设5个科室，分别是：立案庭、综合审判庭、执行局、综合办公室、政治部。</w:t>
      </w:r>
    </w:p>
    <w:p w14:paraId="106C94CF">
      <w:r>
        <w:br w:type="page"/>
      </w:r>
    </w:p>
    <w:p w14:paraId="1B1C5ABA">
      <w:pPr>
        <w:spacing w:line="240" w:lineRule="auto"/>
        <w:jc w:val="center"/>
        <w:outlineLvl w:val="1"/>
      </w:pPr>
      <w:r>
        <w:rPr>
          <w:rFonts w:ascii="黑体" w:hAnsi="黑体" w:eastAsia="黑体"/>
          <w:sz w:val="32"/>
        </w:rPr>
        <w:t>第二部分 部门决算情况说明</w:t>
      </w:r>
    </w:p>
    <w:p w14:paraId="1BB963F1">
      <w:pPr>
        <w:spacing w:line="640" w:lineRule="exact"/>
        <w:ind w:firstLine="640"/>
        <w:jc w:val="both"/>
        <w:outlineLvl w:val="2"/>
      </w:pPr>
      <w:r>
        <w:rPr>
          <w:rFonts w:ascii="黑体" w:hAnsi="黑体" w:eastAsia="黑体"/>
          <w:sz w:val="32"/>
        </w:rPr>
        <w:t>一、收入支出决算总体情况说明</w:t>
      </w:r>
    </w:p>
    <w:p w14:paraId="28DCD931">
      <w:pPr>
        <w:spacing w:line="580" w:lineRule="exact"/>
        <w:ind w:firstLine="640"/>
        <w:jc w:val="both"/>
      </w:pPr>
      <w:r>
        <w:rPr>
          <w:rFonts w:ascii="仿宋_GB2312" w:hAnsi="仿宋_GB2312" w:eastAsia="仿宋_GB2312"/>
          <w:b/>
          <w:sz w:val="32"/>
        </w:rPr>
        <w:t>2024年度收入总计1,443.92万元，</w:t>
      </w:r>
      <w:r>
        <w:rPr>
          <w:rFonts w:ascii="仿宋_GB2312" w:hAnsi="仿宋_GB2312" w:eastAsia="仿宋_GB2312"/>
          <w:b w:val="0"/>
          <w:sz w:val="32"/>
        </w:rPr>
        <w:t>其中：本年收入合计1,438.22万元，使用非财政拨款结余（含专用结余）0.00万元，年初结转和结余5.70万元。</w:t>
      </w:r>
    </w:p>
    <w:p w14:paraId="210F3EB1">
      <w:pPr>
        <w:spacing w:line="580" w:lineRule="exact"/>
        <w:ind w:firstLine="640"/>
        <w:jc w:val="both"/>
      </w:pPr>
      <w:r>
        <w:rPr>
          <w:rFonts w:ascii="仿宋_GB2312" w:hAnsi="仿宋_GB2312" w:eastAsia="仿宋_GB2312"/>
          <w:b/>
          <w:sz w:val="32"/>
        </w:rPr>
        <w:t>2024年度支出总计1,443.92万元，</w:t>
      </w:r>
      <w:r>
        <w:rPr>
          <w:rFonts w:ascii="仿宋_GB2312" w:hAnsi="仿宋_GB2312" w:eastAsia="仿宋_GB2312"/>
          <w:b w:val="0"/>
          <w:sz w:val="32"/>
        </w:rPr>
        <w:t>其中：本年支出合计1,438.22万元，结余分配0.00万元，年末结转和结余5.70万元。</w:t>
      </w:r>
    </w:p>
    <w:p w14:paraId="636A8871">
      <w:pPr>
        <w:spacing w:line="580" w:lineRule="exact"/>
        <w:ind w:firstLine="640"/>
        <w:jc w:val="both"/>
      </w:pPr>
      <w:r>
        <w:rPr>
          <w:rFonts w:ascii="仿宋_GB2312" w:hAnsi="仿宋_GB2312" w:eastAsia="仿宋_GB2312"/>
          <w:b w:val="0"/>
          <w:sz w:val="32"/>
        </w:rPr>
        <w:t>收入支出总体与上年相比，减少20.41万元，下降1.39%，主要原因是：本年减少为民办实事经费项目及同工同酬人员补助项目，中央转移支付资金项目经费较上年减少。</w:t>
      </w:r>
    </w:p>
    <w:p w14:paraId="565E515A">
      <w:pPr>
        <w:spacing w:line="640" w:lineRule="exact"/>
        <w:ind w:firstLine="640"/>
        <w:jc w:val="both"/>
        <w:outlineLvl w:val="2"/>
      </w:pPr>
      <w:r>
        <w:rPr>
          <w:rFonts w:ascii="黑体" w:hAnsi="黑体" w:eastAsia="黑体"/>
          <w:sz w:val="32"/>
        </w:rPr>
        <w:t>二、收入决算情况说明</w:t>
      </w:r>
    </w:p>
    <w:p w14:paraId="4ADC9F33">
      <w:pPr>
        <w:spacing w:line="580" w:lineRule="exact"/>
        <w:ind w:firstLine="640"/>
        <w:jc w:val="both"/>
      </w:pPr>
      <w:r>
        <w:rPr>
          <w:rFonts w:ascii="仿宋_GB2312" w:hAnsi="仿宋_GB2312" w:eastAsia="仿宋_GB2312"/>
          <w:b/>
          <w:sz w:val="32"/>
        </w:rPr>
        <w:t>本年收入1,438.22万元，</w:t>
      </w:r>
      <w:r>
        <w:rPr>
          <w:rFonts w:ascii="仿宋_GB2312" w:hAnsi="仿宋_GB2312" w:eastAsia="仿宋_GB2312"/>
          <w:b w:val="0"/>
          <w:sz w:val="32"/>
        </w:rPr>
        <w:t>其中：财政拨款收入1,438.22万元，占100.00%；上级补助收入0.00万元，占0.00%；事业收入0.00万元，占0.00%；经营收入0.00万元，占0.00%；附属单位上缴收入0.00万元，占0.00%；其他收入0.00万元，占0.00%。</w:t>
      </w:r>
    </w:p>
    <w:p w14:paraId="38AF611D">
      <w:pPr>
        <w:spacing w:line="640" w:lineRule="exact"/>
        <w:ind w:firstLine="640"/>
        <w:jc w:val="both"/>
        <w:outlineLvl w:val="2"/>
      </w:pPr>
      <w:r>
        <w:rPr>
          <w:rFonts w:ascii="黑体" w:hAnsi="黑体" w:eastAsia="黑体"/>
          <w:sz w:val="32"/>
        </w:rPr>
        <w:t>三、支出决算情况说明</w:t>
      </w:r>
    </w:p>
    <w:p w14:paraId="47A17626">
      <w:pPr>
        <w:spacing w:line="580" w:lineRule="exact"/>
        <w:ind w:firstLine="640"/>
        <w:jc w:val="both"/>
      </w:pPr>
      <w:r>
        <w:rPr>
          <w:rFonts w:ascii="仿宋_GB2312" w:hAnsi="仿宋_GB2312" w:eastAsia="仿宋_GB2312"/>
          <w:b/>
          <w:sz w:val="32"/>
        </w:rPr>
        <w:t>本年支出1,438.22万元，</w:t>
      </w:r>
      <w:r>
        <w:rPr>
          <w:rFonts w:ascii="仿宋_GB2312" w:hAnsi="仿宋_GB2312" w:eastAsia="仿宋_GB2312"/>
          <w:b w:val="0"/>
          <w:sz w:val="32"/>
        </w:rPr>
        <w:t>其中：基本支出1,129.22万元，占78.52%；项目支出309.00万元，占21.48%；上缴上级支出0.00万元，占0.00%；经营支出0.00万元，占0.00%；对附属单位补助支出0.00万元，占0.00%。</w:t>
      </w:r>
    </w:p>
    <w:p w14:paraId="6EB531B2">
      <w:pPr>
        <w:spacing w:line="640" w:lineRule="exact"/>
        <w:ind w:firstLine="640"/>
        <w:jc w:val="both"/>
        <w:outlineLvl w:val="2"/>
      </w:pPr>
      <w:r>
        <w:rPr>
          <w:rFonts w:ascii="黑体" w:hAnsi="黑体" w:eastAsia="黑体"/>
          <w:sz w:val="32"/>
        </w:rPr>
        <w:t>四、财政拨款收入支出决算总体情况说明</w:t>
      </w:r>
    </w:p>
    <w:p w14:paraId="2C424864">
      <w:pPr>
        <w:spacing w:line="580" w:lineRule="exact"/>
        <w:ind w:firstLine="640"/>
        <w:jc w:val="both"/>
      </w:pPr>
      <w:r>
        <w:rPr>
          <w:rFonts w:ascii="仿宋_GB2312" w:hAnsi="仿宋_GB2312" w:eastAsia="仿宋_GB2312"/>
          <w:b/>
          <w:sz w:val="32"/>
        </w:rPr>
        <w:t>2024年度财政拨款收入总计1,438.22万元，</w:t>
      </w:r>
      <w:r>
        <w:rPr>
          <w:rFonts w:ascii="仿宋_GB2312" w:hAnsi="仿宋_GB2312" w:eastAsia="仿宋_GB2312"/>
          <w:b w:val="0"/>
          <w:sz w:val="32"/>
        </w:rPr>
        <w:t>其中：年初财政拨款结转和结余0.00万元，本年财政拨款收入1,438.22万元。</w:t>
      </w:r>
      <w:r>
        <w:rPr>
          <w:rFonts w:ascii="仿宋_GB2312" w:hAnsi="仿宋_GB2312" w:eastAsia="仿宋_GB2312"/>
          <w:b/>
          <w:sz w:val="32"/>
        </w:rPr>
        <w:t>财政拨款支出总计1,438.22万元，</w:t>
      </w:r>
      <w:r>
        <w:rPr>
          <w:rFonts w:ascii="仿宋_GB2312" w:hAnsi="仿宋_GB2312" w:eastAsia="仿宋_GB2312"/>
          <w:b w:val="0"/>
          <w:sz w:val="32"/>
        </w:rPr>
        <w:t>其中：年末财政拨款结转和结余0.00万元，本年财政拨款支出1,438.22万元。</w:t>
      </w:r>
    </w:p>
    <w:p w14:paraId="06EBA88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减少20.41万元，下降1.40%，主要原因是：本年减少为民办实事经费项目及同工同酬人员补助项目，中央转移支付资金项目经费较上年减少。</w:t>
      </w:r>
      <w:r>
        <w:rPr>
          <w:rFonts w:ascii="仿宋_GB2312" w:hAnsi="仿宋_GB2312" w:eastAsia="仿宋_GB2312"/>
          <w:b/>
          <w:sz w:val="32"/>
        </w:rPr>
        <w:t>与年初预算相比，</w:t>
      </w:r>
      <w:r>
        <w:rPr>
          <w:rFonts w:ascii="仿宋_GB2312" w:hAnsi="仿宋_GB2312" w:eastAsia="仿宋_GB2312"/>
          <w:b w:val="0"/>
          <w:sz w:val="32"/>
        </w:rPr>
        <w:t>年初预算数1,408.94万元，决算数1,438.22万元，预决算差异率2.08%，主要原因是：年中追加中央转移支付资金项目经费，导致预决算存在差异。</w:t>
      </w:r>
    </w:p>
    <w:p w14:paraId="21A2C432">
      <w:pPr>
        <w:spacing w:line="640" w:lineRule="exact"/>
        <w:ind w:firstLine="640"/>
        <w:jc w:val="both"/>
        <w:outlineLvl w:val="2"/>
      </w:pPr>
      <w:r>
        <w:rPr>
          <w:rFonts w:ascii="黑体" w:hAnsi="黑体" w:eastAsia="黑体"/>
          <w:sz w:val="32"/>
        </w:rPr>
        <w:t>五、一般公共预算财政拨款支出决算情况说明</w:t>
      </w:r>
    </w:p>
    <w:p w14:paraId="70643F16">
      <w:pPr>
        <w:spacing w:line="640" w:lineRule="exact"/>
        <w:ind w:firstLine="640"/>
        <w:jc w:val="both"/>
        <w:outlineLvl w:val="3"/>
      </w:pPr>
      <w:r>
        <w:rPr>
          <w:rFonts w:ascii="楷体_GB2312" w:hAnsi="楷体_GB2312" w:eastAsia="楷体_GB2312"/>
          <w:b/>
          <w:sz w:val="32"/>
        </w:rPr>
        <w:t>（一）一般公共预算财政拨款支出决算总体情况</w:t>
      </w:r>
    </w:p>
    <w:p w14:paraId="7CAADD61">
      <w:pPr>
        <w:spacing w:line="580" w:lineRule="exact"/>
        <w:ind w:firstLine="640"/>
        <w:jc w:val="both"/>
      </w:pPr>
      <w:r>
        <w:rPr>
          <w:rFonts w:ascii="仿宋_GB2312" w:hAnsi="仿宋_GB2312" w:eastAsia="仿宋_GB2312"/>
          <w:b/>
          <w:sz w:val="32"/>
        </w:rPr>
        <w:t>2024年度一般公共预算财政拨款支出1,438.22万元，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减少20.41万元，下降1.40%，主要原因是：本年减少为民办实事经费项目及同工同酬人员补助项目，中央转移支付资金项目经费较上年减少。</w:t>
      </w:r>
      <w:r>
        <w:rPr>
          <w:rFonts w:ascii="仿宋_GB2312" w:hAnsi="仿宋_GB2312" w:eastAsia="仿宋_GB2312"/>
          <w:b/>
          <w:sz w:val="32"/>
        </w:rPr>
        <w:t>与年初预算相比,</w:t>
      </w:r>
      <w:r>
        <w:rPr>
          <w:rFonts w:ascii="仿宋_GB2312" w:hAnsi="仿宋_GB2312" w:eastAsia="仿宋_GB2312"/>
          <w:b w:val="0"/>
          <w:sz w:val="32"/>
        </w:rPr>
        <w:t>年初预算数1,408.94万元，决算数1,438.22万元，预决算差异率2.08%，主要原因是：年中追加中央转移支付资金项目经费，导致预决算存在差异。</w:t>
      </w:r>
    </w:p>
    <w:p w14:paraId="796850D2">
      <w:pPr>
        <w:spacing w:line="640" w:lineRule="exact"/>
        <w:ind w:firstLine="640"/>
        <w:jc w:val="both"/>
        <w:outlineLvl w:val="3"/>
      </w:pPr>
      <w:r>
        <w:rPr>
          <w:rFonts w:ascii="楷体_GB2312" w:hAnsi="楷体_GB2312" w:eastAsia="楷体_GB2312"/>
          <w:b/>
          <w:sz w:val="32"/>
        </w:rPr>
        <w:t>（二）一般公共预算财政拨款支出决算结构情况</w:t>
      </w:r>
    </w:p>
    <w:p w14:paraId="23531C5A">
      <w:pPr>
        <w:spacing w:line="580" w:lineRule="exact"/>
        <w:ind w:firstLine="640"/>
        <w:jc w:val="both"/>
      </w:pPr>
      <w:r>
        <w:rPr>
          <w:rFonts w:ascii="仿宋_GB2312" w:hAnsi="仿宋_GB2312" w:eastAsia="仿宋_GB2312"/>
          <w:b w:val="0"/>
          <w:sz w:val="32"/>
        </w:rPr>
        <w:t>1.公共安全支出(类)1179.27万元,占82.00%。</w:t>
      </w:r>
    </w:p>
    <w:p w14:paraId="1DFEBD1F">
      <w:pPr>
        <w:spacing w:line="580" w:lineRule="exact"/>
        <w:ind w:firstLine="640"/>
        <w:jc w:val="both"/>
      </w:pPr>
      <w:r>
        <w:rPr>
          <w:rFonts w:ascii="仿宋_GB2312" w:hAnsi="仿宋_GB2312" w:eastAsia="仿宋_GB2312"/>
          <w:b w:val="0"/>
          <w:sz w:val="32"/>
        </w:rPr>
        <w:t>2.教育支出(类)2.73万元,占0.19%。</w:t>
      </w:r>
    </w:p>
    <w:p w14:paraId="7730E546">
      <w:pPr>
        <w:spacing w:line="580" w:lineRule="exact"/>
        <w:ind w:firstLine="640"/>
        <w:jc w:val="both"/>
      </w:pPr>
      <w:r>
        <w:rPr>
          <w:rFonts w:ascii="仿宋_GB2312" w:hAnsi="仿宋_GB2312" w:eastAsia="仿宋_GB2312"/>
          <w:b w:val="0"/>
          <w:sz w:val="32"/>
        </w:rPr>
        <w:t>3.社会保障和就业支出(类)135.84万元,占9.45%。</w:t>
      </w:r>
    </w:p>
    <w:p w14:paraId="19ECA735">
      <w:pPr>
        <w:spacing w:line="580" w:lineRule="exact"/>
        <w:ind w:firstLine="640"/>
        <w:jc w:val="both"/>
      </w:pPr>
      <w:r>
        <w:rPr>
          <w:rFonts w:ascii="仿宋_GB2312" w:hAnsi="仿宋_GB2312" w:eastAsia="仿宋_GB2312"/>
          <w:b w:val="0"/>
          <w:sz w:val="32"/>
        </w:rPr>
        <w:t>4.卫生健康支出(类)48.12万元,占3.35%。</w:t>
      </w:r>
    </w:p>
    <w:p w14:paraId="49EFCC44">
      <w:pPr>
        <w:spacing w:line="580" w:lineRule="exact"/>
        <w:ind w:firstLine="640"/>
        <w:jc w:val="both"/>
      </w:pPr>
      <w:r>
        <w:rPr>
          <w:rFonts w:ascii="仿宋_GB2312" w:hAnsi="仿宋_GB2312" w:eastAsia="仿宋_GB2312"/>
          <w:b w:val="0"/>
          <w:sz w:val="32"/>
        </w:rPr>
        <w:t>5.住房保障支出(类)72.27万元,占5.02%。</w:t>
      </w:r>
    </w:p>
    <w:p w14:paraId="171374A5">
      <w:pPr>
        <w:spacing w:line="640" w:lineRule="exact"/>
        <w:ind w:firstLine="640"/>
        <w:jc w:val="both"/>
        <w:outlineLvl w:val="3"/>
      </w:pPr>
      <w:r>
        <w:rPr>
          <w:rFonts w:ascii="楷体_GB2312" w:hAnsi="楷体_GB2312" w:eastAsia="楷体_GB2312"/>
          <w:b/>
          <w:sz w:val="32"/>
        </w:rPr>
        <w:t>（三）一般公共预算财政拨款支出决算具体情况</w:t>
      </w:r>
    </w:p>
    <w:p w14:paraId="3DB14248">
      <w:pPr>
        <w:spacing w:line="580" w:lineRule="exact"/>
        <w:ind w:firstLine="640"/>
        <w:jc w:val="both"/>
      </w:pPr>
      <w:r>
        <w:rPr>
          <w:rFonts w:ascii="仿宋_GB2312" w:hAnsi="仿宋_GB2312" w:eastAsia="仿宋_GB2312"/>
          <w:b w:val="0"/>
          <w:sz w:val="32"/>
        </w:rPr>
        <w:t>1.公共安全支出(类)法院(款)行政运行(项):支出决算数为870.27万元，比上年决算增加9.20万元，增长1.07%,主要原因是：本年在职人员工资调增，导致相关人员经费较上年有所增加。</w:t>
      </w:r>
    </w:p>
    <w:p w14:paraId="6798688B">
      <w:pPr>
        <w:spacing w:line="580" w:lineRule="exact"/>
        <w:ind w:firstLine="640"/>
        <w:jc w:val="both"/>
      </w:pPr>
      <w:r>
        <w:rPr>
          <w:rFonts w:ascii="仿宋_GB2312" w:hAnsi="仿宋_GB2312" w:eastAsia="仿宋_GB2312"/>
          <w:b w:val="0"/>
          <w:sz w:val="32"/>
        </w:rPr>
        <w:t>2.公共安全支出(类)法院(款)一般行政管理事务(项):支出决算数为0.00万元，比上年决算减少12.24万元，下降100.00%,主要原因是：本年减少为民办实事经费项目及同工同酬人员补助项目。</w:t>
      </w:r>
    </w:p>
    <w:p w14:paraId="0760867E">
      <w:pPr>
        <w:spacing w:line="580" w:lineRule="exact"/>
        <w:ind w:firstLine="640"/>
        <w:jc w:val="both"/>
      </w:pPr>
      <w:r>
        <w:rPr>
          <w:rFonts w:ascii="仿宋_GB2312" w:hAnsi="仿宋_GB2312" w:eastAsia="仿宋_GB2312"/>
          <w:b w:val="0"/>
          <w:sz w:val="32"/>
        </w:rPr>
        <w:t>3.公共安全支出(类)法院(款)其他法院支出(项):支出决算数为309万元，比上年决算减少48.84万元，下降13.65%,主要原因是：本年中央转移支付资金项目经费较上年减少。</w:t>
      </w:r>
    </w:p>
    <w:p w14:paraId="664FEB0C">
      <w:pPr>
        <w:spacing w:line="580" w:lineRule="exact"/>
        <w:ind w:firstLine="640"/>
        <w:jc w:val="both"/>
      </w:pPr>
      <w:r>
        <w:rPr>
          <w:rFonts w:ascii="仿宋_GB2312" w:hAnsi="仿宋_GB2312" w:eastAsia="仿宋_GB2312"/>
          <w:b w:val="0"/>
          <w:sz w:val="32"/>
        </w:rPr>
        <w:t>4.教育支出(类)进修及培训(款)培训支出(项):支出决算数为2.73万元，比上年决算增加2.48万元，增长992.00%,主要原因是：本年培训次数增加，相应的培训费增加。</w:t>
      </w:r>
    </w:p>
    <w:p w14:paraId="3C71E3B6">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5.社会保障和就业支出(类)行政事业单位养老支出(款)行政单位离退休(项):支出决算数为30.59万元，比上年决算增加6.09万元，增长24.86%,主要原因是：本年退休人员增加，退休费支出增加。</w:t>
      </w:r>
    </w:p>
    <w:p w14:paraId="7149D758">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76.83万元，比上年决算增加4.69万元，增长6.50%,主要原因是：本年在职人员工资基数调增，养老缴费基数上涨，相应支出增加。</w:t>
      </w:r>
    </w:p>
    <w:p w14:paraId="200E5FCC">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7.社会保障和就业支出(类)行政事业单位养老支出(款)机关事业单位职业年金缴费支出(项):支出决算数为28.42万元，比上年决算增加20.81万元，增长273.46%,主要原因是：本年新增退休人员，职业年金缴费支出增加。</w:t>
      </w:r>
    </w:p>
    <w:p w14:paraId="729CC299">
      <w:pPr>
        <w:spacing w:line="580" w:lineRule="exact"/>
        <w:ind w:firstLine="640"/>
        <w:jc w:val="both"/>
      </w:pPr>
      <w:r>
        <w:rPr>
          <w:rFonts w:ascii="仿宋_GB2312" w:hAnsi="仿宋_GB2312" w:eastAsia="仿宋_GB2312"/>
          <w:b w:val="0"/>
          <w:sz w:val="32"/>
        </w:rPr>
        <w:t>8.社会保障和就业支出(类)抚恤(款)死亡抚恤(项):支出决算数为0.00万元，比上年决算减少23.80万元，下降100.00%,主要原因是：本年无新增死亡人员，死亡抚恤支出较上年减少。</w:t>
      </w:r>
    </w:p>
    <w:p w14:paraId="771CFD64">
      <w:pPr>
        <w:spacing w:line="580" w:lineRule="exact"/>
        <w:ind w:firstLine="640"/>
        <w:jc w:val="both"/>
      </w:pPr>
      <w:r>
        <w:rPr>
          <w:rFonts w:ascii="仿宋_GB2312" w:hAnsi="仿宋_GB2312" w:eastAsia="仿宋_GB2312"/>
          <w:b w:val="0"/>
          <w:sz w:val="32"/>
        </w:rPr>
        <w:t>9.卫生健康支出(类)行政事业单位医疗(款)行政单位医疗(项):支出决算数为32.88万元，比上年决算减少0.05万元，下降0.15%,主要原因是：因退休人员医疗保险制度改革，退休人员基本医疗不再由单位缴纳，导致经费较上年减少。</w:t>
      </w:r>
    </w:p>
    <w:p w14:paraId="5E109E8A">
      <w:pPr>
        <w:spacing w:line="580" w:lineRule="exact"/>
        <w:ind w:firstLine="640"/>
        <w:jc w:val="both"/>
      </w:pPr>
      <w:r>
        <w:rPr>
          <w:rFonts w:ascii="仿宋_GB2312" w:hAnsi="仿宋_GB2312" w:eastAsia="仿宋_GB2312"/>
          <w:b w:val="0"/>
          <w:sz w:val="32"/>
        </w:rPr>
        <w:t>10.卫生健康支出(类)行政事业单位医疗(款)公务员医疗补助(项):支出决算数为14.08万元，比上年决算增加0.16万元，增长1.15%,主要原因是：本年在职人员工资基数调增，医疗缴费基数上涨，相应支出增加。</w:t>
      </w:r>
    </w:p>
    <w:p w14:paraId="1557DF4D">
      <w:pPr>
        <w:spacing w:line="580" w:lineRule="exact"/>
        <w:ind w:firstLine="640"/>
        <w:jc w:val="both"/>
      </w:pPr>
      <w:r>
        <w:rPr>
          <w:rFonts w:ascii="仿宋_GB2312" w:hAnsi="仿宋_GB2312" w:eastAsia="仿宋_GB2312"/>
          <w:b w:val="0"/>
          <w:sz w:val="32"/>
        </w:rPr>
        <w:t>11.卫生健康支出(类)行政事业单位医疗(款)其他行政事业单位医疗支出(项):支出决算数为1.15万元，比上年决算减少0.20万元，下降14.81%,主要原因是：因退休人员医疗保险制度改革，退休人员基本医疗不再由单位缴纳，导致经费较上年减少。</w:t>
      </w:r>
    </w:p>
    <w:p w14:paraId="16E07C85">
      <w:pPr>
        <w:spacing w:line="580" w:lineRule="exact"/>
        <w:ind w:firstLine="640"/>
        <w:jc w:val="both"/>
      </w:pPr>
      <w:r>
        <w:rPr>
          <w:rFonts w:ascii="仿宋_GB2312" w:hAnsi="仿宋_GB2312" w:eastAsia="仿宋_GB2312"/>
          <w:b w:val="0"/>
          <w:sz w:val="32"/>
        </w:rPr>
        <w:t>12.住房保障支出(类)住房改革支出(款)住房公积金(项):支出决算数为72.27万元，比上年决算增加21.29万元，增长41.76%,主要原因是：本年在职人员工资基数调增，公积金缴费基数上涨，相应支出增加。</w:t>
      </w:r>
    </w:p>
    <w:p w14:paraId="52089787">
      <w:pPr>
        <w:spacing w:line="640" w:lineRule="exact"/>
        <w:ind w:firstLine="640"/>
        <w:jc w:val="both"/>
        <w:outlineLvl w:val="2"/>
      </w:pPr>
      <w:r>
        <w:rPr>
          <w:rFonts w:ascii="黑体" w:hAnsi="黑体" w:eastAsia="黑体"/>
          <w:sz w:val="32"/>
        </w:rPr>
        <w:t>六、一般公共预算财政拨款基本支出决算情况说明</w:t>
      </w:r>
    </w:p>
    <w:p w14:paraId="1B169053">
      <w:pPr>
        <w:spacing w:line="580" w:lineRule="exact"/>
        <w:ind w:firstLine="640"/>
        <w:jc w:val="both"/>
      </w:pPr>
      <w:r>
        <w:rPr>
          <w:rFonts w:ascii="仿宋_GB2312" w:hAnsi="仿宋_GB2312" w:eastAsia="仿宋_GB2312"/>
          <w:b w:val="0"/>
          <w:sz w:val="32"/>
        </w:rPr>
        <w:t>2024年度一般公共预算财政拨款基本支出1,129.22万元，其中：</w:t>
      </w:r>
      <w:r>
        <w:rPr>
          <w:rFonts w:ascii="仿宋_GB2312" w:hAnsi="仿宋_GB2312" w:eastAsia="仿宋_GB2312"/>
          <w:b/>
          <w:sz w:val="32"/>
        </w:rPr>
        <w:t>人员经费1,043.38万元，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离休费、退休费、生活补助、奖励金。</w:t>
      </w:r>
    </w:p>
    <w:p w14:paraId="4B0CB8CC">
      <w:pPr>
        <w:spacing w:line="580" w:lineRule="exact"/>
        <w:ind w:firstLine="640"/>
        <w:jc w:val="both"/>
      </w:pPr>
      <w:r>
        <w:rPr>
          <w:rFonts w:ascii="仿宋_GB2312" w:hAnsi="仿宋_GB2312" w:eastAsia="仿宋_GB2312"/>
          <w:b/>
          <w:sz w:val="32"/>
        </w:rPr>
        <w:t>公用经费85.84万元，</w:t>
      </w:r>
      <w:r>
        <w:rPr>
          <w:rFonts w:ascii="仿宋_GB2312" w:hAnsi="仿宋_GB2312" w:eastAsia="仿宋_GB2312"/>
          <w:b w:val="0"/>
          <w:sz w:val="32"/>
        </w:rPr>
        <w:t>包括：办公费、水费、电费、邮电费、取暖费、物业管理费、差旅费、培训费、公务接待费、劳务费、工会经费、福利费、公务用车运行维护费、其他商品和服务支出。</w:t>
      </w:r>
    </w:p>
    <w:p w14:paraId="591D59D0">
      <w:pPr>
        <w:spacing w:line="640" w:lineRule="exact"/>
        <w:ind w:firstLine="640"/>
        <w:jc w:val="both"/>
        <w:outlineLvl w:val="2"/>
      </w:pPr>
      <w:r>
        <w:rPr>
          <w:rFonts w:ascii="黑体" w:hAnsi="黑体" w:eastAsia="黑体"/>
          <w:sz w:val="32"/>
        </w:rPr>
        <w:t>七、政府性基金预算财政拨款收入支出决算情况说明</w:t>
      </w:r>
    </w:p>
    <w:p w14:paraId="2C935191">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55FC27FF">
      <w:pPr>
        <w:spacing w:line="640" w:lineRule="exact"/>
        <w:ind w:firstLine="640"/>
        <w:jc w:val="both"/>
        <w:outlineLvl w:val="2"/>
      </w:pPr>
      <w:r>
        <w:rPr>
          <w:rFonts w:ascii="黑体" w:hAnsi="黑体" w:eastAsia="黑体"/>
          <w:sz w:val="32"/>
        </w:rPr>
        <w:t>八、国有资本经营预算财政拨款收入支出决算情况说明</w:t>
      </w:r>
    </w:p>
    <w:p w14:paraId="03404AF9">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532472DC">
      <w:pPr>
        <w:spacing w:line="640" w:lineRule="exact"/>
        <w:ind w:firstLine="640"/>
        <w:jc w:val="both"/>
        <w:outlineLvl w:val="2"/>
      </w:pPr>
      <w:r>
        <w:rPr>
          <w:rFonts w:ascii="黑体" w:hAnsi="黑体" w:eastAsia="黑体"/>
          <w:sz w:val="32"/>
        </w:rPr>
        <w:t>九、财政拨款“三公”经费支出决算情况说明</w:t>
      </w:r>
    </w:p>
    <w:p w14:paraId="35E74F73">
      <w:pPr>
        <w:spacing w:line="580" w:lineRule="exact"/>
        <w:ind w:firstLine="640"/>
        <w:jc w:val="both"/>
      </w:pPr>
      <w:r>
        <w:rPr>
          <w:rFonts w:ascii="仿宋_GB2312" w:hAnsi="仿宋_GB2312" w:eastAsia="仿宋_GB2312"/>
          <w:b/>
          <w:sz w:val="32"/>
        </w:rPr>
        <w:t>2024年度财政拨款“三公”经费支出27.81万元，</w:t>
      </w:r>
      <w:r>
        <w:rPr>
          <w:rFonts w:ascii="仿宋_GB2312" w:hAnsi="仿宋_GB2312" w:eastAsia="仿宋_GB2312"/>
          <w:b w:val="0"/>
          <w:sz w:val="32"/>
        </w:rPr>
        <w:t>比上年减少3.34万元，下降10.72%，主要原因是：严格落实中央八项规定精神，厉行节约，减少公务用车运行维护费及公务接待费。其中：因公出国（境）费支出0.00万元，占0.00%，比上年增加0.00万元，增长0.00%，主要原因是：2023年与2024年均未安排因公出国（境）费支出。公务用车购置及运行维护费支出26.87万元，占96.62%，比上年减少3.13万元，下降10.43%，主要原因是：严格落实中央八项规定精神，厉行节约，减少公务用车运行维护费。公务接待费支出0.94万元，占3.38%，比上年减少0.21万元，下降18.26%，主要原因是：严格落实中央八项规定精神，厉行节约，减少公务接待费。</w:t>
      </w:r>
    </w:p>
    <w:p w14:paraId="2044A071">
      <w:pPr>
        <w:spacing w:line="580" w:lineRule="exact"/>
        <w:ind w:firstLine="640"/>
        <w:jc w:val="both"/>
      </w:pPr>
      <w:r>
        <w:rPr>
          <w:rFonts w:ascii="仿宋_GB2312" w:hAnsi="仿宋_GB2312" w:eastAsia="仿宋_GB2312"/>
          <w:b/>
          <w:sz w:val="32"/>
        </w:rPr>
        <w:t>具体情况如下：</w:t>
      </w:r>
    </w:p>
    <w:p w14:paraId="79462956">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73CB7B81">
      <w:pPr>
        <w:spacing w:line="580" w:lineRule="exact"/>
        <w:ind w:firstLine="640"/>
        <w:jc w:val="both"/>
      </w:pPr>
      <w:r>
        <w:rPr>
          <w:rFonts w:ascii="仿宋_GB2312" w:hAnsi="仿宋_GB2312" w:eastAsia="仿宋_GB2312"/>
          <w:b w:val="0"/>
          <w:sz w:val="32"/>
        </w:rPr>
        <w:t>公务用车购置及运行维护费26.87万元，其中：公务用车购置费0.00万元，公务用车运行维护费26.87万元。公务用车运行维护费开支内容包括车辆加油费、维修费、保险费、审车费、过路费。公务用车购置数0辆，公务用车保有量15辆。国有资产占用情况中固定资产车辆16辆，与公务用车保有量差异原因是：差异车辆为一般业务用车，由和硕县公安局使用，车辆费用由使用单位支付。</w:t>
      </w:r>
    </w:p>
    <w:p w14:paraId="7743461C">
      <w:pPr>
        <w:spacing w:line="580" w:lineRule="exact"/>
        <w:ind w:firstLine="640"/>
        <w:jc w:val="both"/>
      </w:pPr>
      <w:r>
        <w:rPr>
          <w:rFonts w:ascii="仿宋_GB2312" w:hAnsi="仿宋_GB2312" w:eastAsia="仿宋_GB2312"/>
          <w:b w:val="0"/>
          <w:sz w:val="32"/>
        </w:rPr>
        <w:t>公务接待费0.94万元，开支内容包括开展调研及业务活动、交流学习时产生的就餐费。部门全年安排的国内公务接待10批次，145人次。</w:t>
      </w:r>
    </w:p>
    <w:p w14:paraId="2B4707E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27.81万元，决算数27.81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26.87万元，决算数26.87万元，预决算差异率0.00%，主要原因是：严格按照预算执行，预决算无差异。公务接待费全年预算数0.94万元，决算数0.94万元，预决算差异率0.00%，主要原因是：严格按照预算执行，预决算无差异。</w:t>
      </w:r>
    </w:p>
    <w:p w14:paraId="11CF4D56">
      <w:pPr>
        <w:spacing w:line="640" w:lineRule="exact"/>
        <w:ind w:firstLine="640"/>
        <w:jc w:val="both"/>
        <w:outlineLvl w:val="2"/>
      </w:pPr>
      <w:r>
        <w:rPr>
          <w:rFonts w:ascii="黑体" w:hAnsi="黑体" w:eastAsia="黑体"/>
          <w:sz w:val="32"/>
        </w:rPr>
        <w:t>十、其他重要事项的情况说明</w:t>
      </w:r>
    </w:p>
    <w:p w14:paraId="6A9F26DC">
      <w:pPr>
        <w:spacing w:line="640" w:lineRule="exact"/>
        <w:ind w:firstLine="640"/>
        <w:jc w:val="both"/>
        <w:outlineLvl w:val="3"/>
      </w:pPr>
      <w:r>
        <w:rPr>
          <w:rFonts w:ascii="楷体_GB2312" w:hAnsi="楷体_GB2312" w:eastAsia="楷体_GB2312"/>
          <w:b/>
          <w:sz w:val="32"/>
        </w:rPr>
        <w:t>（一）机关运行经费及公用经费支出情况</w:t>
      </w:r>
    </w:p>
    <w:p w14:paraId="648216F4">
      <w:pPr>
        <w:spacing w:line="580" w:lineRule="exact"/>
        <w:ind w:firstLine="640"/>
        <w:jc w:val="both"/>
      </w:pPr>
      <w:r>
        <w:rPr>
          <w:rFonts w:ascii="仿宋_GB2312" w:hAnsi="仿宋_GB2312" w:eastAsia="仿宋_GB2312"/>
          <w:b w:val="0"/>
          <w:sz w:val="32"/>
        </w:rPr>
        <w:t>2024年度新疆巴州和硕县人民法院（行政单位和参照公务员法管理事业单位）机关运行经费支出85.84万元，比上年增加0.14万元，增长0.16%，主要原因是：本年培训费增加，导致机关运行经费增加。</w:t>
      </w:r>
    </w:p>
    <w:p w14:paraId="13AB8DD2">
      <w:pPr>
        <w:spacing w:line="640" w:lineRule="exact"/>
        <w:ind w:firstLine="640"/>
        <w:jc w:val="both"/>
        <w:outlineLvl w:val="3"/>
      </w:pPr>
      <w:r>
        <w:rPr>
          <w:rFonts w:ascii="楷体_GB2312" w:hAnsi="楷体_GB2312" w:eastAsia="楷体_GB2312"/>
          <w:b/>
          <w:sz w:val="32"/>
        </w:rPr>
        <w:t>（二）政府采购情况</w:t>
      </w:r>
    </w:p>
    <w:p w14:paraId="0F58E725">
      <w:pPr>
        <w:spacing w:line="580" w:lineRule="exact"/>
        <w:ind w:firstLine="640"/>
        <w:jc w:val="both"/>
      </w:pPr>
      <w:r>
        <w:rPr>
          <w:rFonts w:ascii="仿宋_GB2312" w:hAnsi="仿宋_GB2312" w:eastAsia="仿宋_GB2312"/>
          <w:b w:val="0"/>
          <w:sz w:val="32"/>
        </w:rPr>
        <w:t>2024年度政府采购支出总额49.06万元，其中：政府采购货物支出25.12万元、政府采购工程支出14.18万元、政府采购服务支出9.76万元。</w:t>
      </w:r>
    </w:p>
    <w:p w14:paraId="30AB79E8">
      <w:pPr>
        <w:spacing w:line="580" w:lineRule="exact"/>
        <w:ind w:firstLine="640"/>
        <w:jc w:val="both"/>
      </w:pPr>
      <w:r>
        <w:rPr>
          <w:rFonts w:ascii="仿宋_GB2312" w:hAnsi="仿宋_GB2312" w:eastAsia="仿宋_GB2312"/>
          <w:b w:val="0"/>
          <w:sz w:val="32"/>
        </w:rPr>
        <w:t>授予中小企业合同金额49.06万元，占政府采购支出总额的100.00%，其中：授予小微企业合同金额46.76万元，占政府采购支出总额的95.31%。</w:t>
      </w:r>
    </w:p>
    <w:p w14:paraId="21BBEB2C">
      <w:pPr>
        <w:spacing w:line="640" w:lineRule="exact"/>
        <w:ind w:firstLine="640"/>
        <w:jc w:val="both"/>
        <w:outlineLvl w:val="3"/>
      </w:pPr>
      <w:r>
        <w:rPr>
          <w:rFonts w:ascii="楷体_GB2312" w:hAnsi="楷体_GB2312" w:eastAsia="楷体_GB2312"/>
          <w:b/>
          <w:sz w:val="32"/>
        </w:rPr>
        <w:t>（三）国有资产占用情况说明</w:t>
      </w:r>
    </w:p>
    <w:p w14:paraId="4789176D">
      <w:pPr>
        <w:spacing w:line="580" w:lineRule="exact"/>
        <w:ind w:firstLine="640"/>
        <w:jc w:val="both"/>
      </w:pPr>
      <w:r>
        <w:rPr>
          <w:rFonts w:ascii="仿宋_GB2312" w:hAnsi="仿宋_GB2312" w:eastAsia="仿宋_GB2312"/>
          <w:b w:val="0"/>
          <w:sz w:val="32"/>
        </w:rPr>
        <w:t>截至2024年12月31日，房屋5,796.66平方米，价值755.28万元。车辆16辆，价值272.46万元，其中：副部（省）级及以上领导用车0辆、主要负责人用车2辆、机要通信用车0辆、应急保障用车0辆、执法执勤用车13辆、特种专业技术用车0辆、离退休干部服务用车0辆、其他用车1辆，其他用车主要是：单位业务用车。单价100万元（含）以上设备（不含车辆）0台（套）。</w:t>
      </w:r>
    </w:p>
    <w:p w14:paraId="17E90AF9">
      <w:pPr>
        <w:spacing w:line="640" w:lineRule="exact"/>
        <w:ind w:firstLine="640"/>
        <w:jc w:val="both"/>
        <w:outlineLvl w:val="2"/>
      </w:pPr>
      <w:r>
        <w:rPr>
          <w:rFonts w:ascii="黑体" w:hAnsi="黑体" w:eastAsia="黑体"/>
          <w:sz w:val="32"/>
        </w:rPr>
        <w:t>十一、预算绩效的情况说明</w:t>
      </w:r>
    </w:p>
    <w:p w14:paraId="25344634">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根据预算绩效管理要求，本部门2024年度预算绩效管理形成整体支出绩效自评表1个，全年预算总额1,443.92万元，实际执行总额1,438.22万元；预算绩效评价项目</w:t>
      </w:r>
      <w:r>
        <w:rPr>
          <w:rFonts w:hint="eastAsia" w:ascii="仿宋_GB2312" w:hAnsi="仿宋_GB2312" w:eastAsia="仿宋_GB2312"/>
          <w:b w:val="0"/>
          <w:sz w:val="32"/>
          <w:lang w:val="en-US" w:eastAsia="zh-CN"/>
        </w:rPr>
        <w:t>1</w:t>
      </w:r>
      <w:r>
        <w:rPr>
          <w:rFonts w:ascii="仿宋_GB2312" w:hAnsi="仿宋_GB2312" w:eastAsia="仿宋_GB2312"/>
          <w:b w:val="0"/>
          <w:sz w:val="32"/>
        </w:rPr>
        <w:t>个，全年预算数309.00万元，全年执行数309.00</w:t>
      </w:r>
      <w:bookmarkStart w:id="0" w:name="_GoBack"/>
      <w:bookmarkEnd w:id="0"/>
      <w:r>
        <w:rPr>
          <w:rFonts w:ascii="仿宋_GB2312" w:hAnsi="仿宋_GB2312" w:eastAsia="仿宋_GB2312"/>
          <w:b w:val="0"/>
          <w:sz w:val="32"/>
        </w:rPr>
        <w:t>万元。预算绩效管理取得的成效：本部门绩效自评表SM不予公开。发现的问题及原因：本部门绩效自评表SM不予公开。下一步改进措施：本部门绩效自评表SM不予公开。具体附部门整体支出绩效自评表。</w:t>
      </w:r>
    </w:p>
    <w:p w14:paraId="333CC3D3">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DAF2A72">
        <w:tblPrEx>
          <w:tblCellMar>
            <w:top w:w="0" w:type="dxa"/>
            <w:left w:w="108" w:type="dxa"/>
            <w:bottom w:w="0" w:type="dxa"/>
            <w:right w:w="108" w:type="dxa"/>
          </w:tblCellMar>
        </w:tblPrEx>
        <w:tc>
          <w:tcPr>
            <w:tcW w:w="8840" w:type="dxa"/>
            <w:gridSpan w:val="8"/>
            <w:vAlign w:val="center"/>
          </w:tcPr>
          <w:p w14:paraId="4C989390">
            <w:pPr>
              <w:jc w:val="center"/>
            </w:pPr>
            <w:r>
              <w:rPr>
                <w:rFonts w:ascii="宋体" w:hAnsi="宋体" w:eastAsia="宋体"/>
                <w:sz w:val="24"/>
              </w:rPr>
              <w:t>部门整体支出绩效自评表</w:t>
            </w:r>
          </w:p>
        </w:tc>
      </w:tr>
      <w:tr w14:paraId="7C904E05">
        <w:tblPrEx>
          <w:tblCellMar>
            <w:top w:w="0" w:type="dxa"/>
            <w:left w:w="108" w:type="dxa"/>
            <w:bottom w:w="0" w:type="dxa"/>
            <w:right w:w="108" w:type="dxa"/>
          </w:tblCellMar>
        </w:tblPrEx>
        <w:tc>
          <w:tcPr>
            <w:tcW w:w="8840" w:type="dxa"/>
            <w:gridSpan w:val="8"/>
            <w:vAlign w:val="center"/>
          </w:tcPr>
          <w:p w14:paraId="44EF287C">
            <w:pPr>
              <w:jc w:val="center"/>
            </w:pPr>
            <w:r>
              <w:rPr>
                <w:rFonts w:ascii="宋体" w:hAnsi="宋体" w:eastAsia="宋体"/>
                <w:sz w:val="24"/>
              </w:rPr>
              <w:t>（2024年度）</w:t>
            </w:r>
          </w:p>
        </w:tc>
      </w:tr>
      <w:tr w14:paraId="5E0D581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6C71BE">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1CA124">
            <w:pPr>
              <w:jc w:val="center"/>
            </w:pPr>
            <w:r>
              <w:rPr>
                <w:rFonts w:ascii="宋体" w:hAnsi="宋体" w:eastAsia="宋体"/>
                <w:sz w:val="16"/>
              </w:rPr>
              <w:t>新疆巴州和硕县人民法院</w:t>
            </w:r>
          </w:p>
        </w:tc>
      </w:tr>
      <w:tr w14:paraId="460ABC3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75FF91">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6D002E">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B2DB3C">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05C89C">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0E05AA">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1D22E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7095F1">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F6172A">
            <w:pPr>
              <w:jc w:val="center"/>
            </w:pPr>
            <w:r>
              <w:rPr>
                <w:rFonts w:ascii="宋体" w:hAnsi="宋体" w:eastAsia="宋体"/>
                <w:sz w:val="16"/>
              </w:rPr>
              <w:t>得分</w:t>
            </w:r>
          </w:p>
        </w:tc>
      </w:tr>
      <w:tr w14:paraId="613F15C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701A89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7B4C96">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AB1102">
            <w:pPr>
              <w:jc w:val="center"/>
            </w:pPr>
            <w:r>
              <w:rPr>
                <w:rFonts w:ascii="宋体" w:hAnsi="宋体" w:eastAsia="宋体"/>
                <w:sz w:val="16"/>
              </w:rPr>
              <w:t>1,408.94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D49673">
            <w:pPr>
              <w:jc w:val="center"/>
            </w:pPr>
            <w:r>
              <w:rPr>
                <w:rFonts w:ascii="宋体" w:hAnsi="宋体" w:eastAsia="宋体"/>
                <w:sz w:val="16"/>
              </w:rPr>
              <w:t>1,443.92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94DE55">
            <w:pPr>
              <w:jc w:val="center"/>
            </w:pPr>
            <w:r>
              <w:rPr>
                <w:rFonts w:ascii="宋体" w:hAnsi="宋体" w:eastAsia="宋体"/>
                <w:sz w:val="16"/>
              </w:rPr>
              <w:t>1,438.22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3805F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EB845B">
            <w:pPr>
              <w:jc w:val="center"/>
            </w:pPr>
            <w:r>
              <w:rPr>
                <w:rFonts w:ascii="宋体" w:hAnsi="宋体" w:eastAsia="宋体"/>
                <w:sz w:val="16"/>
              </w:rPr>
              <w:t>99.61%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3285F1">
            <w:pPr>
              <w:jc w:val="center"/>
            </w:pPr>
            <w:r>
              <w:rPr>
                <w:rFonts w:ascii="宋体" w:hAnsi="宋体" w:eastAsia="宋体"/>
                <w:sz w:val="16"/>
              </w:rPr>
              <w:t>9.96</w:t>
            </w:r>
          </w:p>
        </w:tc>
      </w:tr>
      <w:tr w14:paraId="0FC6330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7C16EF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C33DF4">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CE0CE0">
            <w:pPr>
              <w:jc w:val="center"/>
            </w:pPr>
            <w:r>
              <w:rPr>
                <w:rFonts w:ascii="宋体" w:hAnsi="宋体" w:eastAsia="宋体"/>
                <w:sz w:val="16"/>
              </w:rPr>
              <w:t>249.00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724A7D">
            <w:pPr>
              <w:jc w:val="center"/>
            </w:pPr>
            <w:r>
              <w:rPr>
                <w:rFonts w:ascii="宋体" w:hAnsi="宋体" w:eastAsia="宋体"/>
                <w:sz w:val="16"/>
              </w:rPr>
              <w:t>309.00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0A412A">
            <w:pPr>
              <w:jc w:val="center"/>
            </w:pPr>
            <w:r>
              <w:rPr>
                <w:rFonts w:ascii="宋体" w:hAnsi="宋体" w:eastAsia="宋体"/>
                <w:sz w:val="16"/>
              </w:rPr>
              <w:t>309.00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6F8E3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82086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6F561A">
            <w:pPr>
              <w:jc w:val="center"/>
            </w:pPr>
            <w:r>
              <w:rPr>
                <w:rFonts w:ascii="宋体" w:hAnsi="宋体" w:eastAsia="宋体"/>
                <w:sz w:val="16"/>
              </w:rPr>
              <w:t>-</w:t>
            </w:r>
          </w:p>
        </w:tc>
      </w:tr>
      <w:tr w14:paraId="4155988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E6E13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23EAD9">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4081C5">
            <w:pPr>
              <w:jc w:val="center"/>
            </w:pPr>
            <w:r>
              <w:rPr>
                <w:rFonts w:ascii="宋体" w:hAnsi="宋体" w:eastAsia="宋体"/>
                <w:sz w:val="16"/>
              </w:rPr>
              <w:t>1,159.94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691385">
            <w:pPr>
              <w:jc w:val="center"/>
            </w:pPr>
            <w:r>
              <w:rPr>
                <w:rFonts w:ascii="宋体" w:hAnsi="宋体" w:eastAsia="宋体"/>
                <w:sz w:val="16"/>
              </w:rPr>
              <w:t>1,134.92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CB8D87">
            <w:pPr>
              <w:jc w:val="center"/>
            </w:pPr>
            <w:r>
              <w:rPr>
                <w:rFonts w:ascii="宋体" w:hAnsi="宋体" w:eastAsia="宋体"/>
                <w:sz w:val="16"/>
              </w:rPr>
              <w:t>1,129.22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3EA23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57B01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D0646A">
            <w:pPr>
              <w:jc w:val="center"/>
            </w:pPr>
            <w:r>
              <w:rPr>
                <w:rFonts w:ascii="宋体" w:hAnsi="宋体" w:eastAsia="宋体"/>
                <w:sz w:val="16"/>
              </w:rPr>
              <w:t>-</w:t>
            </w:r>
          </w:p>
        </w:tc>
      </w:tr>
      <w:tr w14:paraId="2FE545A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D3AA32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59FCA1">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2B371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2985D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AB391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8BC44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6654F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9917C5">
            <w:pPr>
              <w:jc w:val="center"/>
            </w:pPr>
            <w:r>
              <w:rPr>
                <w:rFonts w:ascii="宋体" w:hAnsi="宋体" w:eastAsia="宋体"/>
                <w:sz w:val="16"/>
              </w:rPr>
              <w:t>-</w:t>
            </w:r>
          </w:p>
        </w:tc>
      </w:tr>
      <w:tr w14:paraId="31D5382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94F16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04EEDF">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EAAE66">
            <w:pPr>
              <w:jc w:val="center"/>
            </w:pPr>
            <w:r>
              <w:rPr>
                <w:rFonts w:ascii="宋体" w:hAnsi="宋体" w:eastAsia="宋体"/>
                <w:sz w:val="16"/>
              </w:rPr>
              <w:t>实际完成情况</w:t>
            </w:r>
          </w:p>
        </w:tc>
      </w:tr>
      <w:tr w14:paraId="5AF00A8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5E95B6"/>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F2F399">
            <w:pPr>
              <w:jc w:val="both"/>
            </w:pPr>
            <w:r>
              <w:rPr>
                <w:rFonts w:ascii="宋体" w:hAnsi="宋体" w:eastAsia="宋体"/>
                <w:sz w:val="16"/>
              </w:rPr>
              <w:t>按照“十四五”规划部署，紧紧围绕促进新疆社会稳定和长治久安的总目标，充分发挥法院的审判执行工作职能，全面提升审判执行工作质效，保障法院审判执行工作的顺利开展。全面提升法官队伍整体职业素养，打造忠诚担当爱岗敬业的法院队伍，保障维护案件审判执行的公平正义，提升法官队伍职业素养，推进司法体制改革进程。坚持司法为民,公正司法，为和硕经济社会发展提供坚强有力的司法服务和保障。保障我院依法审理刑事、民商事、执行各类案件。提高人民满意度，保障司法审判的各项工作顺利进行。</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44EBEF">
            <w:pPr>
              <w:jc w:val="both"/>
            </w:pPr>
            <w:r>
              <w:rPr>
                <w:rFonts w:ascii="宋体" w:hAnsi="宋体" w:eastAsia="宋体"/>
                <w:sz w:val="16"/>
              </w:rPr>
              <w:t>和硕县人民法院2024年继续深化落实案件质量，继续发挥科技法庭，网络直播法庭，远程执行查控等大数据和高科技设备的技术运用，收案2605件，案件调解数为1300件，庭审公开率达95%，法定审限期内结案率达到95%，增进法院可持续发展提升社会司法环境公平公正。坚持司法为民，公正司法，保护人民群众合法权益，提高了法院信息化整体应用水平，推进智慧法院项目实施，确保和硕法院信息化项目稳步推进。</w:t>
            </w:r>
          </w:p>
        </w:tc>
      </w:tr>
      <w:tr w14:paraId="64E3E27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7459B0">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941FFD">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FCD5E6">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B8F596">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EDC9FD">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C53E0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6A6679">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742133">
            <w:pPr>
              <w:jc w:val="center"/>
            </w:pPr>
            <w:r>
              <w:rPr>
                <w:rFonts w:ascii="宋体" w:hAnsi="宋体" w:eastAsia="宋体"/>
                <w:sz w:val="16"/>
              </w:rPr>
              <w:t>得分</w:t>
            </w:r>
          </w:p>
        </w:tc>
      </w:tr>
      <w:tr w14:paraId="4EE176C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950851">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80D4C5">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0C7145">
            <w:pPr>
              <w:jc w:val="center"/>
            </w:pPr>
            <w:r>
              <w:rPr>
                <w:rFonts w:ascii="宋体" w:hAnsi="宋体" w:eastAsia="宋体"/>
                <w:sz w:val="16"/>
              </w:rPr>
              <w:t>法院受案数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4F0BC6">
            <w:pPr>
              <w:jc w:val="center"/>
            </w:pPr>
            <w:r>
              <w:rPr>
                <w:rFonts w:ascii="宋体" w:hAnsi="宋体" w:eastAsia="宋体"/>
                <w:sz w:val="16"/>
              </w:rPr>
              <w:t>&gt;=2600件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918E76">
            <w:pPr>
              <w:jc w:val="center"/>
            </w:pPr>
            <w:r>
              <w:rPr>
                <w:rFonts w:ascii="宋体" w:hAnsi="宋体" w:eastAsia="宋体"/>
                <w:sz w:val="16"/>
              </w:rPr>
              <w:t>202</w:t>
            </w:r>
            <w:r>
              <w:rPr>
                <w:rFonts w:hint="eastAsia" w:ascii="宋体" w:hAnsi="宋体"/>
                <w:sz w:val="16"/>
                <w:lang w:val="en-US" w:eastAsia="zh-CN"/>
              </w:rPr>
              <w:t>4</w:t>
            </w:r>
            <w:r>
              <w:rPr>
                <w:rFonts w:ascii="宋体" w:hAnsi="宋体" w:eastAsia="宋体"/>
                <w:sz w:val="16"/>
              </w:rPr>
              <w:t>年和硕县法院工作报告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4EC4B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52E86E">
            <w:pPr>
              <w:jc w:val="center"/>
            </w:pPr>
            <w:r>
              <w:rPr>
                <w:rFonts w:ascii="宋体" w:hAnsi="宋体" w:eastAsia="宋体"/>
                <w:sz w:val="16"/>
              </w:rPr>
              <w:t>2605件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020802">
            <w:pPr>
              <w:jc w:val="center"/>
            </w:pPr>
            <w:r>
              <w:rPr>
                <w:rFonts w:ascii="宋体" w:hAnsi="宋体" w:eastAsia="宋体"/>
                <w:sz w:val="16"/>
              </w:rPr>
              <w:t>20</w:t>
            </w:r>
          </w:p>
        </w:tc>
      </w:tr>
      <w:tr w14:paraId="002A5BF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7C189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2AFCC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46D256">
            <w:pPr>
              <w:jc w:val="center"/>
            </w:pPr>
            <w:r>
              <w:rPr>
                <w:rFonts w:ascii="宋体" w:hAnsi="宋体" w:eastAsia="宋体"/>
                <w:sz w:val="16"/>
              </w:rPr>
              <w:t>案件调解数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A4D2C0">
            <w:pPr>
              <w:jc w:val="center"/>
            </w:pPr>
            <w:r>
              <w:rPr>
                <w:rFonts w:ascii="宋体" w:hAnsi="宋体" w:eastAsia="宋体"/>
                <w:sz w:val="16"/>
              </w:rPr>
              <w:t>&gt;=1300件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6D3A16">
            <w:pPr>
              <w:jc w:val="center"/>
            </w:pPr>
            <w:r>
              <w:rPr>
                <w:rFonts w:ascii="宋体" w:hAnsi="宋体" w:eastAsia="宋体"/>
                <w:sz w:val="16"/>
              </w:rPr>
              <w:t>202</w:t>
            </w:r>
            <w:r>
              <w:rPr>
                <w:rFonts w:hint="eastAsia" w:ascii="宋体" w:hAnsi="宋体"/>
                <w:sz w:val="16"/>
                <w:lang w:val="en-US" w:eastAsia="zh-CN"/>
              </w:rPr>
              <w:t>4</w:t>
            </w:r>
            <w:r>
              <w:rPr>
                <w:rFonts w:ascii="宋体" w:hAnsi="宋体" w:eastAsia="宋体"/>
                <w:sz w:val="16"/>
              </w:rPr>
              <w:t>年和硕县法院工作报告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CE305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D27FC8">
            <w:pPr>
              <w:jc w:val="center"/>
            </w:pPr>
            <w:r>
              <w:rPr>
                <w:rFonts w:ascii="宋体" w:hAnsi="宋体" w:eastAsia="宋体"/>
                <w:sz w:val="16"/>
              </w:rPr>
              <w:t>1300件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0BECC7">
            <w:pPr>
              <w:jc w:val="center"/>
            </w:pPr>
            <w:r>
              <w:rPr>
                <w:rFonts w:ascii="宋体" w:hAnsi="宋体" w:eastAsia="宋体"/>
                <w:sz w:val="16"/>
              </w:rPr>
              <w:t>20</w:t>
            </w:r>
          </w:p>
        </w:tc>
      </w:tr>
      <w:tr w14:paraId="0051DE6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2DE310"/>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E7896">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52924B">
            <w:pPr>
              <w:jc w:val="center"/>
            </w:pPr>
            <w:r>
              <w:rPr>
                <w:rFonts w:ascii="宋体" w:hAnsi="宋体" w:eastAsia="宋体"/>
                <w:sz w:val="16"/>
              </w:rPr>
              <w:t>庭审公开率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D1AB5B">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FE13B3">
            <w:pPr>
              <w:jc w:val="center"/>
            </w:pPr>
            <w:r>
              <w:rPr>
                <w:rFonts w:ascii="宋体" w:hAnsi="宋体" w:eastAsia="宋体"/>
                <w:sz w:val="16"/>
              </w:rPr>
              <w:t>202</w:t>
            </w:r>
            <w:r>
              <w:rPr>
                <w:rFonts w:hint="eastAsia" w:ascii="宋体" w:hAnsi="宋体"/>
                <w:sz w:val="16"/>
                <w:lang w:val="en-US" w:eastAsia="zh-CN"/>
              </w:rPr>
              <w:t>4</w:t>
            </w:r>
            <w:r>
              <w:rPr>
                <w:rFonts w:ascii="宋体" w:hAnsi="宋体" w:eastAsia="宋体"/>
                <w:sz w:val="16"/>
              </w:rPr>
              <w:t>年和硕县法院工作报告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5035E3">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494E65">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3BE4E8">
            <w:pPr>
              <w:jc w:val="center"/>
            </w:pPr>
            <w:r>
              <w:rPr>
                <w:rFonts w:ascii="宋体" w:hAnsi="宋体" w:eastAsia="宋体"/>
                <w:sz w:val="16"/>
              </w:rPr>
              <w:t>25</w:t>
            </w:r>
          </w:p>
        </w:tc>
      </w:tr>
      <w:tr w14:paraId="1485758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94901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6447E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73CBCD">
            <w:pPr>
              <w:jc w:val="center"/>
            </w:pPr>
            <w:r>
              <w:rPr>
                <w:rFonts w:ascii="宋体" w:hAnsi="宋体" w:eastAsia="宋体"/>
                <w:sz w:val="16"/>
              </w:rPr>
              <w:t>法定审限期内结案率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B0932C">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3628FB">
            <w:pPr>
              <w:jc w:val="center"/>
            </w:pPr>
            <w:r>
              <w:rPr>
                <w:rFonts w:ascii="宋体" w:hAnsi="宋体" w:eastAsia="宋体"/>
                <w:sz w:val="16"/>
              </w:rPr>
              <w:t>202</w:t>
            </w:r>
            <w:r>
              <w:rPr>
                <w:rFonts w:hint="eastAsia" w:ascii="宋体" w:hAnsi="宋体"/>
                <w:sz w:val="16"/>
                <w:lang w:val="en-US" w:eastAsia="zh-CN"/>
              </w:rPr>
              <w:t>4</w:t>
            </w:r>
            <w:r>
              <w:rPr>
                <w:rFonts w:ascii="宋体" w:hAnsi="宋体" w:eastAsia="宋体"/>
                <w:sz w:val="16"/>
              </w:rPr>
              <w:t>年和硕县法院工作报告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A91411">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D8636B">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91213A">
            <w:pPr>
              <w:jc w:val="center"/>
            </w:pPr>
            <w:r>
              <w:rPr>
                <w:rFonts w:ascii="宋体" w:hAnsi="宋体" w:eastAsia="宋体"/>
                <w:sz w:val="16"/>
              </w:rPr>
              <w:t>25</w:t>
            </w:r>
          </w:p>
        </w:tc>
      </w:tr>
    </w:tbl>
    <w:p w14:paraId="5B0EC2D1">
      <w:r>
        <w:br w:type="page"/>
      </w:r>
    </w:p>
    <w:p w14:paraId="72410E72">
      <w:pPr>
        <w:spacing w:line="640" w:lineRule="exact"/>
        <w:ind w:firstLine="640"/>
        <w:jc w:val="both"/>
        <w:outlineLvl w:val="2"/>
      </w:pPr>
      <w:r>
        <w:rPr>
          <w:rFonts w:ascii="黑体" w:hAnsi="黑体" w:eastAsia="黑体"/>
          <w:sz w:val="32"/>
        </w:rPr>
        <w:t>十二、其他需说明的事项</w:t>
      </w:r>
    </w:p>
    <w:p w14:paraId="693EDD2B">
      <w:pPr>
        <w:spacing w:line="580" w:lineRule="exact"/>
        <w:ind w:firstLine="640"/>
        <w:jc w:val="both"/>
      </w:pPr>
      <w:r>
        <w:rPr>
          <w:rFonts w:ascii="仿宋_GB2312" w:hAnsi="仿宋_GB2312" w:eastAsia="仿宋_GB2312"/>
          <w:b w:val="0"/>
          <w:sz w:val="32"/>
        </w:rPr>
        <w:t>本年本部门SM项目1个，全年预算数309.00万元，全年执行数309.00万元。</w:t>
      </w:r>
    </w:p>
    <w:p w14:paraId="7C59DBF5">
      <w:r>
        <w:br w:type="page"/>
      </w:r>
    </w:p>
    <w:p w14:paraId="74E8306B">
      <w:pPr>
        <w:spacing w:line="240" w:lineRule="auto"/>
        <w:jc w:val="center"/>
        <w:outlineLvl w:val="1"/>
      </w:pPr>
      <w:r>
        <w:rPr>
          <w:rFonts w:ascii="黑体" w:hAnsi="黑体" w:eastAsia="黑体"/>
          <w:sz w:val="32"/>
        </w:rPr>
        <w:t>第三部分 专业名词解释</w:t>
      </w:r>
    </w:p>
    <w:p w14:paraId="2D84709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9972B0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2F854F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4DD981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D5DAC7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C08C46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8DF584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DD3AF0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4967E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E703BD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DFCCC1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D7DBD4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A84F67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95A5FD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564DCE8">
      <w:r>
        <w:br w:type="page"/>
      </w:r>
    </w:p>
    <w:p w14:paraId="1E7749CC">
      <w:pPr>
        <w:spacing w:line="240" w:lineRule="auto"/>
        <w:jc w:val="center"/>
        <w:outlineLvl w:val="1"/>
      </w:pPr>
      <w:r>
        <w:rPr>
          <w:rFonts w:ascii="黑体" w:hAnsi="黑体" w:eastAsia="黑体"/>
          <w:sz w:val="32"/>
        </w:rPr>
        <w:t>第四部分 部门决算报表（见附表）</w:t>
      </w:r>
    </w:p>
    <w:p w14:paraId="56E22634">
      <w:pPr>
        <w:spacing w:line="240" w:lineRule="auto"/>
        <w:ind w:firstLine="640"/>
        <w:jc w:val="both"/>
      </w:pPr>
      <w:r>
        <w:rPr>
          <w:rFonts w:ascii="仿宋_GB2312" w:hAnsi="仿宋_GB2312" w:eastAsia="仿宋_GB2312"/>
          <w:b w:val="0"/>
          <w:sz w:val="32"/>
        </w:rPr>
        <w:t>一、《收入支出决算总表》</w:t>
      </w:r>
    </w:p>
    <w:p w14:paraId="207F9FC5">
      <w:pPr>
        <w:spacing w:line="240" w:lineRule="auto"/>
        <w:ind w:firstLine="640"/>
        <w:jc w:val="both"/>
      </w:pPr>
      <w:r>
        <w:rPr>
          <w:rFonts w:ascii="仿宋_GB2312" w:hAnsi="仿宋_GB2312" w:eastAsia="仿宋_GB2312"/>
          <w:b w:val="0"/>
          <w:sz w:val="32"/>
        </w:rPr>
        <w:t>二、《收入决算表》</w:t>
      </w:r>
    </w:p>
    <w:p w14:paraId="218D28B9">
      <w:pPr>
        <w:spacing w:line="240" w:lineRule="auto"/>
        <w:ind w:firstLine="640"/>
        <w:jc w:val="both"/>
      </w:pPr>
      <w:r>
        <w:rPr>
          <w:rFonts w:ascii="仿宋_GB2312" w:hAnsi="仿宋_GB2312" w:eastAsia="仿宋_GB2312"/>
          <w:b w:val="0"/>
          <w:sz w:val="32"/>
        </w:rPr>
        <w:t>三、《支出决算表》</w:t>
      </w:r>
    </w:p>
    <w:p w14:paraId="6EE8F357">
      <w:pPr>
        <w:spacing w:line="240" w:lineRule="auto"/>
        <w:ind w:firstLine="640"/>
        <w:jc w:val="both"/>
      </w:pPr>
      <w:r>
        <w:rPr>
          <w:rFonts w:ascii="仿宋_GB2312" w:hAnsi="仿宋_GB2312" w:eastAsia="仿宋_GB2312"/>
          <w:b w:val="0"/>
          <w:sz w:val="32"/>
        </w:rPr>
        <w:t>四、《财政拨款收入支出决算总表》</w:t>
      </w:r>
    </w:p>
    <w:p w14:paraId="26A5218E">
      <w:pPr>
        <w:spacing w:line="240" w:lineRule="auto"/>
        <w:ind w:firstLine="640"/>
        <w:jc w:val="both"/>
      </w:pPr>
      <w:r>
        <w:rPr>
          <w:rFonts w:ascii="仿宋_GB2312" w:hAnsi="仿宋_GB2312" w:eastAsia="仿宋_GB2312"/>
          <w:b w:val="0"/>
          <w:sz w:val="32"/>
        </w:rPr>
        <w:t>五、《一般公共预算财政拨款支出决算表》</w:t>
      </w:r>
    </w:p>
    <w:p w14:paraId="1E3AB17B">
      <w:pPr>
        <w:spacing w:line="240" w:lineRule="auto"/>
        <w:ind w:firstLine="640"/>
        <w:jc w:val="both"/>
      </w:pPr>
      <w:r>
        <w:rPr>
          <w:rFonts w:ascii="仿宋_GB2312" w:hAnsi="仿宋_GB2312" w:eastAsia="仿宋_GB2312"/>
          <w:b w:val="0"/>
          <w:sz w:val="32"/>
        </w:rPr>
        <w:t>六、《一般公共预算财政拨款基本支出决算表》</w:t>
      </w:r>
    </w:p>
    <w:p w14:paraId="6ADB0174">
      <w:pPr>
        <w:spacing w:line="240" w:lineRule="auto"/>
        <w:ind w:firstLine="640"/>
        <w:jc w:val="both"/>
      </w:pPr>
      <w:r>
        <w:rPr>
          <w:rFonts w:ascii="仿宋_GB2312" w:hAnsi="仿宋_GB2312" w:eastAsia="仿宋_GB2312"/>
          <w:b w:val="0"/>
          <w:sz w:val="32"/>
        </w:rPr>
        <w:t>七、《政府性基金预算财政拨款收入支出决算表》</w:t>
      </w:r>
    </w:p>
    <w:p w14:paraId="73D430C4">
      <w:pPr>
        <w:spacing w:line="240" w:lineRule="auto"/>
        <w:ind w:firstLine="640"/>
        <w:jc w:val="both"/>
      </w:pPr>
      <w:r>
        <w:rPr>
          <w:rFonts w:ascii="仿宋_GB2312" w:hAnsi="仿宋_GB2312" w:eastAsia="仿宋_GB2312"/>
          <w:b w:val="0"/>
          <w:sz w:val="32"/>
        </w:rPr>
        <w:t>八、《国有资本经营预算财政拨款收入支出决算表》</w:t>
      </w:r>
    </w:p>
    <w:p w14:paraId="15E4268A">
      <w:pPr>
        <w:spacing w:line="240" w:lineRule="auto"/>
        <w:ind w:firstLine="640"/>
        <w:jc w:val="both"/>
      </w:pPr>
      <w:r>
        <w:rPr>
          <w:rFonts w:ascii="仿宋_GB2312" w:hAnsi="仿宋_GB2312" w:eastAsia="仿宋_GB2312"/>
          <w:b w:val="0"/>
          <w:sz w:val="32"/>
        </w:rPr>
        <w:t>九、《财政拨款“三公”经费支出决算表》</w:t>
      </w:r>
    </w:p>
    <w:p w14:paraId="009A7630">
      <w:pPr>
        <w:spacing w:line="240" w:lineRule="auto"/>
        <w:ind w:firstLine="640"/>
        <w:jc w:val="both"/>
      </w:pPr>
    </w:p>
    <w:p w14:paraId="27ED90CF">
      <w:pPr>
        <w:spacing w:line="240" w:lineRule="auto"/>
        <w:ind w:firstLine="640"/>
        <w:jc w:val="both"/>
      </w:pPr>
    </w:p>
    <w:p w14:paraId="3E271373">
      <w:pPr>
        <w:spacing w:line="240" w:lineRule="auto"/>
        <w:ind w:firstLine="640"/>
        <w:jc w:val="both"/>
      </w:pPr>
    </w:p>
    <w:p w14:paraId="1BD150DC">
      <w:pPr>
        <w:spacing w:line="240" w:lineRule="auto"/>
        <w:ind w:firstLine="640"/>
        <w:jc w:val="both"/>
      </w:pPr>
    </w:p>
    <w:p w14:paraId="5E35647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EB079B4-83F1-460B-BB09-36E9AAAA310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DEAC2CB-ACF2-4770-AA2F-0371559AE3EA}"/>
  </w:font>
  <w:font w:name="仿宋_GB2312">
    <w:altName w:val="仿宋"/>
    <w:panose1 w:val="02010609030101010101"/>
    <w:charset w:val="86"/>
    <w:family w:val="modern"/>
    <w:pitch w:val="default"/>
    <w:sig w:usb0="00000000" w:usb1="00000000" w:usb2="00000000" w:usb3="00000000" w:csb0="00040000" w:csb1="00000000"/>
    <w:embedRegular r:id="rId3" w:fontKey="{A9AE9AA4-4A9C-4592-A399-B17DB050FD34}"/>
  </w:font>
  <w:font w:name="楷体_GB2312">
    <w:altName w:val="楷体"/>
    <w:panose1 w:val="00000000000000000000"/>
    <w:charset w:val="00"/>
    <w:family w:val="auto"/>
    <w:pitch w:val="default"/>
    <w:sig w:usb0="00000000" w:usb1="00000000" w:usb2="00000000" w:usb3="00000000" w:csb0="00000000" w:csb1="00000000"/>
    <w:embedRegular r:id="rId4" w:fontKey="{B242460B-CC9A-4027-9BF5-9D853652569D}"/>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F06782"/>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4756</Words>
  <Characters>5535</Characters>
  <Lines>0</Lines>
  <Paragraphs>0</Paragraphs>
  <TotalTime>1</TotalTime>
  <ScaleCrop>false</ScaleCrop>
  <LinksUpToDate>false</LinksUpToDate>
  <CharactersWithSpaces>5543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2025-09-10T11:24:38Z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