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新疆巴州博湖县人民法院2024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30F5091">
      <w:r>
        <w:br w:type="page"/>
      </w:r>
    </w:p>
    <w:p w14:paraId="4DEB70D6">
      <w:pPr>
        <w:spacing w:line="640" w:lineRule="exact"/>
        <w:jc w:val="center"/>
        <w:outlineLvl w:val="1"/>
      </w:pPr>
      <w:r>
        <w:rPr>
          <w:rFonts w:ascii="黑体" w:hAnsi="黑体" w:eastAsia="黑体"/>
          <w:sz w:val="32"/>
        </w:rPr>
        <w:t>第一部分 部门概况</w:t>
      </w:r>
    </w:p>
    <w:p w14:paraId="1BA321E7">
      <w:pPr>
        <w:spacing w:line="640" w:lineRule="exact"/>
        <w:ind w:firstLine="640"/>
        <w:jc w:val="both"/>
        <w:outlineLvl w:val="2"/>
      </w:pPr>
      <w:r>
        <w:rPr>
          <w:rFonts w:ascii="黑体" w:hAnsi="黑体" w:eastAsia="黑体"/>
          <w:sz w:val="32"/>
        </w:rPr>
        <w:t>一、主要职能</w:t>
      </w:r>
    </w:p>
    <w:p w14:paraId="5BEC7F77">
      <w:pPr>
        <w:spacing w:line="580" w:lineRule="exact"/>
        <w:ind w:firstLine="640"/>
        <w:jc w:val="both"/>
      </w:pPr>
      <w:r>
        <w:rPr>
          <w:rFonts w:ascii="仿宋_GB2312" w:hAnsi="仿宋_GB2312" w:eastAsia="仿宋_GB2312"/>
          <w:sz w:val="32"/>
        </w:rPr>
        <w:t>（一）审理法律规定由本院管辖、上级人民法院指定管辖的刑事、民商事和行政等第一审案件。</w:t>
      </w:r>
    </w:p>
    <w:p w14:paraId="4C73625A">
      <w:pPr>
        <w:spacing w:line="580" w:lineRule="exact"/>
        <w:ind w:firstLine="640"/>
        <w:jc w:val="both"/>
      </w:pPr>
      <w:r>
        <w:rPr>
          <w:rFonts w:ascii="仿宋_GB2312" w:hAnsi="仿宋_GB2312" w:eastAsia="仿宋_GB2312"/>
          <w:sz w:val="32"/>
        </w:rPr>
        <w:t>（二）依照法律监督程序，对符合法律规定需要再审的案件，裁定再审；审理上级人民法院指令再审的案件；审理发回重审的案件。</w:t>
      </w:r>
    </w:p>
    <w:p w14:paraId="492B8044">
      <w:pPr>
        <w:spacing w:line="580" w:lineRule="exact"/>
        <w:ind w:firstLine="640"/>
        <w:jc w:val="both"/>
      </w:pPr>
      <w:r>
        <w:rPr>
          <w:rFonts w:ascii="仿宋_GB2312" w:hAnsi="仿宋_GB2312" w:eastAsia="仿宋_GB2312"/>
          <w:sz w:val="32"/>
        </w:rPr>
        <w:t>（三）依法行使司法执行权和司法决定权，执行本院已经发生法律效力的判决、裁定、调解书及法律规定由人民法院执行的其他法律文书；执行其他法院委托执行的案件以及法律规定的由基层法院执行的案件。</w:t>
      </w:r>
    </w:p>
    <w:p w14:paraId="37E9E6EF">
      <w:pPr>
        <w:spacing w:line="580" w:lineRule="exact"/>
        <w:ind w:firstLine="640"/>
        <w:jc w:val="both"/>
      </w:pPr>
      <w:r>
        <w:rPr>
          <w:rFonts w:ascii="仿宋_GB2312" w:hAnsi="仿宋_GB2312" w:eastAsia="仿宋_GB2312"/>
          <w:sz w:val="32"/>
        </w:rPr>
        <w:t>（四）依法对应受理的民事、商事案件，组织当事人进行诉前调解，化解矛盾纠纷。</w:t>
      </w:r>
    </w:p>
    <w:p w14:paraId="711F7655">
      <w:pPr>
        <w:spacing w:line="580" w:lineRule="exact"/>
        <w:ind w:firstLine="640"/>
        <w:jc w:val="both"/>
      </w:pPr>
      <w:r>
        <w:rPr>
          <w:rFonts w:ascii="仿宋_GB2312" w:hAnsi="仿宋_GB2312" w:eastAsia="仿宋_GB2312"/>
          <w:sz w:val="32"/>
        </w:rPr>
        <w:t>（五）做好人大代表、政协委员联络工作，对当地人民代表大会及其常务委员会负责并报告工作。</w:t>
      </w:r>
    </w:p>
    <w:p w14:paraId="7EEC4201">
      <w:pPr>
        <w:spacing w:line="580" w:lineRule="exact"/>
        <w:ind w:firstLine="640"/>
        <w:jc w:val="both"/>
      </w:pPr>
      <w:r>
        <w:rPr>
          <w:rFonts w:ascii="仿宋_GB2312" w:hAnsi="仿宋_GB2312" w:eastAsia="仿宋_GB2312"/>
          <w:sz w:val="32"/>
        </w:rPr>
        <w:t>（六）完成上级法院和当地党委、人大交办的其他工作。</w:t>
      </w:r>
    </w:p>
    <w:p w14:paraId="07F82499">
      <w:pPr>
        <w:spacing w:line="580" w:lineRule="exact"/>
        <w:ind w:firstLine="640"/>
        <w:jc w:val="both"/>
      </w:pPr>
      <w:r>
        <w:rPr>
          <w:rFonts w:ascii="仿宋_GB2312" w:hAnsi="仿宋_GB2312" w:eastAsia="仿宋_GB2312"/>
          <w:sz w:val="32"/>
        </w:rPr>
        <w:t>（七）承办其他应由本院负责的工作。</w:t>
      </w:r>
    </w:p>
    <w:p w14:paraId="2BA270A5">
      <w:pPr>
        <w:spacing w:line="640" w:lineRule="exact"/>
        <w:ind w:firstLine="640"/>
        <w:jc w:val="both"/>
        <w:outlineLvl w:val="2"/>
      </w:pPr>
      <w:r>
        <w:rPr>
          <w:rFonts w:ascii="黑体" w:hAnsi="黑体" w:eastAsia="黑体"/>
          <w:sz w:val="32"/>
        </w:rPr>
        <w:t>二、机构设置及人员情况</w:t>
      </w:r>
    </w:p>
    <w:p w14:paraId="6C2BB69F">
      <w:pPr>
        <w:spacing w:line="580" w:lineRule="exact"/>
        <w:ind w:firstLine="640"/>
        <w:jc w:val="both"/>
      </w:pPr>
      <w:r>
        <w:rPr>
          <w:rFonts w:ascii="仿宋_GB2312" w:hAnsi="仿宋_GB2312" w:eastAsia="仿宋_GB2312"/>
          <w:sz w:val="32"/>
        </w:rPr>
        <w:t>新疆巴州博湖县人民法院2024年度，实有人数51人，其中：在职人员38人，减少1人；离休人员0人，增加0人；退休人员13人,增加0人。</w:t>
      </w:r>
    </w:p>
    <w:p w14:paraId="38831135">
      <w:pPr>
        <w:spacing w:line="580" w:lineRule="exact"/>
        <w:ind w:firstLine="640"/>
        <w:jc w:val="both"/>
      </w:pPr>
      <w:r>
        <w:rPr>
          <w:rFonts w:ascii="仿宋_GB2312" w:hAnsi="仿宋_GB2312" w:eastAsia="仿宋_GB2312"/>
          <w:sz w:val="32"/>
        </w:rPr>
        <w:t>新疆巴州博湖县人民法院无下属预算单位，下设5个科室，分别是：综合办公室、政治部、立案庭、综合审判庭、执行局。</w:t>
      </w:r>
    </w:p>
    <w:p w14:paraId="2915AF0A">
      <w:r>
        <w:br w:type="page"/>
      </w:r>
    </w:p>
    <w:p w14:paraId="36756A79">
      <w:pPr>
        <w:spacing w:line="240" w:lineRule="auto"/>
        <w:jc w:val="center"/>
        <w:outlineLvl w:val="1"/>
      </w:pPr>
      <w:r>
        <w:rPr>
          <w:rFonts w:ascii="黑体" w:hAnsi="黑体" w:eastAsia="黑体"/>
          <w:sz w:val="32"/>
        </w:rPr>
        <w:t>第二部分 部门决算情况说明</w:t>
      </w:r>
    </w:p>
    <w:p w14:paraId="1FB398EF">
      <w:pPr>
        <w:spacing w:line="640" w:lineRule="exact"/>
        <w:ind w:firstLine="640"/>
        <w:jc w:val="both"/>
        <w:outlineLvl w:val="2"/>
      </w:pPr>
      <w:r>
        <w:rPr>
          <w:rFonts w:ascii="黑体" w:hAnsi="黑体" w:eastAsia="黑体"/>
          <w:sz w:val="32"/>
        </w:rPr>
        <w:t>一、收入支出决算总体情况说明</w:t>
      </w:r>
    </w:p>
    <w:p w14:paraId="542689CF">
      <w:pPr>
        <w:spacing w:line="580" w:lineRule="exact"/>
        <w:ind w:firstLine="640"/>
        <w:jc w:val="both"/>
      </w:pPr>
      <w:r>
        <w:rPr>
          <w:rFonts w:ascii="仿宋_GB2312" w:hAnsi="仿宋_GB2312" w:eastAsia="仿宋_GB2312"/>
          <w:b/>
          <w:sz w:val="32"/>
        </w:rPr>
        <w:t>2024年度收入总计1,343.91万元，</w:t>
      </w:r>
      <w:r>
        <w:rPr>
          <w:rFonts w:ascii="仿宋_GB2312" w:hAnsi="仿宋_GB2312" w:eastAsia="仿宋_GB2312"/>
          <w:b w:val="0"/>
          <w:sz w:val="32"/>
        </w:rPr>
        <w:t>其中：本年收入合计1,343.91万元，使用非财政拨款结余（含专用结余）0.00万元，年初结转和结余0.00万元。</w:t>
      </w:r>
    </w:p>
    <w:p w14:paraId="608E877E">
      <w:pPr>
        <w:spacing w:line="580" w:lineRule="exact"/>
        <w:ind w:firstLine="640"/>
        <w:jc w:val="both"/>
      </w:pPr>
      <w:r>
        <w:rPr>
          <w:rFonts w:ascii="仿宋_GB2312" w:hAnsi="仿宋_GB2312" w:eastAsia="仿宋_GB2312"/>
          <w:b/>
          <w:sz w:val="32"/>
        </w:rPr>
        <w:t>2024年度支出总计1,343.91万元，</w:t>
      </w:r>
      <w:r>
        <w:rPr>
          <w:rFonts w:ascii="仿宋_GB2312" w:hAnsi="仿宋_GB2312" w:eastAsia="仿宋_GB2312"/>
          <w:b w:val="0"/>
          <w:sz w:val="32"/>
        </w:rPr>
        <w:t>其中：本年支出合计1,343.91万元，结余分配0.00万元，年末结转和结余0.00万元。</w:t>
      </w:r>
    </w:p>
    <w:p w14:paraId="5AC31930">
      <w:pPr>
        <w:spacing w:line="580" w:lineRule="exact"/>
        <w:ind w:firstLine="640"/>
        <w:jc w:val="both"/>
      </w:pPr>
      <w:r>
        <w:rPr>
          <w:rFonts w:ascii="仿宋_GB2312" w:hAnsi="仿宋_GB2312" w:eastAsia="仿宋_GB2312"/>
          <w:b w:val="0"/>
          <w:sz w:val="32"/>
        </w:rPr>
        <w:t>收入支出总体与上年相比，增加175.56万元，增长15.03%，主要原因是：本年在职人员工资调增，社保、公积金基数调增，人员经费增加；本年增加为民办实事工作队经费（博湖县人民法院）、法院业务经费。</w:t>
      </w:r>
    </w:p>
    <w:p w14:paraId="39C54448">
      <w:pPr>
        <w:spacing w:line="640" w:lineRule="exact"/>
        <w:ind w:firstLine="640"/>
        <w:jc w:val="both"/>
        <w:outlineLvl w:val="2"/>
      </w:pPr>
      <w:r>
        <w:rPr>
          <w:rFonts w:ascii="黑体" w:hAnsi="黑体" w:eastAsia="黑体"/>
          <w:sz w:val="32"/>
        </w:rPr>
        <w:t>二、收入决算情况说明</w:t>
      </w:r>
    </w:p>
    <w:p w14:paraId="3AE7195A">
      <w:pPr>
        <w:spacing w:line="580" w:lineRule="exact"/>
        <w:ind w:firstLine="640"/>
        <w:jc w:val="both"/>
      </w:pPr>
      <w:r>
        <w:rPr>
          <w:rFonts w:ascii="仿宋_GB2312" w:hAnsi="仿宋_GB2312" w:eastAsia="仿宋_GB2312"/>
          <w:b/>
          <w:sz w:val="32"/>
        </w:rPr>
        <w:t>本年收入1,343.91万元，</w:t>
      </w:r>
      <w:r>
        <w:rPr>
          <w:rFonts w:ascii="仿宋_GB2312" w:hAnsi="仿宋_GB2312" w:eastAsia="仿宋_GB2312"/>
          <w:b w:val="0"/>
          <w:sz w:val="32"/>
        </w:rPr>
        <w:t>其中：财政拨款收入1,343.91万元，占100.00%；上级补助收入0.00万元，占0.00%；事业收入0.00万元，占0.00%；经营收入0.00万元，占0.00%；附属单位上缴收入0.00万元，占0.00%；其他收入0.00万元，占0.00%。</w:t>
      </w:r>
    </w:p>
    <w:p w14:paraId="05EBEE40">
      <w:pPr>
        <w:spacing w:line="640" w:lineRule="exact"/>
        <w:ind w:firstLine="640"/>
        <w:jc w:val="both"/>
        <w:outlineLvl w:val="2"/>
      </w:pPr>
      <w:r>
        <w:rPr>
          <w:rFonts w:ascii="黑体" w:hAnsi="黑体" w:eastAsia="黑体"/>
          <w:sz w:val="32"/>
        </w:rPr>
        <w:t>三、支出决算情况说明</w:t>
      </w:r>
    </w:p>
    <w:p w14:paraId="0AFEABDD">
      <w:pPr>
        <w:spacing w:line="580" w:lineRule="exact"/>
        <w:ind w:firstLine="640"/>
        <w:jc w:val="both"/>
      </w:pPr>
      <w:r>
        <w:rPr>
          <w:rFonts w:ascii="仿宋_GB2312" w:hAnsi="仿宋_GB2312" w:eastAsia="仿宋_GB2312"/>
          <w:b/>
          <w:sz w:val="32"/>
        </w:rPr>
        <w:t>本年支出1,343.91万元，</w:t>
      </w:r>
      <w:r>
        <w:rPr>
          <w:rFonts w:ascii="仿宋_GB2312" w:hAnsi="仿宋_GB2312" w:eastAsia="仿宋_GB2312"/>
          <w:b w:val="0"/>
          <w:sz w:val="32"/>
        </w:rPr>
        <w:t>其中：基本支出999.91万元，占74.40%；项目支出344.00万元，占25.60%；上缴上级支出0.00万元，占0.00%；经营支出0.00万元，占0.00%；对附属单位补助支出0.00万元，占0.00%。</w:t>
      </w:r>
    </w:p>
    <w:p w14:paraId="097308A4">
      <w:pPr>
        <w:spacing w:line="640" w:lineRule="exact"/>
        <w:ind w:firstLine="640"/>
        <w:jc w:val="both"/>
        <w:outlineLvl w:val="2"/>
      </w:pPr>
      <w:r>
        <w:rPr>
          <w:rFonts w:ascii="黑体" w:hAnsi="黑体" w:eastAsia="黑体"/>
          <w:sz w:val="32"/>
        </w:rPr>
        <w:t>四、财政拨款收入支出决算总体情况说明</w:t>
      </w:r>
    </w:p>
    <w:p w14:paraId="11A146C2">
      <w:pPr>
        <w:spacing w:line="580" w:lineRule="exact"/>
        <w:ind w:firstLine="640"/>
        <w:jc w:val="both"/>
      </w:pPr>
      <w:r>
        <w:rPr>
          <w:rFonts w:ascii="仿宋_GB2312" w:hAnsi="仿宋_GB2312" w:eastAsia="仿宋_GB2312"/>
          <w:b/>
          <w:sz w:val="32"/>
        </w:rPr>
        <w:t>2024年度财政拨款收入总计1,343.91万元，</w:t>
      </w:r>
      <w:r>
        <w:rPr>
          <w:rFonts w:ascii="仿宋_GB2312" w:hAnsi="仿宋_GB2312" w:eastAsia="仿宋_GB2312"/>
          <w:b w:val="0"/>
          <w:sz w:val="32"/>
        </w:rPr>
        <w:t>其中：年初财政拨款结转和结余0.00万元，本年财政拨款收入1,343.91万元。</w:t>
      </w:r>
      <w:r>
        <w:rPr>
          <w:rFonts w:ascii="仿宋_GB2312" w:hAnsi="仿宋_GB2312" w:eastAsia="仿宋_GB2312"/>
          <w:b/>
          <w:sz w:val="32"/>
        </w:rPr>
        <w:t>财政拨款支出总计1,343.91万元，</w:t>
      </w:r>
      <w:r>
        <w:rPr>
          <w:rFonts w:ascii="仿宋_GB2312" w:hAnsi="仿宋_GB2312" w:eastAsia="仿宋_GB2312"/>
          <w:b w:val="0"/>
          <w:sz w:val="32"/>
        </w:rPr>
        <w:t>其中：年末财政拨款结转和结余0.00万元，本年财政拨款支出1,343.91万元。</w:t>
      </w:r>
    </w:p>
    <w:p w14:paraId="54D4B1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增加175.56万元，增长15.03%，主要原因是：本年在职人员工资调增，社保、公积金基数调增，人员经费增加；本年增加为民办实事工作队经费（博湖县人民法院）、法院业务经费。</w:t>
      </w:r>
      <w:r>
        <w:rPr>
          <w:rFonts w:ascii="仿宋_GB2312" w:hAnsi="仿宋_GB2312" w:eastAsia="仿宋_GB2312"/>
          <w:b/>
          <w:sz w:val="32"/>
        </w:rPr>
        <w:t>与年初预算相比，</w:t>
      </w:r>
      <w:r>
        <w:rPr>
          <w:rFonts w:ascii="仿宋_GB2312" w:hAnsi="仿宋_GB2312" w:eastAsia="仿宋_GB2312"/>
          <w:b w:val="0"/>
          <w:sz w:val="32"/>
        </w:rPr>
        <w:t>年初预算数1,216.64万元，决算数1,343.91万元，预决算差异率10.46%，主要原因是：年中追加人员工资、社保、公积金基数调增部分资金，导致预决算存在差异。</w:t>
      </w:r>
    </w:p>
    <w:p w14:paraId="2CB05725">
      <w:pPr>
        <w:spacing w:line="640" w:lineRule="exact"/>
        <w:ind w:firstLine="640"/>
        <w:jc w:val="both"/>
        <w:outlineLvl w:val="2"/>
      </w:pPr>
      <w:r>
        <w:rPr>
          <w:rFonts w:ascii="黑体" w:hAnsi="黑体" w:eastAsia="黑体"/>
          <w:sz w:val="32"/>
        </w:rPr>
        <w:t>五、一般公共预算财政拨款支出决算情况说明</w:t>
      </w:r>
    </w:p>
    <w:p w14:paraId="21442B81">
      <w:pPr>
        <w:spacing w:line="640" w:lineRule="exact"/>
        <w:ind w:firstLine="640"/>
        <w:jc w:val="both"/>
        <w:outlineLvl w:val="3"/>
      </w:pPr>
      <w:r>
        <w:rPr>
          <w:rFonts w:ascii="楷体_GB2312" w:hAnsi="楷体_GB2312" w:eastAsia="楷体_GB2312"/>
          <w:b/>
          <w:sz w:val="32"/>
        </w:rPr>
        <w:t>（一）一般公共预算财政拨款支出决算总体情况</w:t>
      </w:r>
    </w:p>
    <w:p w14:paraId="24391CF4">
      <w:pPr>
        <w:spacing w:line="580" w:lineRule="exact"/>
        <w:ind w:firstLine="640"/>
        <w:jc w:val="both"/>
      </w:pPr>
      <w:r>
        <w:rPr>
          <w:rFonts w:ascii="仿宋_GB2312" w:hAnsi="仿宋_GB2312" w:eastAsia="仿宋_GB2312"/>
          <w:b/>
          <w:sz w:val="32"/>
        </w:rPr>
        <w:t>2024年度一般公共预算财政拨款支出1,343.91万元，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增加175.56万元，增长15.03%，主要原因是：本年在职人员工资调增，社保、公积金基数调增，人员经费增加；本年增加为民办实事工作队经费（博湖县人民法院）、法院业务经费。</w:t>
      </w:r>
      <w:r>
        <w:rPr>
          <w:rFonts w:ascii="仿宋_GB2312" w:hAnsi="仿宋_GB2312" w:eastAsia="仿宋_GB2312"/>
          <w:b/>
          <w:sz w:val="32"/>
        </w:rPr>
        <w:t>与年初预算相比,</w:t>
      </w:r>
      <w:r>
        <w:rPr>
          <w:rFonts w:ascii="仿宋_GB2312" w:hAnsi="仿宋_GB2312" w:eastAsia="仿宋_GB2312"/>
          <w:b w:val="0"/>
          <w:sz w:val="32"/>
        </w:rPr>
        <w:t>年初预算数1,216.64万元，决算数1,343.91万元，预决算差异率10.46%，主要原因是：年中追加人员工资、社保、公积金基数调增部分资金，导致预决算存在差异。</w:t>
      </w:r>
    </w:p>
    <w:p w14:paraId="73249828">
      <w:pPr>
        <w:spacing w:line="640" w:lineRule="exact"/>
        <w:ind w:firstLine="640"/>
        <w:jc w:val="both"/>
        <w:outlineLvl w:val="3"/>
      </w:pPr>
      <w:r>
        <w:rPr>
          <w:rFonts w:ascii="楷体_GB2312" w:hAnsi="楷体_GB2312" w:eastAsia="楷体_GB2312"/>
          <w:b/>
          <w:sz w:val="32"/>
        </w:rPr>
        <w:t>（二）一般公共预算财政拨款支出决算结构情况</w:t>
      </w:r>
    </w:p>
    <w:p w14:paraId="456F6BEE">
      <w:pPr>
        <w:spacing w:line="580" w:lineRule="exact"/>
        <w:ind w:firstLine="640"/>
        <w:jc w:val="both"/>
      </w:pPr>
      <w:r>
        <w:rPr>
          <w:rFonts w:ascii="仿宋_GB2312" w:hAnsi="仿宋_GB2312" w:eastAsia="仿宋_GB2312"/>
          <w:b w:val="0"/>
          <w:sz w:val="32"/>
        </w:rPr>
        <w:t>1.公共安全支出(类)1106.8万元,占82.36%。</w:t>
      </w:r>
    </w:p>
    <w:p w14:paraId="27C9CDBD">
      <w:pPr>
        <w:spacing w:line="580" w:lineRule="exact"/>
        <w:ind w:firstLine="640"/>
        <w:jc w:val="both"/>
      </w:pPr>
      <w:r>
        <w:rPr>
          <w:rFonts w:ascii="仿宋_GB2312" w:hAnsi="仿宋_GB2312" w:eastAsia="仿宋_GB2312"/>
          <w:b w:val="0"/>
          <w:sz w:val="32"/>
        </w:rPr>
        <w:t>2.教育支出(类)1.88万元,占0.14%。</w:t>
      </w:r>
    </w:p>
    <w:p w14:paraId="0FB0CA67">
      <w:pPr>
        <w:spacing w:line="580" w:lineRule="exact"/>
        <w:ind w:firstLine="640"/>
        <w:jc w:val="both"/>
      </w:pPr>
      <w:r>
        <w:rPr>
          <w:rFonts w:ascii="仿宋_GB2312" w:hAnsi="仿宋_GB2312" w:eastAsia="仿宋_GB2312"/>
          <w:b w:val="0"/>
          <w:sz w:val="32"/>
        </w:rPr>
        <w:t>3.社会保障和就业支出(类)130.43万元,占9.71%。</w:t>
      </w:r>
    </w:p>
    <w:p w14:paraId="630683A2">
      <w:pPr>
        <w:spacing w:line="580" w:lineRule="exact"/>
        <w:ind w:firstLine="640"/>
        <w:jc w:val="both"/>
      </w:pPr>
      <w:r>
        <w:rPr>
          <w:rFonts w:ascii="仿宋_GB2312" w:hAnsi="仿宋_GB2312" w:eastAsia="仿宋_GB2312"/>
          <w:b w:val="0"/>
          <w:sz w:val="32"/>
        </w:rPr>
        <w:t>4.卫生健康支出(类)41.45万元,占3.08%。</w:t>
      </w:r>
    </w:p>
    <w:p w14:paraId="5B42EA08">
      <w:pPr>
        <w:spacing w:line="580" w:lineRule="exact"/>
        <w:ind w:firstLine="640"/>
        <w:jc w:val="both"/>
      </w:pPr>
      <w:r>
        <w:rPr>
          <w:rFonts w:ascii="仿宋_GB2312" w:hAnsi="仿宋_GB2312" w:eastAsia="仿宋_GB2312"/>
          <w:b w:val="0"/>
          <w:sz w:val="32"/>
        </w:rPr>
        <w:t>5.住房保障支出(类)63.35万元,占4.71%。</w:t>
      </w:r>
    </w:p>
    <w:p w14:paraId="620C8760">
      <w:pPr>
        <w:spacing w:line="640" w:lineRule="exact"/>
        <w:ind w:firstLine="640"/>
        <w:jc w:val="both"/>
        <w:outlineLvl w:val="3"/>
      </w:pPr>
      <w:r>
        <w:rPr>
          <w:rFonts w:ascii="楷体_GB2312" w:hAnsi="楷体_GB2312" w:eastAsia="楷体_GB2312"/>
          <w:b/>
          <w:sz w:val="32"/>
        </w:rPr>
        <w:t>（三）一般公共预算财政拨款支出决算具体情况</w:t>
      </w:r>
    </w:p>
    <w:p w14:paraId="4AC5A819">
      <w:pPr>
        <w:spacing w:line="580" w:lineRule="exact"/>
        <w:ind w:firstLine="640"/>
        <w:jc w:val="both"/>
      </w:pPr>
      <w:r>
        <w:rPr>
          <w:rFonts w:ascii="仿宋_GB2312" w:hAnsi="仿宋_GB2312" w:eastAsia="仿宋_GB2312"/>
          <w:b w:val="0"/>
          <w:sz w:val="32"/>
        </w:rPr>
        <w:t>1.公共安全支出(类)法院(款)行政运行(项):支出决算数为757.93万元，比上年决算增加72.09万元，增长10.51%,主要原因是：本年在职人员工资调增，导致相关人员经费较上年有所增加；本年增加同工同酬事业岗书记员工资。</w:t>
      </w:r>
    </w:p>
    <w:p w14:paraId="0A127A4C">
      <w:pPr>
        <w:spacing w:line="580" w:lineRule="exact"/>
        <w:ind w:firstLine="640"/>
        <w:jc w:val="both"/>
      </w:pPr>
      <w:r>
        <w:rPr>
          <w:rFonts w:ascii="仿宋_GB2312" w:hAnsi="仿宋_GB2312" w:eastAsia="仿宋_GB2312"/>
          <w:b w:val="0"/>
          <w:sz w:val="32"/>
        </w:rPr>
        <w:t>2.公共安全支出(类)法院(款)一般行政管理事务(项):支出决算数为15万元，比上年决算增加8.00万元，增长114.29%,主要原因是：本年增加为民办实事工作队经费（博湖县人民法院）。</w:t>
      </w:r>
    </w:p>
    <w:p w14:paraId="5DB0158C">
      <w:pPr>
        <w:spacing w:line="580" w:lineRule="exact"/>
        <w:ind w:firstLine="640"/>
        <w:jc w:val="both"/>
      </w:pPr>
      <w:r>
        <w:rPr>
          <w:rFonts w:ascii="仿宋_GB2312" w:hAnsi="仿宋_GB2312" w:eastAsia="仿宋_GB2312"/>
          <w:b w:val="0"/>
          <w:sz w:val="32"/>
        </w:rPr>
        <w:t>3.公共安全支出(类)法院(款)事业运行(项):支出决算数为4.87万元，比上年决算增加4.87万元，增长100.00%,主要原因是：本年在职人员工资调增，导致相关人员经费较上年有所增加。</w:t>
      </w:r>
    </w:p>
    <w:p w14:paraId="61A0655C">
      <w:pPr>
        <w:spacing w:line="580" w:lineRule="exact"/>
        <w:ind w:firstLine="640"/>
        <w:jc w:val="both"/>
      </w:pPr>
      <w:r>
        <w:rPr>
          <w:rFonts w:ascii="仿宋_GB2312" w:hAnsi="仿宋_GB2312" w:eastAsia="仿宋_GB2312"/>
          <w:b w:val="0"/>
          <w:sz w:val="32"/>
        </w:rPr>
        <w:t>4.公共安全支出(类)法院(款)其他法院支出(项):支出决算数为329万元，比上年决算增加9.67万元，增长3.03%,主要原因是：本年增加法院业务经费。</w:t>
      </w:r>
    </w:p>
    <w:p w14:paraId="6FF56328">
      <w:pPr>
        <w:spacing w:line="580" w:lineRule="exact"/>
        <w:ind w:firstLine="640"/>
        <w:jc w:val="both"/>
      </w:pPr>
      <w:r>
        <w:rPr>
          <w:rFonts w:ascii="仿宋_GB2312" w:hAnsi="仿宋_GB2312" w:eastAsia="仿宋_GB2312"/>
          <w:b w:val="0"/>
          <w:sz w:val="32"/>
        </w:rPr>
        <w:t>5.教育支出(类)进修及培训(款)培训支出(项):支出决算数为1.88万元，比上年决算增加0.00万元，增长0.00%,主要原因是：本年培训经费与上年一致，无变化。</w:t>
      </w:r>
    </w:p>
    <w:p w14:paraId="6D6E7AB4">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6.社会保障和就业支出(类)行政事业单位养老支出(款)行政单位离退休(项):支出决算数为10.48万元，比上年决算增加2.69万元，增长34.53%,主要原因是：本年增加退休人员基础绩效奖，退休费支出增加。</w:t>
      </w:r>
    </w:p>
    <w:p w14:paraId="36DDAD61">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64.81万元，比上年决算增加4.13万元，增长6.81%,主要原因是：本年在职人员工资基数调增，养老缴费基数上涨，相应支出增加。</w:t>
      </w:r>
    </w:p>
    <w:p w14:paraId="0AA6C216">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8.社会保障和就业支出(类)行政事业单位养老支出(款)机关事业单位职业年金缴费支出(项):支出决算数为8.24万元，比上年决算增加8.24万元，增长100.00%,主要原因是：本年新增调出人员，职业年金缴费支出增加。</w:t>
      </w:r>
    </w:p>
    <w:p w14:paraId="62902A58">
      <w:pPr>
        <w:spacing w:line="580" w:lineRule="exact"/>
        <w:ind w:firstLine="640"/>
        <w:jc w:val="both"/>
      </w:pPr>
      <w:r>
        <w:rPr>
          <w:rFonts w:ascii="仿宋_GB2312" w:hAnsi="仿宋_GB2312" w:eastAsia="仿宋_GB2312"/>
          <w:b w:val="0"/>
          <w:sz w:val="32"/>
        </w:rPr>
        <w:t>9.社会保障和就业支出(类)抚恤(款)死亡抚恤(项):支出决算数为46.9万元，比上年决算增加46.90万元，增长100.00%,主要原因是：本年发放上年度的死亡人员抚恤金，导致死亡抚恤支出增加。</w:t>
      </w:r>
    </w:p>
    <w:p w14:paraId="0AB332E5">
      <w:pPr>
        <w:spacing w:line="580" w:lineRule="exact"/>
        <w:ind w:firstLine="640"/>
        <w:jc w:val="both"/>
      </w:pPr>
      <w:r>
        <w:rPr>
          <w:rFonts w:ascii="仿宋_GB2312" w:hAnsi="仿宋_GB2312" w:eastAsia="仿宋_GB2312"/>
          <w:b w:val="0"/>
          <w:sz w:val="32"/>
        </w:rPr>
        <w:t>10.卫生健康支出(类)行政事业单位医疗(款)行政单位医疗(项):支出决算数为28.02万元，比上年决算增加1.52万元，增长5.74%,主要原因是：本年在职人员工资基数调增，医疗缴费基数上涨，相应支出增加。</w:t>
      </w:r>
    </w:p>
    <w:p w14:paraId="43976128">
      <w:pPr>
        <w:spacing w:line="580" w:lineRule="exact"/>
        <w:ind w:firstLine="640"/>
        <w:jc w:val="both"/>
      </w:pPr>
      <w:r>
        <w:rPr>
          <w:rFonts w:ascii="仿宋_GB2312" w:hAnsi="仿宋_GB2312" w:eastAsia="仿宋_GB2312"/>
          <w:b w:val="0"/>
          <w:sz w:val="32"/>
        </w:rPr>
        <w:t>11.卫生健康支出(类)行政事业单位医疗(款)事业单位医疗(项):支出决算数为0.34万元，比上年决算增加0.34万元，增长100.00%,主要原因是：本年功能科目调整，事业单位医疗支出上年度在行政单位医疗科目列支，本年单独列支，导致经费较上年增加。</w:t>
      </w:r>
    </w:p>
    <w:p w14:paraId="2BE321D4">
      <w:pPr>
        <w:spacing w:line="580" w:lineRule="exact"/>
        <w:ind w:firstLine="640"/>
        <w:jc w:val="both"/>
      </w:pPr>
      <w:r>
        <w:rPr>
          <w:rFonts w:ascii="仿宋_GB2312" w:hAnsi="仿宋_GB2312" w:eastAsia="仿宋_GB2312"/>
          <w:b w:val="0"/>
          <w:sz w:val="32"/>
        </w:rPr>
        <w:t>12.卫生健康支出(类)行政事业单位医疗(款)公务员医疗补助(项):支出决算数为12.01万元，比上年决算增加1.71万元，增长16.60%,主要原因是：本年在职人员工资基数调增，医疗缴费基数上涨，相应支出增加。</w:t>
      </w:r>
    </w:p>
    <w:p w14:paraId="06ADA48A">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13.卫生健康支出(类)行政事业单位医疗(款)其他行政事业单位医疗支出(项):支出决算数为1.09万元，比上年决算减少0.11万元，下降9.17%,主要原因是：本年在职人员减少，其他行政事业单位医疗支出较上年减少。</w:t>
      </w:r>
    </w:p>
    <w:p w14:paraId="08E078BB">
      <w:pPr>
        <w:spacing w:line="580" w:lineRule="exact"/>
        <w:ind w:firstLine="640"/>
        <w:jc w:val="both"/>
      </w:pPr>
      <w:r>
        <w:rPr>
          <w:rFonts w:ascii="仿宋_GB2312" w:hAnsi="仿宋_GB2312" w:eastAsia="仿宋_GB2312"/>
          <w:b w:val="0"/>
          <w:sz w:val="32"/>
        </w:rPr>
        <w:t>14.住房保障支出(类)住房改革支出(款)住房公积金(项):支出决算数为63.35万元，比上年决算增加15.51万元，增长32.42%,主要原因是：本年在职人员工资基数调增，公积金缴费基数上涨，相应支出增加。</w:t>
      </w:r>
    </w:p>
    <w:p w14:paraId="32B8EF05">
      <w:pPr>
        <w:spacing w:line="640" w:lineRule="exact"/>
        <w:ind w:firstLine="640"/>
        <w:jc w:val="both"/>
        <w:outlineLvl w:val="2"/>
      </w:pPr>
      <w:r>
        <w:rPr>
          <w:rFonts w:ascii="黑体" w:hAnsi="黑体" w:eastAsia="黑体"/>
          <w:sz w:val="32"/>
        </w:rPr>
        <w:t>六、一般公共预算财政拨款基本支出决算情况说明</w:t>
      </w:r>
    </w:p>
    <w:p w14:paraId="4F35CD7A">
      <w:pPr>
        <w:spacing w:line="580" w:lineRule="exact"/>
        <w:ind w:firstLine="640"/>
        <w:jc w:val="both"/>
      </w:pPr>
      <w:r>
        <w:rPr>
          <w:rFonts w:ascii="仿宋_GB2312" w:hAnsi="仿宋_GB2312" w:eastAsia="仿宋_GB2312"/>
          <w:b w:val="0"/>
          <w:sz w:val="32"/>
        </w:rPr>
        <w:t>2024年度一般公共预算财政拨款基本支出999.91万元，其中：</w:t>
      </w:r>
      <w:r>
        <w:rPr>
          <w:rFonts w:ascii="仿宋_GB2312" w:hAnsi="仿宋_GB2312" w:eastAsia="仿宋_GB2312"/>
          <w:b/>
          <w:sz w:val="32"/>
        </w:rPr>
        <w:t>人员经费920.39万元，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奖励金。</w:t>
      </w:r>
    </w:p>
    <w:p w14:paraId="7AA9DE72">
      <w:pPr>
        <w:spacing w:line="580" w:lineRule="exact"/>
        <w:ind w:firstLine="640"/>
        <w:jc w:val="both"/>
      </w:pPr>
      <w:r>
        <w:rPr>
          <w:rFonts w:ascii="仿宋_GB2312" w:hAnsi="仿宋_GB2312" w:eastAsia="仿宋_GB2312"/>
          <w:b/>
          <w:sz w:val="32"/>
        </w:rPr>
        <w:t>公用经费79.52万元，</w:t>
      </w:r>
      <w:r>
        <w:rPr>
          <w:rFonts w:ascii="仿宋_GB2312" w:hAnsi="仿宋_GB2312" w:eastAsia="仿宋_GB2312"/>
          <w:b w:val="0"/>
          <w:sz w:val="32"/>
        </w:rPr>
        <w:t>包括：办公费、水费、电费、取暖费、差旅费、维修（护）费、培训费、劳务费、工会经费、公务用车运行维护费、其他商品和服务支出。</w:t>
      </w:r>
    </w:p>
    <w:p w14:paraId="5DDD52A5">
      <w:pPr>
        <w:spacing w:line="640" w:lineRule="exact"/>
        <w:ind w:firstLine="640"/>
        <w:jc w:val="both"/>
        <w:outlineLvl w:val="2"/>
      </w:pPr>
      <w:r>
        <w:rPr>
          <w:rFonts w:ascii="黑体" w:hAnsi="黑体" w:eastAsia="黑体"/>
          <w:sz w:val="32"/>
        </w:rPr>
        <w:t>七、政府性基金预算财政拨款收入支出决算情况说明</w:t>
      </w:r>
    </w:p>
    <w:p w14:paraId="27EFB665">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B96A919">
      <w:pPr>
        <w:spacing w:line="640" w:lineRule="exact"/>
        <w:ind w:firstLine="640"/>
        <w:jc w:val="both"/>
        <w:outlineLvl w:val="2"/>
      </w:pPr>
      <w:r>
        <w:rPr>
          <w:rFonts w:ascii="黑体" w:hAnsi="黑体" w:eastAsia="黑体"/>
          <w:sz w:val="32"/>
        </w:rPr>
        <w:t>八、国有资本经营预算财政拨款收入支出决算情况说明</w:t>
      </w:r>
    </w:p>
    <w:p w14:paraId="62B9221B">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58EB18DB">
      <w:pPr>
        <w:spacing w:line="640" w:lineRule="exact"/>
        <w:ind w:firstLine="640"/>
        <w:jc w:val="both"/>
        <w:outlineLvl w:val="2"/>
      </w:pPr>
      <w:r>
        <w:rPr>
          <w:rFonts w:ascii="黑体" w:hAnsi="黑体" w:eastAsia="黑体"/>
          <w:sz w:val="32"/>
        </w:rPr>
        <w:t>九、财政拨款“三公”经费支出决算情况说明</w:t>
      </w:r>
    </w:p>
    <w:p w14:paraId="50A99C35">
      <w:pPr>
        <w:spacing w:line="580" w:lineRule="exact"/>
        <w:ind w:firstLine="640"/>
        <w:jc w:val="both"/>
      </w:pPr>
      <w:r>
        <w:rPr>
          <w:rFonts w:ascii="仿宋_GB2312" w:hAnsi="仿宋_GB2312" w:eastAsia="仿宋_GB2312"/>
          <w:b/>
          <w:sz w:val="32"/>
        </w:rPr>
        <w:t>2024年度财政拨款“三公”经费支出17.02万元，</w:t>
      </w:r>
      <w:r>
        <w:rPr>
          <w:rFonts w:ascii="仿宋_GB2312" w:hAnsi="仿宋_GB2312" w:eastAsia="仿宋_GB2312"/>
          <w:b w:val="0"/>
          <w:sz w:val="32"/>
        </w:rPr>
        <w:t>比上年减少4.18万元，下降19.72%，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17.02万元，占100.00%，比上年减少3.61万元，下降17.50%，主要原因是：严格落实中央八项规定精神，厉行节约，减少公务用车运行维护费。公务接待费支出0.00万元，占0.00%，比上年减少0.57万元，下降100.00%，主要原因是：采取有效措施加强公务接待管理，严格控制公务接待活动，认真执行经费开支标准。</w:t>
      </w:r>
    </w:p>
    <w:p w14:paraId="4D0479A8">
      <w:pPr>
        <w:spacing w:line="580" w:lineRule="exact"/>
        <w:ind w:firstLine="640"/>
        <w:jc w:val="both"/>
      </w:pPr>
      <w:r>
        <w:rPr>
          <w:rFonts w:ascii="仿宋_GB2312" w:hAnsi="仿宋_GB2312" w:eastAsia="仿宋_GB2312"/>
          <w:b/>
          <w:sz w:val="32"/>
        </w:rPr>
        <w:t>具体情况如下：</w:t>
      </w:r>
    </w:p>
    <w:p w14:paraId="14F225CD">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4B271BE6">
      <w:pPr>
        <w:spacing w:line="580" w:lineRule="exact"/>
        <w:ind w:firstLine="640"/>
        <w:jc w:val="both"/>
      </w:pPr>
      <w:r>
        <w:rPr>
          <w:rFonts w:ascii="仿宋_GB2312" w:hAnsi="仿宋_GB2312" w:eastAsia="仿宋_GB2312"/>
          <w:b w:val="0"/>
          <w:sz w:val="32"/>
        </w:rPr>
        <w:t>公务用车购置及运行维护费17.02万元，其中：公务用车购置费0.00万元，公务用车运行维护费17.02万元。公务用车运行维护费开支内容包括车辆加油费、保险费、过路费、维修费。公务用车购置数0辆，公务用车保有量9辆。国有资产占用情况中固定资产车辆9辆，与公务用车保有量差异原因是：本部门固定资产车辆与公务用车保有量一致无差异。</w:t>
      </w:r>
    </w:p>
    <w:p w14:paraId="08C0A99F">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3738E55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17.02万元，决算数17.02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17.02万元，决算数17.02万元，预决算差异率0.00%，主要原因是：严格按照预算执行，预决算无差异。公务接待费全年预算数0.00万元，决算数0.00万元，预决算差异率0.00%，主要原因是：本部门无公务接待费。</w:t>
      </w:r>
    </w:p>
    <w:p w14:paraId="274CE118">
      <w:pPr>
        <w:spacing w:line="640" w:lineRule="exact"/>
        <w:ind w:firstLine="640"/>
        <w:jc w:val="both"/>
        <w:outlineLvl w:val="2"/>
      </w:pPr>
      <w:r>
        <w:rPr>
          <w:rFonts w:ascii="黑体" w:hAnsi="黑体" w:eastAsia="黑体"/>
          <w:sz w:val="32"/>
        </w:rPr>
        <w:t>十、其他重要事项的情况说明</w:t>
      </w:r>
    </w:p>
    <w:p w14:paraId="11CB5DB9">
      <w:pPr>
        <w:spacing w:line="640" w:lineRule="exact"/>
        <w:ind w:firstLine="640"/>
        <w:jc w:val="both"/>
        <w:outlineLvl w:val="3"/>
      </w:pPr>
      <w:r>
        <w:rPr>
          <w:rFonts w:ascii="楷体_GB2312" w:hAnsi="楷体_GB2312" w:eastAsia="楷体_GB2312"/>
          <w:b/>
          <w:sz w:val="32"/>
        </w:rPr>
        <w:t>（一）机关运行经费及公用经费支出情况</w:t>
      </w:r>
    </w:p>
    <w:p w14:paraId="48DD27E4">
      <w:pPr>
        <w:spacing w:line="580" w:lineRule="exact"/>
        <w:ind w:firstLine="640"/>
        <w:jc w:val="both"/>
      </w:pPr>
      <w:r>
        <w:rPr>
          <w:rFonts w:ascii="仿宋_GB2312" w:hAnsi="仿宋_GB2312" w:eastAsia="仿宋_GB2312"/>
          <w:b w:val="0"/>
          <w:sz w:val="32"/>
        </w:rPr>
        <w:t>2024年度新疆巴州博湖县人民法院（行政单位和参照公务员法管理事业单位）机关运行经费支出79.52万元，比上年增加12.33万元，增长18.35%，主要原因是：本年度相关业务增加，相应更新、维护补充办公用品，办公经费增加。</w:t>
      </w:r>
    </w:p>
    <w:p w14:paraId="145D6C00">
      <w:pPr>
        <w:spacing w:line="640" w:lineRule="exact"/>
        <w:ind w:firstLine="640"/>
        <w:jc w:val="both"/>
        <w:outlineLvl w:val="3"/>
      </w:pPr>
      <w:r>
        <w:rPr>
          <w:rFonts w:ascii="楷体_GB2312" w:hAnsi="楷体_GB2312" w:eastAsia="楷体_GB2312"/>
          <w:b/>
          <w:sz w:val="32"/>
        </w:rPr>
        <w:t>（二）政府采购情况</w:t>
      </w:r>
    </w:p>
    <w:p w14:paraId="56C6F1AA">
      <w:pPr>
        <w:spacing w:line="580" w:lineRule="exact"/>
        <w:ind w:firstLine="640"/>
        <w:jc w:val="both"/>
      </w:pPr>
      <w:r>
        <w:rPr>
          <w:rFonts w:ascii="仿宋_GB2312" w:hAnsi="仿宋_GB2312" w:eastAsia="仿宋_GB2312"/>
          <w:b w:val="0"/>
          <w:sz w:val="32"/>
        </w:rPr>
        <w:t>2024年度政府采购支出总额97.32万元，其中：政府采购货物支出8.50万元、政府采购工程支出81.31万元、政府采购服务支出7.51万元。</w:t>
      </w:r>
    </w:p>
    <w:p w14:paraId="609E508B">
      <w:pPr>
        <w:spacing w:line="580" w:lineRule="exact"/>
        <w:ind w:firstLine="640"/>
        <w:jc w:val="both"/>
      </w:pPr>
      <w:r>
        <w:rPr>
          <w:rFonts w:ascii="仿宋_GB2312" w:hAnsi="仿宋_GB2312" w:eastAsia="仿宋_GB2312"/>
          <w:b w:val="0"/>
          <w:sz w:val="32"/>
        </w:rPr>
        <w:t>授予中小企业合同金额94.82万元，占政府采购支出总额的97.43%，其中：授予小微企业合同金额93.82万元，占政府采购支出总额的96.40%。</w:t>
      </w:r>
    </w:p>
    <w:p w14:paraId="1CD30501">
      <w:pPr>
        <w:spacing w:line="640" w:lineRule="exact"/>
        <w:ind w:firstLine="640"/>
        <w:jc w:val="both"/>
        <w:outlineLvl w:val="3"/>
      </w:pPr>
      <w:r>
        <w:rPr>
          <w:rFonts w:ascii="楷体_GB2312" w:hAnsi="楷体_GB2312" w:eastAsia="楷体_GB2312"/>
          <w:b/>
          <w:sz w:val="32"/>
        </w:rPr>
        <w:t>（三）国有资产占用情况说明</w:t>
      </w:r>
    </w:p>
    <w:p w14:paraId="24664565">
      <w:pPr>
        <w:spacing w:line="580" w:lineRule="exact"/>
        <w:ind w:firstLine="640"/>
        <w:jc w:val="both"/>
      </w:pPr>
      <w:r>
        <w:rPr>
          <w:rFonts w:ascii="仿宋_GB2312" w:hAnsi="仿宋_GB2312" w:eastAsia="仿宋_GB2312"/>
          <w:b w:val="0"/>
          <w:sz w:val="32"/>
        </w:rPr>
        <w:t>截至2024年12月31日，房屋11,760.88平方米，价值2,375.24万元。车辆9辆，价值153.61万元，其中：副部（省）级及以上领导用车0辆、主要负责人用车0辆、机要通信用车0辆、应急保障用车0辆、执法执勤用车9辆、特种专业技术用车0辆、离退休干部服务用车0辆、其他用车0辆，其他用车主要是：本部门无其他用车。单价100万元（含）以上设备（不含车辆）0台（套）。</w:t>
      </w:r>
    </w:p>
    <w:p w14:paraId="39EF7555">
      <w:pPr>
        <w:spacing w:line="640" w:lineRule="exact"/>
        <w:ind w:firstLine="640"/>
        <w:jc w:val="both"/>
        <w:outlineLvl w:val="2"/>
      </w:pPr>
      <w:r>
        <w:rPr>
          <w:rFonts w:ascii="黑体" w:hAnsi="黑体" w:eastAsia="黑体"/>
          <w:sz w:val="32"/>
        </w:rPr>
        <w:t>十一、预算绩效的情况说明</w:t>
      </w:r>
    </w:p>
    <w:p w14:paraId="3D14AFE5">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1,343.91万元，实际执行总额1,343.91万元；预算绩效评价项目1个，全年预算数15.00万元，全年执行数15.00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为加强预算管理，规范财务行为，已制定各项管理制度，有效保障了高效履行工作职能，加强了制度建设，打牢绩效管理工作基础。发现的问题及原因：一是对绩效目标偏差问题缺乏有效分析，从而导致填报的内容相对简单。二是在部门整体支出的资金安排和使用上仍有不可预见性，在经费支出科学化精细化管理上还有待加强。下一步改进措施：加大预算绩效评价公开力度。不仅各类预算支出项目的绩效目标需要公开，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公开预算绩效评价结果及后续的追踪问责机制，避免出现各预算单位“自说自话”问题，实现信息透明、共享。具体附部门整体支出绩效自评表，项目支出绩效自评表。</w:t>
      </w:r>
    </w:p>
    <w:p w14:paraId="3E88CFE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A4508E3">
        <w:tblPrEx>
          <w:tblCellMar>
            <w:top w:w="0" w:type="dxa"/>
            <w:left w:w="108" w:type="dxa"/>
            <w:bottom w:w="0" w:type="dxa"/>
            <w:right w:w="108" w:type="dxa"/>
          </w:tblCellMar>
        </w:tblPrEx>
        <w:tc>
          <w:tcPr>
            <w:tcW w:w="8840" w:type="dxa"/>
            <w:gridSpan w:val="8"/>
            <w:vAlign w:val="center"/>
          </w:tcPr>
          <w:p w14:paraId="600DCFA2">
            <w:pPr>
              <w:jc w:val="center"/>
            </w:pPr>
            <w:r>
              <w:rPr>
                <w:rFonts w:ascii="宋体" w:hAnsi="宋体" w:eastAsia="宋体"/>
                <w:sz w:val="24"/>
              </w:rPr>
              <w:t>部门整体支出绩效自评表</w:t>
            </w:r>
          </w:p>
        </w:tc>
      </w:tr>
      <w:tr w14:paraId="0535FC63">
        <w:tblPrEx>
          <w:tblCellMar>
            <w:top w:w="0" w:type="dxa"/>
            <w:left w:w="108" w:type="dxa"/>
            <w:bottom w:w="0" w:type="dxa"/>
            <w:right w:w="108" w:type="dxa"/>
          </w:tblCellMar>
        </w:tblPrEx>
        <w:tc>
          <w:tcPr>
            <w:tcW w:w="8840" w:type="dxa"/>
            <w:gridSpan w:val="8"/>
            <w:vAlign w:val="center"/>
          </w:tcPr>
          <w:p w14:paraId="7FB90A9E">
            <w:pPr>
              <w:jc w:val="center"/>
            </w:pPr>
            <w:r>
              <w:rPr>
                <w:rFonts w:ascii="宋体" w:hAnsi="宋体" w:eastAsia="宋体"/>
                <w:sz w:val="24"/>
              </w:rPr>
              <w:t>（2024年度）</w:t>
            </w:r>
          </w:p>
        </w:tc>
      </w:tr>
      <w:tr w14:paraId="548DAA8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06C580">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E9E68">
            <w:pPr>
              <w:jc w:val="center"/>
            </w:pPr>
            <w:r>
              <w:rPr>
                <w:rFonts w:ascii="宋体" w:hAnsi="宋体" w:eastAsia="宋体"/>
                <w:sz w:val="16"/>
              </w:rPr>
              <w:t>新疆巴州博湖县人民法院</w:t>
            </w:r>
          </w:p>
        </w:tc>
      </w:tr>
      <w:tr w14:paraId="4AD7895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E675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2D60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DEB8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A1050">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A501F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B928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F05D5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451AC">
            <w:pPr>
              <w:jc w:val="center"/>
            </w:pPr>
            <w:r>
              <w:rPr>
                <w:rFonts w:ascii="宋体" w:hAnsi="宋体" w:eastAsia="宋体"/>
                <w:sz w:val="16"/>
              </w:rPr>
              <w:t>得分</w:t>
            </w:r>
          </w:p>
        </w:tc>
      </w:tr>
      <w:tr w14:paraId="185687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85918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9D77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9D131">
            <w:pPr>
              <w:jc w:val="center"/>
            </w:pPr>
            <w:r>
              <w:rPr>
                <w:rFonts w:ascii="宋体" w:hAnsi="宋体" w:eastAsia="宋体"/>
                <w:sz w:val="16"/>
              </w:rPr>
              <w:t>1,216.64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6C9E5">
            <w:pPr>
              <w:jc w:val="center"/>
            </w:pPr>
            <w:r>
              <w:rPr>
                <w:rFonts w:ascii="宋体" w:hAnsi="宋体" w:eastAsia="宋体"/>
                <w:sz w:val="16"/>
              </w:rPr>
              <w:t>1,343.91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7B02E">
            <w:pPr>
              <w:jc w:val="center"/>
            </w:pPr>
            <w:r>
              <w:rPr>
                <w:rFonts w:ascii="宋体" w:hAnsi="宋体" w:eastAsia="宋体"/>
                <w:sz w:val="16"/>
              </w:rPr>
              <w:t>1,343.91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AE8F5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BB4C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EFCAE">
            <w:pPr>
              <w:jc w:val="center"/>
            </w:pPr>
            <w:r>
              <w:rPr>
                <w:rFonts w:ascii="宋体" w:hAnsi="宋体" w:eastAsia="宋体"/>
                <w:sz w:val="16"/>
              </w:rPr>
              <w:t>10</w:t>
            </w:r>
          </w:p>
        </w:tc>
      </w:tr>
      <w:tr w14:paraId="5BCAC6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FC1E3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B7301">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A84F5">
            <w:pPr>
              <w:jc w:val="center"/>
            </w:pPr>
            <w:r>
              <w:rPr>
                <w:rFonts w:ascii="宋体" w:hAnsi="宋体" w:eastAsia="宋体"/>
                <w:sz w:val="16"/>
              </w:rPr>
              <w:t>233.00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0D4D2">
            <w:pPr>
              <w:jc w:val="center"/>
            </w:pPr>
            <w:r>
              <w:rPr>
                <w:rFonts w:ascii="宋体" w:hAnsi="宋体" w:eastAsia="宋体"/>
                <w:sz w:val="16"/>
              </w:rPr>
              <w:t>344.00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3B2DEA">
            <w:pPr>
              <w:jc w:val="center"/>
            </w:pPr>
            <w:r>
              <w:rPr>
                <w:rFonts w:ascii="宋体" w:hAnsi="宋体" w:eastAsia="宋体"/>
                <w:sz w:val="16"/>
              </w:rPr>
              <w:t>344.00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4529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4733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CED43">
            <w:pPr>
              <w:jc w:val="center"/>
            </w:pPr>
            <w:r>
              <w:rPr>
                <w:rFonts w:ascii="宋体" w:hAnsi="宋体" w:eastAsia="宋体"/>
                <w:sz w:val="16"/>
              </w:rPr>
              <w:t>-</w:t>
            </w:r>
          </w:p>
        </w:tc>
      </w:tr>
      <w:tr w14:paraId="7DA8DB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38548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3D4B6">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A24A8">
            <w:pPr>
              <w:jc w:val="center"/>
            </w:pPr>
            <w:r>
              <w:rPr>
                <w:rFonts w:ascii="宋体" w:hAnsi="宋体" w:eastAsia="宋体"/>
                <w:sz w:val="16"/>
              </w:rPr>
              <w:t>983.64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20F00">
            <w:pPr>
              <w:jc w:val="center"/>
            </w:pPr>
            <w:r>
              <w:rPr>
                <w:rFonts w:ascii="宋体" w:hAnsi="宋体" w:eastAsia="宋体"/>
                <w:sz w:val="16"/>
              </w:rPr>
              <w:t>999.91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F9D36">
            <w:pPr>
              <w:jc w:val="center"/>
            </w:pPr>
            <w:r>
              <w:rPr>
                <w:rFonts w:ascii="宋体" w:hAnsi="宋体" w:eastAsia="宋体"/>
                <w:sz w:val="16"/>
              </w:rPr>
              <w:t>999.91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08CD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D5D0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D3386">
            <w:pPr>
              <w:jc w:val="center"/>
            </w:pPr>
            <w:r>
              <w:rPr>
                <w:rFonts w:ascii="宋体" w:hAnsi="宋体" w:eastAsia="宋体"/>
                <w:sz w:val="16"/>
              </w:rPr>
              <w:t>-</w:t>
            </w:r>
          </w:p>
        </w:tc>
      </w:tr>
      <w:tr w14:paraId="78FA70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5B50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65CEE6">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C1CE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B4D8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7359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8DE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192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A7D21">
            <w:pPr>
              <w:jc w:val="center"/>
            </w:pPr>
            <w:r>
              <w:rPr>
                <w:rFonts w:ascii="宋体" w:hAnsi="宋体" w:eastAsia="宋体"/>
                <w:sz w:val="16"/>
              </w:rPr>
              <w:t>-</w:t>
            </w:r>
          </w:p>
        </w:tc>
      </w:tr>
      <w:tr w14:paraId="637FC3B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297D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CD3B8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152E97">
            <w:pPr>
              <w:jc w:val="center"/>
            </w:pPr>
            <w:r>
              <w:rPr>
                <w:rFonts w:ascii="宋体" w:hAnsi="宋体" w:eastAsia="宋体"/>
                <w:sz w:val="16"/>
              </w:rPr>
              <w:t>实际完成情况</w:t>
            </w:r>
          </w:p>
        </w:tc>
      </w:tr>
      <w:tr w14:paraId="35F51D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83B01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DEEFE1">
            <w:pPr>
              <w:jc w:val="both"/>
            </w:pPr>
            <w:r>
              <w:rPr>
                <w:rFonts w:ascii="宋体" w:hAnsi="宋体" w:eastAsia="宋体"/>
                <w:sz w:val="16"/>
              </w:rPr>
              <w:t>按照“十四五”规划部署，紧紧围绕促进社会稳定和长治久安的总目标，充分发挥法院的审判执行工作职能，全面提升审判执行工作质效，保障法院审判执行工作的顺利开展。全面提升法官队伍整体职业素养，打造忠诚担当爱岗敬业的法院队伍，保障维护案件审判执行的公平正义，提升法官队伍职业素养，推进司法体制改革进程。坚持司法为民，公正司法，为博湖经济社会高质量发展提供坚强有力的司法服务和保障。保障我院依法审理刑事、民商事、执行各类案件。提高人民满意度，保障司法审判的各项工作顺利进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B5897F">
            <w:pPr>
              <w:jc w:val="both"/>
            </w:pPr>
            <w:r>
              <w:rPr>
                <w:rFonts w:ascii="宋体" w:hAnsi="宋体" w:eastAsia="宋体"/>
                <w:sz w:val="16"/>
              </w:rPr>
              <w:t>继续深化提升审判执行工作质效，全面提升法官队伍整体职业素养,发挥科技法庭、网络直播法庭、远程执行查控等大数据和高科技设备的技术运用，收案2099件，案件调解1214件，庭审公开率达到100%，法定审限期内结案率达到100%。在增进法院可持续发展及群众满意度的同时，有序保障了司法审判各项工作的顺利开展，达到了积极履行维护人民群众合法权益的预期目标，彰显了司法为民、公正司法。</w:t>
            </w:r>
          </w:p>
        </w:tc>
      </w:tr>
      <w:tr w14:paraId="0F3163B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CEE1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91743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8456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E503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8E04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12AF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E9E4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A6A86">
            <w:pPr>
              <w:jc w:val="center"/>
            </w:pPr>
            <w:r>
              <w:rPr>
                <w:rFonts w:ascii="宋体" w:hAnsi="宋体" w:eastAsia="宋体"/>
                <w:sz w:val="16"/>
              </w:rPr>
              <w:t>得分</w:t>
            </w:r>
          </w:p>
        </w:tc>
      </w:tr>
      <w:tr w14:paraId="666B2D8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E9AF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F660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71EE5">
            <w:pPr>
              <w:jc w:val="center"/>
            </w:pPr>
            <w:r>
              <w:rPr>
                <w:rFonts w:ascii="宋体" w:hAnsi="宋体" w:eastAsia="宋体"/>
                <w:sz w:val="16"/>
              </w:rPr>
              <w:t>法院受案数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8B76D">
            <w:pPr>
              <w:jc w:val="center"/>
            </w:pPr>
            <w:r>
              <w:rPr>
                <w:rFonts w:ascii="宋体" w:hAnsi="宋体" w:eastAsia="宋体"/>
                <w:sz w:val="16"/>
              </w:rPr>
              <w:t>&gt;=2500件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4FB4AA">
            <w:pPr>
              <w:jc w:val="center"/>
            </w:pPr>
            <w:r>
              <w:rPr>
                <w:rFonts w:ascii="宋体" w:hAnsi="宋体" w:eastAsia="宋体"/>
                <w:sz w:val="16"/>
              </w:rPr>
              <w:t>博湖县人民法院工作报告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C0BF9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B38092">
            <w:pPr>
              <w:jc w:val="center"/>
            </w:pPr>
            <w:r>
              <w:rPr>
                <w:rFonts w:ascii="宋体" w:hAnsi="宋体" w:eastAsia="宋体"/>
                <w:sz w:val="16"/>
              </w:rPr>
              <w:t>2099件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D7E746">
            <w:pPr>
              <w:jc w:val="center"/>
            </w:pPr>
            <w:r>
              <w:rPr>
                <w:rFonts w:ascii="宋体" w:hAnsi="宋体" w:eastAsia="宋体"/>
                <w:sz w:val="16"/>
              </w:rPr>
              <w:t>16.79</w:t>
            </w:r>
          </w:p>
        </w:tc>
      </w:tr>
      <w:tr w14:paraId="715193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2A57C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7086C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BCE61">
            <w:pPr>
              <w:jc w:val="center"/>
            </w:pPr>
            <w:r>
              <w:rPr>
                <w:rFonts w:ascii="宋体" w:hAnsi="宋体" w:eastAsia="宋体"/>
                <w:sz w:val="16"/>
              </w:rPr>
              <w:t>案件调解数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8347A9">
            <w:pPr>
              <w:jc w:val="center"/>
            </w:pPr>
            <w:r>
              <w:rPr>
                <w:rFonts w:ascii="宋体" w:hAnsi="宋体" w:eastAsia="宋体"/>
                <w:sz w:val="16"/>
              </w:rPr>
              <w:t>&gt;=1200件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CDEA7">
            <w:pPr>
              <w:jc w:val="center"/>
            </w:pPr>
            <w:r>
              <w:rPr>
                <w:rFonts w:ascii="宋体" w:hAnsi="宋体" w:eastAsia="宋体"/>
                <w:sz w:val="16"/>
              </w:rPr>
              <w:t>博湖县人民法院工作报告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ABAE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8DF9C">
            <w:pPr>
              <w:jc w:val="center"/>
            </w:pPr>
            <w:r>
              <w:rPr>
                <w:rFonts w:ascii="宋体" w:hAnsi="宋体" w:eastAsia="宋体"/>
                <w:sz w:val="16"/>
              </w:rPr>
              <w:t>1214件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B65A34">
            <w:pPr>
              <w:jc w:val="center"/>
            </w:pPr>
            <w:r>
              <w:rPr>
                <w:rFonts w:ascii="宋体" w:hAnsi="宋体" w:eastAsia="宋体"/>
                <w:sz w:val="16"/>
              </w:rPr>
              <w:t>20</w:t>
            </w:r>
          </w:p>
        </w:tc>
      </w:tr>
      <w:tr w14:paraId="358D1B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89C8A7"/>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9F666">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127FB4">
            <w:pPr>
              <w:jc w:val="center"/>
            </w:pPr>
            <w:r>
              <w:rPr>
                <w:rFonts w:ascii="宋体" w:hAnsi="宋体" w:eastAsia="宋体"/>
                <w:sz w:val="16"/>
              </w:rPr>
              <w:t>庭审公开率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1F23C">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0DB2C">
            <w:pPr>
              <w:jc w:val="center"/>
            </w:pPr>
            <w:r>
              <w:rPr>
                <w:rFonts w:ascii="宋体" w:hAnsi="宋体" w:eastAsia="宋体"/>
                <w:sz w:val="16"/>
              </w:rPr>
              <w:t>博湖县人民法院工作报告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1351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C0832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85D8B">
            <w:pPr>
              <w:jc w:val="center"/>
            </w:pPr>
            <w:r>
              <w:rPr>
                <w:rFonts w:ascii="宋体" w:hAnsi="宋体" w:eastAsia="宋体"/>
                <w:sz w:val="16"/>
              </w:rPr>
              <w:t>25</w:t>
            </w:r>
          </w:p>
        </w:tc>
      </w:tr>
      <w:tr w14:paraId="17A86C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A909F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159E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A923F">
            <w:pPr>
              <w:jc w:val="center"/>
            </w:pPr>
            <w:r>
              <w:rPr>
                <w:rFonts w:ascii="宋体" w:hAnsi="宋体" w:eastAsia="宋体"/>
                <w:sz w:val="16"/>
              </w:rPr>
              <w:t>法定审限期内结案率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35F54">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BF797">
            <w:pPr>
              <w:jc w:val="center"/>
            </w:pPr>
            <w:r>
              <w:rPr>
                <w:rFonts w:ascii="宋体" w:hAnsi="宋体" w:eastAsia="宋体"/>
                <w:sz w:val="16"/>
              </w:rPr>
              <w:t>博湖县人民法院工作报告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8DF30D">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25A9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12735">
            <w:pPr>
              <w:jc w:val="center"/>
            </w:pPr>
            <w:r>
              <w:rPr>
                <w:rFonts w:ascii="宋体" w:hAnsi="宋体" w:eastAsia="宋体"/>
                <w:sz w:val="16"/>
              </w:rPr>
              <w:t>25</w:t>
            </w:r>
          </w:p>
        </w:tc>
      </w:tr>
    </w:tbl>
    <w:p w14:paraId="1CA9D4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68B2FA01">
        <w:tblPrEx>
          <w:tblCellMar>
            <w:top w:w="0" w:type="dxa"/>
            <w:left w:w="108" w:type="dxa"/>
            <w:bottom w:w="0" w:type="dxa"/>
            <w:right w:w="108" w:type="dxa"/>
          </w:tblCellMar>
        </w:tblPrEx>
        <w:tc>
          <w:tcPr>
            <w:tcW w:w="8848" w:type="dxa"/>
            <w:gridSpan w:val="14"/>
            <w:vAlign w:val="center"/>
          </w:tcPr>
          <w:p w14:paraId="08DE7E85">
            <w:pPr>
              <w:jc w:val="center"/>
            </w:pPr>
            <w:r>
              <w:rPr>
                <w:rFonts w:ascii="宋体" w:hAnsi="宋体" w:eastAsia="宋体"/>
                <w:sz w:val="24"/>
              </w:rPr>
              <w:t>项目支出绩效自评表</w:t>
            </w:r>
          </w:p>
        </w:tc>
      </w:tr>
      <w:tr w14:paraId="03DF6E01">
        <w:tblPrEx>
          <w:tblCellMar>
            <w:top w:w="0" w:type="dxa"/>
            <w:left w:w="108" w:type="dxa"/>
            <w:bottom w:w="0" w:type="dxa"/>
            <w:right w:w="108" w:type="dxa"/>
          </w:tblCellMar>
        </w:tblPrEx>
        <w:tc>
          <w:tcPr>
            <w:tcW w:w="8848" w:type="dxa"/>
            <w:gridSpan w:val="14"/>
            <w:vAlign w:val="center"/>
          </w:tcPr>
          <w:p w14:paraId="70C57A25">
            <w:pPr>
              <w:jc w:val="center"/>
            </w:pPr>
            <w:r>
              <w:rPr>
                <w:rFonts w:ascii="宋体" w:hAnsi="宋体" w:eastAsia="宋体"/>
                <w:sz w:val="24"/>
              </w:rPr>
              <w:t>(2024年度)</w:t>
            </w:r>
          </w:p>
        </w:tc>
      </w:tr>
      <w:tr w14:paraId="39A239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5D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0C6EE6">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工作队经费（博湖县人民法院）</w:t>
            </w:r>
          </w:p>
        </w:tc>
      </w:tr>
      <w:tr w14:paraId="348D31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1E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216F5">
            <w:pPr>
              <w:jc w:val="center"/>
            </w:pPr>
            <w:r>
              <w:rPr>
                <w:rFonts w:ascii="宋体" w:hAnsi="宋体" w:eastAsia="宋体"/>
                <w:sz w:val="16"/>
              </w:rPr>
              <w:t>新疆巴州博湖县人民法院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8E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0A06A4">
            <w:pPr>
              <w:jc w:val="center"/>
            </w:pPr>
            <w:r>
              <w:rPr>
                <w:rFonts w:ascii="宋体" w:hAnsi="宋体" w:eastAsia="宋体"/>
                <w:sz w:val="16"/>
              </w:rPr>
              <w:t>新疆巴州博湖县人民法院</w:t>
            </w:r>
          </w:p>
        </w:tc>
      </w:tr>
      <w:tr w14:paraId="268B42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D318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EA6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727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203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43C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2C35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C3F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5DD7">
            <w:pPr>
              <w:jc w:val="center"/>
            </w:pPr>
            <w:r>
              <w:rPr>
                <w:rFonts w:ascii="宋体" w:hAnsi="宋体" w:eastAsia="宋体"/>
                <w:sz w:val="16"/>
              </w:rPr>
              <w:t>得分</w:t>
            </w:r>
          </w:p>
        </w:tc>
      </w:tr>
      <w:tr w14:paraId="5BC840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262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A2D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505E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2358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9015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468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3010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A3F3">
            <w:pPr>
              <w:jc w:val="center"/>
            </w:pPr>
            <w:r>
              <w:rPr>
                <w:rFonts w:ascii="宋体" w:hAnsi="宋体" w:eastAsia="宋体"/>
                <w:sz w:val="16"/>
              </w:rPr>
              <w:t>10.00</w:t>
            </w:r>
          </w:p>
        </w:tc>
      </w:tr>
      <w:tr w14:paraId="2DEE6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79A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E4E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1C89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9509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8D3F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DF5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91A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2354">
            <w:pPr>
              <w:jc w:val="center"/>
            </w:pPr>
            <w:r>
              <w:rPr>
                <w:rFonts w:ascii="宋体" w:hAnsi="宋体" w:eastAsia="宋体"/>
                <w:sz w:val="16"/>
              </w:rPr>
              <w:t>-</w:t>
            </w:r>
          </w:p>
        </w:tc>
      </w:tr>
      <w:tr w14:paraId="131D1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B29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3300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624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999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CDE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531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0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9D34">
            <w:pPr>
              <w:jc w:val="center"/>
            </w:pPr>
            <w:r>
              <w:rPr>
                <w:rFonts w:ascii="宋体" w:hAnsi="宋体" w:eastAsia="宋体"/>
                <w:sz w:val="16"/>
              </w:rPr>
              <w:t>-</w:t>
            </w:r>
          </w:p>
        </w:tc>
      </w:tr>
      <w:tr w14:paraId="335C0B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C81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EE50F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EC5835">
            <w:pPr>
              <w:jc w:val="center"/>
            </w:pPr>
            <w:r>
              <w:rPr>
                <w:rFonts w:ascii="宋体" w:hAnsi="宋体" w:eastAsia="宋体"/>
                <w:sz w:val="16"/>
              </w:rPr>
              <w:t>总体目标完成情况</w:t>
            </w:r>
          </w:p>
        </w:tc>
      </w:tr>
      <w:tr w14:paraId="185E0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1A3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9EABD">
            <w:pPr>
              <w:jc w:val="both"/>
            </w:pPr>
            <w:r>
              <w:rPr>
                <w:rFonts w:ascii="宋体" w:hAnsi="宋体" w:eastAsia="宋体"/>
                <w:sz w:val="16"/>
              </w:rPr>
              <w:t>按照自治区工作指示，我院驻点博湖县塔温觉肯乡克日木哈尔村、哈尔恩根村</w:t>
            </w:r>
            <w:r>
              <w:rPr>
                <w:rFonts w:hint="eastAsia" w:ascii="宋体" w:hAnsi="宋体"/>
                <w:sz w:val="16"/>
                <w:lang w:eastAsia="zh-CN"/>
              </w:rPr>
              <w:t>两支</w:t>
            </w:r>
            <w:r>
              <w:rPr>
                <w:rFonts w:ascii="宋体" w:hAnsi="宋体" w:eastAsia="宋体"/>
                <w:sz w:val="16"/>
              </w:rPr>
              <w:t>工作队，确保村基础设施建设完备，改善村道建设进行维修维护；确保办公正常有序，进行日常办公耗材更新购置；确保贫困群众生活质量提升，进行访贫问苦，购置米面油等慰问品；确保居民夜间行动照明方便，购置太阳能照明灯；确保居民用水浇地便捷，进行防渗渠维修；鼓励居民勤劳致富，补充积分超市物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1A9C7F">
            <w:pPr>
              <w:jc w:val="both"/>
            </w:pPr>
            <w:r>
              <w:rPr>
                <w:rFonts w:ascii="宋体" w:hAnsi="宋体" w:eastAsia="宋体"/>
                <w:sz w:val="16"/>
              </w:rPr>
              <w:t>通过规范使用年度15万元的2024年</w:t>
            </w:r>
            <w:bookmarkStart w:id="0" w:name="_GoBack"/>
            <w:r>
              <w:rPr>
                <w:rFonts w:hint="eastAsia" w:ascii="宋体" w:hAnsi="宋体"/>
                <w:sz w:val="16"/>
                <w:lang w:eastAsia="zh-CN"/>
              </w:rPr>
              <w:t>为民办实事</w:t>
            </w:r>
            <w:bookmarkEnd w:id="0"/>
            <w:r>
              <w:rPr>
                <w:rFonts w:ascii="宋体" w:hAnsi="宋体" w:eastAsia="宋体"/>
                <w:sz w:val="16"/>
              </w:rPr>
              <w:t>工作队经费，使我院所驻点的博湖县塔温觉肯乡克日木哈尔村、哈尔恩根村两处工作队工作得到顺利开展。完成水暖管道维修并花费1万元，确保了村基础设施建设完备；租赁挖掘机对群众庭院进行了整治，同时对公用路面实行修缮并支出2.6万元，优化了村道通行基础建设；及时补充购置工作队办公用品，确保了办公正常有序；定期开展了访贫问苦走访活动，为贫困群众购置了米面油等慰问品，支出2.48万元，提升了群众生活质量；耗资1.36万元，完成路灯采购，保障了居民夜间行动照明方便；完成基础设施修缮，有效确保了居民用水浇地使用便捷；及时补充村积分超市物品，支出1.25万元购置群众物资，使居民勤劳致富积极性大幅提升。</w:t>
            </w:r>
          </w:p>
        </w:tc>
      </w:tr>
      <w:tr w14:paraId="7812CA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1F2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85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6C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5F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62C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2B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129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643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A2D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C6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599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392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384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65BF">
            <w:pPr>
              <w:jc w:val="center"/>
            </w:pPr>
            <w:r>
              <w:rPr>
                <w:rFonts w:ascii="宋体" w:hAnsi="宋体" w:eastAsia="宋体"/>
                <w:sz w:val="16"/>
              </w:rPr>
              <w:t>偏差原因分析及改进措施</w:t>
            </w:r>
          </w:p>
        </w:tc>
      </w:tr>
      <w:tr w14:paraId="57474E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48D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E2C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A86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112C">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458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46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F24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59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68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4B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666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B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EF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880F">
            <w:pPr>
              <w:jc w:val="center"/>
            </w:pPr>
          </w:p>
        </w:tc>
      </w:tr>
      <w:tr w14:paraId="5C1E6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15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CF7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ED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262D">
            <w:pPr>
              <w:jc w:val="center"/>
            </w:pPr>
            <w:r>
              <w:rPr>
                <w:rFonts w:ascii="宋体" w:hAnsi="宋体" w:eastAsia="宋体"/>
                <w:sz w:val="16"/>
              </w:rPr>
              <w:t>派驻工作队人员数量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25C8">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0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C54B">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6D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DD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1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71D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3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04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AC1D">
            <w:pPr>
              <w:jc w:val="center"/>
            </w:pPr>
          </w:p>
        </w:tc>
      </w:tr>
      <w:tr w14:paraId="55A6F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09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4F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E8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9B7F">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FD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0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7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A5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3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2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1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0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76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6AA8">
            <w:pPr>
              <w:jc w:val="center"/>
            </w:pPr>
          </w:p>
        </w:tc>
      </w:tr>
      <w:tr w14:paraId="38812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43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F1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5B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7C18">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3E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8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9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9F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D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D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3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0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28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6916">
            <w:pPr>
              <w:jc w:val="center"/>
            </w:pPr>
          </w:p>
        </w:tc>
      </w:tr>
      <w:tr w14:paraId="72C24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F4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6C9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23E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7785">
            <w:pPr>
              <w:jc w:val="center"/>
            </w:pPr>
            <w:r>
              <w:rPr>
                <w:rFonts w:ascii="宋体" w:hAnsi="宋体" w:eastAsia="宋体"/>
                <w:sz w:val="16"/>
              </w:rPr>
              <w:t>克日木哈尔村工作队经费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F7D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A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15B4">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76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B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CE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028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3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CB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9C6A">
            <w:pPr>
              <w:jc w:val="center"/>
            </w:pPr>
          </w:p>
        </w:tc>
      </w:tr>
      <w:tr w14:paraId="3A65A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9EE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28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B4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B2CF">
            <w:pPr>
              <w:jc w:val="center"/>
            </w:pPr>
            <w:r>
              <w:rPr>
                <w:rFonts w:ascii="宋体" w:hAnsi="宋体" w:eastAsia="宋体"/>
                <w:sz w:val="16"/>
              </w:rPr>
              <w:t>哈尔恩根村工作队经费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DBF2">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6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16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F3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68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9F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603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4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86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6CFC">
            <w:pPr>
              <w:jc w:val="center"/>
            </w:pPr>
          </w:p>
        </w:tc>
      </w:tr>
      <w:tr w14:paraId="21777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E6F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22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66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7865">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4317">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06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C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31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8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C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929D">
            <w:pPr>
              <w:jc w:val="center"/>
            </w:pPr>
            <w:r>
              <w:rPr>
                <w:rFonts w:ascii="宋体" w:hAnsi="宋体" w:eastAsia="宋体"/>
                <w:sz w:val="16"/>
              </w:rPr>
              <w:t>=320人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EEAD">
            <w:pPr>
              <w:jc w:val="center"/>
            </w:pPr>
            <w:r>
              <w:rPr>
                <w:rFonts w:ascii="宋体" w:hAnsi="宋体" w:eastAsia="宋体"/>
                <w:sz w:val="16"/>
              </w:rPr>
              <w:t>106.67%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E3BC">
            <w:pPr>
              <w:jc w:val="center"/>
            </w:pPr>
            <w:r>
              <w:rPr>
                <w:rFonts w:ascii="宋体" w:hAnsi="宋体" w:eastAsia="宋体"/>
                <w:sz w:val="16"/>
              </w:rPr>
              <w:t>18.67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760C">
            <w:pPr>
              <w:jc w:val="center"/>
            </w:pPr>
          </w:p>
        </w:tc>
      </w:tr>
      <w:tr w14:paraId="7BF3F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BD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05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E2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C87B">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1D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0E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BA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C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53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FE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D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B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7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F310">
            <w:pPr>
              <w:jc w:val="center"/>
            </w:pPr>
          </w:p>
        </w:tc>
      </w:tr>
      <w:tr w14:paraId="6F90C2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2C90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7AB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F9D8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31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0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6C4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EFB5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C3A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3F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5F7F">
            <w:pPr>
              <w:jc w:val="center"/>
            </w:pPr>
            <w:r>
              <w:rPr>
                <w:rFonts w:ascii="宋体" w:hAnsi="宋体" w:eastAsia="宋体"/>
                <w:sz w:val="16"/>
              </w:rPr>
              <w:t>98.67分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9512A"/>
        </w:tc>
      </w:tr>
    </w:tbl>
    <w:p w14:paraId="64A42459">
      <w:r>
        <w:br w:type="page"/>
      </w:r>
    </w:p>
    <w:p w14:paraId="357A6251">
      <w:pPr>
        <w:spacing w:line="640" w:lineRule="exact"/>
        <w:ind w:firstLine="640"/>
        <w:jc w:val="both"/>
        <w:outlineLvl w:val="2"/>
      </w:pPr>
      <w:r>
        <w:rPr>
          <w:rFonts w:ascii="黑体" w:hAnsi="黑体" w:eastAsia="黑体"/>
          <w:sz w:val="32"/>
        </w:rPr>
        <w:t>十二、其他需说明的事项</w:t>
      </w:r>
    </w:p>
    <w:p w14:paraId="433FDD66">
      <w:pPr>
        <w:spacing w:line="580" w:lineRule="exact"/>
        <w:ind w:firstLine="640"/>
        <w:jc w:val="both"/>
      </w:pPr>
      <w:r>
        <w:rPr>
          <w:rFonts w:ascii="仿宋_GB2312" w:hAnsi="仿宋_GB2312" w:eastAsia="仿宋_GB2312"/>
          <w:b w:val="0"/>
          <w:sz w:val="32"/>
        </w:rPr>
        <w:t>本部门无其他需说明的事项。</w:t>
      </w:r>
    </w:p>
    <w:p w14:paraId="34F98D2F">
      <w:r>
        <w:br w:type="page"/>
      </w:r>
    </w:p>
    <w:p w14:paraId="73056C68">
      <w:pPr>
        <w:spacing w:line="240" w:lineRule="auto"/>
        <w:jc w:val="center"/>
        <w:outlineLvl w:val="1"/>
      </w:pPr>
      <w:r>
        <w:rPr>
          <w:rFonts w:ascii="黑体" w:hAnsi="黑体" w:eastAsia="黑体"/>
          <w:sz w:val="32"/>
        </w:rPr>
        <w:t>第三部分 专业名词解释</w:t>
      </w:r>
    </w:p>
    <w:p w14:paraId="2ED12E2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F8291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ACD14C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A2FD15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4C1E9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97B420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E00AF6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93B373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F6B3D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08B560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B83F12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EEAF9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17662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B65D7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7F863D3">
      <w:r>
        <w:br w:type="page"/>
      </w:r>
    </w:p>
    <w:p w14:paraId="3DC17FFD">
      <w:pPr>
        <w:spacing w:line="240" w:lineRule="auto"/>
        <w:jc w:val="center"/>
        <w:outlineLvl w:val="1"/>
      </w:pPr>
      <w:r>
        <w:rPr>
          <w:rFonts w:ascii="黑体" w:hAnsi="黑体" w:eastAsia="黑体"/>
          <w:sz w:val="32"/>
        </w:rPr>
        <w:t>第四部分 部门决算报表（见附表）</w:t>
      </w:r>
    </w:p>
    <w:p w14:paraId="6D120EE4">
      <w:pPr>
        <w:spacing w:line="240" w:lineRule="auto"/>
        <w:ind w:firstLine="640"/>
        <w:jc w:val="both"/>
      </w:pPr>
      <w:r>
        <w:rPr>
          <w:rFonts w:ascii="仿宋_GB2312" w:hAnsi="仿宋_GB2312" w:eastAsia="仿宋_GB2312"/>
          <w:b w:val="0"/>
          <w:sz w:val="32"/>
        </w:rPr>
        <w:t>一、《收入支出决算总表》</w:t>
      </w:r>
    </w:p>
    <w:p w14:paraId="284A7C20">
      <w:pPr>
        <w:spacing w:line="240" w:lineRule="auto"/>
        <w:ind w:firstLine="640"/>
        <w:jc w:val="both"/>
      </w:pPr>
      <w:r>
        <w:rPr>
          <w:rFonts w:ascii="仿宋_GB2312" w:hAnsi="仿宋_GB2312" w:eastAsia="仿宋_GB2312"/>
          <w:b w:val="0"/>
          <w:sz w:val="32"/>
        </w:rPr>
        <w:t>二、《收入决算表》</w:t>
      </w:r>
    </w:p>
    <w:p w14:paraId="65FDD105">
      <w:pPr>
        <w:spacing w:line="240" w:lineRule="auto"/>
        <w:ind w:firstLine="640"/>
        <w:jc w:val="both"/>
      </w:pPr>
      <w:r>
        <w:rPr>
          <w:rFonts w:ascii="仿宋_GB2312" w:hAnsi="仿宋_GB2312" w:eastAsia="仿宋_GB2312"/>
          <w:b w:val="0"/>
          <w:sz w:val="32"/>
        </w:rPr>
        <w:t>三、《支出决算表》</w:t>
      </w:r>
    </w:p>
    <w:p w14:paraId="6BADC68B">
      <w:pPr>
        <w:spacing w:line="240" w:lineRule="auto"/>
        <w:ind w:firstLine="640"/>
        <w:jc w:val="both"/>
      </w:pPr>
      <w:r>
        <w:rPr>
          <w:rFonts w:ascii="仿宋_GB2312" w:hAnsi="仿宋_GB2312" w:eastAsia="仿宋_GB2312"/>
          <w:b w:val="0"/>
          <w:sz w:val="32"/>
        </w:rPr>
        <w:t>四、《财政拨款收入支出决算总表》</w:t>
      </w:r>
    </w:p>
    <w:p w14:paraId="1C470187">
      <w:pPr>
        <w:spacing w:line="240" w:lineRule="auto"/>
        <w:ind w:firstLine="640"/>
        <w:jc w:val="both"/>
      </w:pPr>
      <w:r>
        <w:rPr>
          <w:rFonts w:ascii="仿宋_GB2312" w:hAnsi="仿宋_GB2312" w:eastAsia="仿宋_GB2312"/>
          <w:b w:val="0"/>
          <w:sz w:val="32"/>
        </w:rPr>
        <w:t>五、《一般公共预算财政拨款支出决算表》</w:t>
      </w:r>
    </w:p>
    <w:p w14:paraId="7F764751">
      <w:pPr>
        <w:spacing w:line="240" w:lineRule="auto"/>
        <w:ind w:firstLine="640"/>
        <w:jc w:val="both"/>
      </w:pPr>
      <w:r>
        <w:rPr>
          <w:rFonts w:ascii="仿宋_GB2312" w:hAnsi="仿宋_GB2312" w:eastAsia="仿宋_GB2312"/>
          <w:b w:val="0"/>
          <w:sz w:val="32"/>
        </w:rPr>
        <w:t>六、《一般公共预算财政拨款基本支出决算表》</w:t>
      </w:r>
    </w:p>
    <w:p w14:paraId="2DFF3AA6">
      <w:pPr>
        <w:spacing w:line="240" w:lineRule="auto"/>
        <w:ind w:firstLine="640"/>
        <w:jc w:val="both"/>
      </w:pPr>
      <w:r>
        <w:rPr>
          <w:rFonts w:ascii="仿宋_GB2312" w:hAnsi="仿宋_GB2312" w:eastAsia="仿宋_GB2312"/>
          <w:b w:val="0"/>
          <w:sz w:val="32"/>
        </w:rPr>
        <w:t>七、《政府性基金预算财政拨款收入支出决算表》</w:t>
      </w:r>
    </w:p>
    <w:p w14:paraId="11DFCEAB">
      <w:pPr>
        <w:spacing w:line="240" w:lineRule="auto"/>
        <w:ind w:firstLine="640"/>
        <w:jc w:val="both"/>
      </w:pPr>
      <w:r>
        <w:rPr>
          <w:rFonts w:ascii="仿宋_GB2312" w:hAnsi="仿宋_GB2312" w:eastAsia="仿宋_GB2312"/>
          <w:b w:val="0"/>
          <w:sz w:val="32"/>
        </w:rPr>
        <w:t>八、《国有资本经营预算财政拨款收入支出决算表》</w:t>
      </w:r>
    </w:p>
    <w:p w14:paraId="607B1038">
      <w:pPr>
        <w:spacing w:line="240" w:lineRule="auto"/>
        <w:ind w:firstLine="640"/>
        <w:jc w:val="both"/>
      </w:pPr>
      <w:r>
        <w:rPr>
          <w:rFonts w:ascii="仿宋_GB2312" w:hAnsi="仿宋_GB2312" w:eastAsia="仿宋_GB2312"/>
          <w:b w:val="0"/>
          <w:sz w:val="32"/>
        </w:rPr>
        <w:t>九、《财政拨款“三公”经费支出决算表》</w:t>
      </w:r>
    </w:p>
    <w:p w14:paraId="6B529630">
      <w:pPr>
        <w:spacing w:line="240" w:lineRule="auto"/>
        <w:ind w:firstLine="640"/>
        <w:jc w:val="both"/>
      </w:pPr>
    </w:p>
    <w:p w14:paraId="1DFF6BD9">
      <w:pPr>
        <w:spacing w:line="240" w:lineRule="auto"/>
        <w:ind w:firstLine="640"/>
        <w:jc w:val="both"/>
      </w:pPr>
    </w:p>
    <w:p w14:paraId="5E7BDE7F">
      <w:pPr>
        <w:spacing w:line="240" w:lineRule="auto"/>
        <w:ind w:firstLine="640"/>
        <w:jc w:val="both"/>
      </w:pPr>
    </w:p>
    <w:p w14:paraId="09586B87">
      <w:pPr>
        <w:spacing w:line="240" w:lineRule="auto"/>
        <w:ind w:firstLine="640"/>
        <w:jc w:val="both"/>
      </w:pPr>
    </w:p>
    <w:p w14:paraId="0A36C3C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A95E37"/>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5988</Words>
  <Characters>6912</Characters>
  <Lines>0</Lines>
  <Paragraphs>0</Paragraphs>
  <TotalTime>0</TotalTime>
  <ScaleCrop>false</ScaleCrop>
  <LinksUpToDate>false</LinksUpToDate>
  <CharactersWithSpaces>6920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2025-09-10T11:45:04Z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