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443224"/>
    <w:p w14:paraId="56B8D5B8">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021BEA86">
      <w:pPr>
        <w:spacing w:line="540" w:lineRule="exact"/>
        <w:jc w:val="center"/>
        <w:rPr>
          <w:rFonts w:ascii="华文中宋" w:hAnsi="华文中宋" w:eastAsia="华文中宋" w:cs="宋体"/>
          <w:b/>
          <w:kern w:val="0"/>
          <w:sz w:val="52"/>
          <w:szCs w:val="52"/>
        </w:rPr>
      </w:pPr>
    </w:p>
    <w:p w14:paraId="397C3C9D">
      <w:pPr>
        <w:spacing w:line="540" w:lineRule="exact"/>
        <w:jc w:val="center"/>
        <w:rPr>
          <w:rFonts w:ascii="华文中宋" w:hAnsi="华文中宋" w:eastAsia="华文中宋" w:cs="宋体"/>
          <w:b/>
          <w:kern w:val="0"/>
          <w:sz w:val="52"/>
          <w:szCs w:val="52"/>
        </w:rPr>
      </w:pPr>
    </w:p>
    <w:p w14:paraId="148B06F0">
      <w:pPr>
        <w:spacing w:line="540" w:lineRule="exact"/>
        <w:jc w:val="center"/>
        <w:rPr>
          <w:rFonts w:ascii="华文中宋" w:hAnsi="华文中宋" w:eastAsia="华文中宋" w:cs="宋体"/>
          <w:b/>
          <w:kern w:val="0"/>
          <w:sz w:val="52"/>
          <w:szCs w:val="52"/>
        </w:rPr>
      </w:pPr>
    </w:p>
    <w:p w14:paraId="13111D35">
      <w:pPr>
        <w:spacing w:line="540" w:lineRule="exact"/>
        <w:jc w:val="center"/>
        <w:rPr>
          <w:rFonts w:ascii="华文中宋" w:hAnsi="华文中宋" w:eastAsia="华文中宋" w:cs="宋体"/>
          <w:b/>
          <w:kern w:val="0"/>
          <w:sz w:val="52"/>
          <w:szCs w:val="52"/>
        </w:rPr>
      </w:pPr>
    </w:p>
    <w:p w14:paraId="355F91B7">
      <w:pPr>
        <w:spacing w:line="540" w:lineRule="exact"/>
        <w:jc w:val="center"/>
        <w:rPr>
          <w:rFonts w:ascii="华文中宋" w:hAnsi="华文中宋" w:eastAsia="华文中宋" w:cs="宋体"/>
          <w:b/>
          <w:kern w:val="0"/>
          <w:sz w:val="52"/>
          <w:szCs w:val="52"/>
        </w:rPr>
      </w:pPr>
    </w:p>
    <w:p w14:paraId="172B1873">
      <w:pPr>
        <w:spacing w:line="540" w:lineRule="exact"/>
        <w:jc w:val="center"/>
        <w:rPr>
          <w:rFonts w:ascii="华文中宋" w:hAnsi="华文中宋" w:eastAsia="华文中宋" w:cs="宋体"/>
          <w:b/>
          <w:kern w:val="0"/>
          <w:sz w:val="52"/>
          <w:szCs w:val="52"/>
        </w:rPr>
      </w:pPr>
    </w:p>
    <w:p w14:paraId="64555B08">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751A0FEC">
      <w:pPr>
        <w:spacing w:line="540" w:lineRule="exact"/>
        <w:jc w:val="center"/>
        <w:rPr>
          <w:rFonts w:ascii="华文中宋" w:hAnsi="华文中宋" w:eastAsia="华文中宋" w:cs="宋体"/>
          <w:b/>
          <w:kern w:val="0"/>
          <w:sz w:val="52"/>
          <w:szCs w:val="52"/>
        </w:rPr>
      </w:pPr>
    </w:p>
    <w:p w14:paraId="3C9F0E78">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026F40D1">
      <w:pPr>
        <w:spacing w:line="540" w:lineRule="exact"/>
        <w:jc w:val="center"/>
        <w:rPr>
          <w:rFonts w:hAnsi="宋体" w:eastAsia="仿宋_GB2312" w:cs="宋体"/>
          <w:kern w:val="0"/>
          <w:sz w:val="30"/>
          <w:szCs w:val="30"/>
        </w:rPr>
      </w:pPr>
    </w:p>
    <w:p w14:paraId="66A5A29F">
      <w:pPr>
        <w:spacing w:line="540" w:lineRule="exact"/>
        <w:jc w:val="center"/>
        <w:rPr>
          <w:rFonts w:hAnsi="宋体" w:eastAsia="仿宋_GB2312" w:cs="宋体"/>
          <w:kern w:val="0"/>
          <w:sz w:val="30"/>
          <w:szCs w:val="30"/>
        </w:rPr>
      </w:pPr>
    </w:p>
    <w:p w14:paraId="59651248">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19EB58D0">
      <w:pPr>
        <w:spacing w:line="540" w:lineRule="exact"/>
        <w:jc w:val="center"/>
        <w:rPr>
          <w:rFonts w:hAnsi="宋体" w:eastAsia="仿宋_GB2312" w:cs="宋体"/>
          <w:kern w:val="0"/>
          <w:sz w:val="30"/>
          <w:szCs w:val="30"/>
        </w:rPr>
      </w:pPr>
    </w:p>
    <w:p w14:paraId="68939EB7">
      <w:pPr>
        <w:spacing w:line="540" w:lineRule="exact"/>
        <w:jc w:val="center"/>
        <w:rPr>
          <w:rFonts w:hAnsi="宋体" w:eastAsia="仿宋_GB2312" w:cs="宋体"/>
          <w:kern w:val="0"/>
          <w:sz w:val="30"/>
          <w:szCs w:val="30"/>
        </w:rPr>
      </w:pPr>
    </w:p>
    <w:p w14:paraId="788B19C0">
      <w:pPr>
        <w:spacing w:line="540" w:lineRule="exact"/>
        <w:jc w:val="center"/>
        <w:rPr>
          <w:rFonts w:hAnsi="宋体" w:eastAsia="仿宋_GB2312" w:cs="宋体"/>
          <w:kern w:val="0"/>
          <w:sz w:val="30"/>
          <w:szCs w:val="30"/>
        </w:rPr>
      </w:pPr>
    </w:p>
    <w:p w14:paraId="35537BC6">
      <w:pPr>
        <w:spacing w:line="540" w:lineRule="exact"/>
        <w:rPr>
          <w:rFonts w:hAnsi="宋体" w:eastAsia="仿宋_GB2312" w:cs="宋体"/>
          <w:kern w:val="0"/>
          <w:sz w:val="30"/>
          <w:szCs w:val="30"/>
        </w:rPr>
      </w:pPr>
    </w:p>
    <w:p w14:paraId="5079FCE9">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376B286A">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大庆活动经费</w:t>
      </w:r>
    </w:p>
    <w:p w14:paraId="4D079921">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中共新疆</w:t>
      </w:r>
      <w:r>
        <w:rPr>
          <w:rStyle w:val="19"/>
          <w:rFonts w:hint="eastAsia" w:ascii="楷体" w:hAnsi="楷体" w:eastAsia="楷体"/>
          <w:spacing w:val="-4"/>
          <w:sz w:val="28"/>
          <w:szCs w:val="28"/>
          <w:lang w:eastAsia="zh-CN"/>
        </w:rPr>
        <w:t>巴音郭楞蒙古自治州</w:t>
      </w:r>
      <w:bookmarkStart w:id="0" w:name="_GoBack"/>
      <w:bookmarkEnd w:id="0"/>
      <w:r>
        <w:rPr>
          <w:rStyle w:val="19"/>
          <w:rFonts w:hint="eastAsia" w:ascii="楷体" w:hAnsi="楷体" w:eastAsia="楷体"/>
          <w:spacing w:val="-4"/>
          <w:sz w:val="28"/>
          <w:szCs w:val="28"/>
        </w:rPr>
        <w:t>委员会办公室</w:t>
      </w:r>
    </w:p>
    <w:p w14:paraId="551B8B19">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中共新疆巴音郭楞蒙古自治州委员会办公室</w:t>
      </w:r>
    </w:p>
    <w:p w14:paraId="1691DCA1">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刘玉强</w:t>
      </w:r>
    </w:p>
    <w:p w14:paraId="532756D2">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2025年04月17日</w:t>
      </w:r>
    </w:p>
    <w:p w14:paraId="1A6D6C04">
      <w:pPr>
        <w:spacing w:line="700" w:lineRule="exact"/>
        <w:ind w:firstLine="708" w:firstLineChars="236"/>
        <w:jc w:val="left"/>
        <w:rPr>
          <w:rFonts w:hAnsi="宋体" w:eastAsia="仿宋_GB2312" w:cs="宋体"/>
          <w:kern w:val="0"/>
          <w:sz w:val="30"/>
          <w:szCs w:val="30"/>
        </w:rPr>
      </w:pPr>
    </w:p>
    <w:p w14:paraId="3F20AA18">
      <w:pPr>
        <w:spacing w:line="540" w:lineRule="exact"/>
        <w:rPr>
          <w:rStyle w:val="19"/>
          <w:rFonts w:ascii="黑体" w:hAnsi="黑体" w:eastAsia="黑体"/>
          <w:b w:val="0"/>
          <w:spacing w:val="-4"/>
          <w:sz w:val="32"/>
          <w:szCs w:val="32"/>
        </w:rPr>
      </w:pPr>
    </w:p>
    <w:p w14:paraId="317C8E71">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25AD2BD4">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2B61A7F9">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是巴音郭楞蒙古自治州成立70周年，经巴州党委常委会会议研究，你在全州范围内举办自治州成立70周年庆祝活动。州委办公室作为接待保障组牵头单位，主要负责自治州成立70周年庆祝活动接待保障工作，计划接待来宾400人，租赁车辆15辆，保障来宾食宿及交通费用，购买庆祝活动用品10批，有力保障庆祝活动顺利进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为做好自治州成立70周年庆祝活动接待保障工作，州委办公室作为接待保障组牵头单位，计划接待来宾400人，租赁车辆15辆，保障来宾食宿及交通费用，购买庆祝活动用品10批，有力保障庆祝活动顺利进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根据自治州70周年庆祝活动重点工作任务初步时间安排、自治州70周年庆祝活动经费预算，申请财政资金85.58万元，购买庆祝活动用品16批，租赁车辆15辆接待来宾313人，有力保障庆祝活动顺利进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该项目年初预算数85.58万元，全年预算数85.58万元，该项目资金已全部落实到位，资金来源为财政拨款。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该项目年初预算数85.58万元，全年预算数85.58万元，全年执行数85.58万元，预算执行率为100%，主要用于：购买庆祝活动用品16批，租赁车辆15辆、接待来宾313人。</w:t>
      </w:r>
    </w:p>
    <w:p w14:paraId="1F27426D">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63766F8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为做好自治州成立70周年庆祝活动接待保障工作，州委办公室作为接待保障组牵头单位，计划接待来宾400人，租赁车辆15辆，保障来宾食宿及交通费用，购买庆祝活动用品10批，有力保障庆祝活动顺利进行。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做好自治州成立70周年庆祝活动接待保障工作，州委州人民政府向自治区党委、自治区人民政府请示并上报自治州成立70周年庆祝活动经费预算方案。7月初邀请中央及自治区、河北省等疆内外嘉宾，发邀请函，对接住宿、用餐、交通等相关工作，7月25日-28日按计划接待来宾参加各项庆祝活动，安排好来宾交通及用餐、住宿等相关事宜，活动结束后，依据专项资金审计结果，支付相关活动费用。</w:t>
      </w:r>
    </w:p>
    <w:p w14:paraId="15E8E19A">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56C9E498">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34001524">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大庆活动经费项目预算绩效评价报告在编制过程中，严格遵循相关法规与标准，确保评价内容的全面性与准确性。报告涵盖了项目从预算编制、执行到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充分考虑了项目的性质、目标以及预期成果，选取了具有代表性和可衡量性的关键指标，涵盖了社会效益等多个维度，力求全方位反映项目的绩效状况。同时，对于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在数据收集与分析环节，采用了多种科学合理的方法，如问卷调查、数据分析等，广泛收集了与项目相关的各类数据，结论的科学性和可靠性。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大庆活动经费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通过对项目预算执行情况及各项绩效目标达成程度的系统性分析，全面、客观地评估项目在预定周期内的实施效果，包括社会效益等多维度指标，为项目后续的改进与优化提供科学依据。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大庆活动经费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大庆活动经费及其预算执行情况。该项目由巴州党委办公室负责实施，旨在通过购买庆祝活动用品16批，租赁车辆15辆、接待来宾313人，为庆祝活动顺利进行提供有力保障。项目预算涵盖从2024年7月1日至2024年10月31日的全部资金投入与支出，涉及资金总额为85.58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大庆活动经费预算绩效评价报告的评价范围广泛而全面，涵盖了从项目立项至评价时点期间的所有关键预算活动和财务流程。具体而言，评价范围包括但不限于以下几个方面：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预算编制与执行：全面审视项目预算的编制依据、合理性、科学性以及实际执行情况，为做好自治州成立70周年庆祝活动接待保障工作，州委州人民政府向自治区党委、自治区人民政府请示并上报自治州成立70周年庆祝活动经费预算方案。7月初邀请中央及自治区、河北省等疆内外嘉宾，发邀请函，对接住宿、用餐、交通等相关工作，7月25日-28日按计划接待来宾参加各项庆祝活动，安排好来宾交通及用餐、住宿等相关事宜，活动结束后，依据专项资金审计结果，支付相关活动费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资金管理：深入分析项目资金的分配、使用和监管情况，确保资金使用的合规性、高效性和透明度。为做好自治州成立70周年庆祝活动接待保障工作，依据自治州成立70周年庆祝活动经费预算方案。在7月25日-28日按计划接待来宾参加各项庆祝活动，安排好来宾交通及用餐、住宿等相关事宜。活动结束后，依据巴州审计局专项资金审计结果，支付相关活动费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进度与产出：评估项目是否按照既定计划顺利推进，各项任务是否按时完成，以及项目产出的数量、质量和时效性是否符合预期。为做好自治州成立70周年庆祝活动接待保障工作，州委州人民政府向自治区党委、自治区人民政府请示经同意，上报自治州成立70周年庆祝活动经费预算方案。7月初邀请中央及自治区、河北省等疆内外嘉宾，发邀请函，对接住宿、用餐、交通等相关工作，7月25日-28日按时、按计划接待313名来宾参加各项庆祝活动，安排15辆大巴车方便来宾交通及对接5个大型宾馆安排好313名来宾用餐、住宿等相关事宜，活动结束后，依据专项资金审计结果，支付相关活动费用，接待来宾满意度达到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社会影响：考察项目对社会方面的综合影响。为有力保障大庆活动圆满成功，做好各方面保障工作，为大庆活动顺利进行工作提供有力保障。</w:t>
      </w:r>
    </w:p>
    <w:p w14:paraId="15123EF9">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6E3B58BC">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（1）科学公正。绩效评价应当运用科学合理的方法，按照规范的程序，对项目绩效进行客观、公正的反映。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（2）统筹兼顾。单位自评、部门评价和财政评价应职责明确，各有侧重，相互衔接。单位自评应由项目单位自主实施，即“谁支出、谁自评”。部门评价和财政评价应在单位自评的基础上开展。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（4）公开透明。绩效评价结果应依法依规公开，并自觉接受社会监督。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  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因素分析法。是指综合分析影响绩效目标实现、实施效果的内外部因素的方法。从目标明确性、计划完整性、资源配资合理性、风险应对措施等方面分析大庆活动经费使用的科学性有效性。州委办公室依据大庆活动综合接待保障组70周年庆祝活动工作方案，明确庆祝活动接待保障组的总体工作目标，结合拟邀请参加自治州成立70周年庆祝活动单位、人员名单，优化活动流程安排、保障人员交通、人员食宿等方面经费预算准确，通过分析可以全面了解州委办公室在大庆活动接待保障工作中存在的优点和不足，为经后类似活动的策划和组织提供经验参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计划标准。指以预先制定的目标、计划、预算、定额等作为评价标准。巴州党委办公室在活动开始前，通过制定详细的接待方案、接待标准、按照接待来宾级别、偏好、安排好人员交通及住宿，对经费预算编制准确，时间管理，经费投入合理，整体服务质量等方面进行评价。</w:t>
      </w:r>
    </w:p>
    <w:p w14:paraId="0934AA92">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6E5425D5">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党委办公室作为接待保障组牵头单位，在项目绩效评价工作启动之初，成立了专门的评价工作小组，小组成员由财务人员、项目管理专业人员组成，确保从多角度、全方位对项目绩效进行评价。同时，明确了评价工作的目标、范围、重点及时间安排，制定了详细的工作计划，为评价工作的顺利开展奠定了坚实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广泛收集与项目相关的各类数据，包括财务报表、项目文档、业务数据、来宾反馈等。在数据收集过程中，注重数据的质量与完整性，对缺失或异常的数据进行了合理的处理和补充。随后，对收集到的数据进行了系统的整理与分类，为后续的数据分析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（6）后续跟踪与改进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55ADF461">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44EB4326">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本项目的综合评价基于对项目各方面绩效的深入分析与评估。从项目目标的达成情况来看，大庆活动经费项目在有力保障大庆活动圆满成功方面表现出色，达到了预期的标准与要求。同时，项目也在来宾满意度上取得了显著的成效，如来宾满意度达到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在项目管理方面，大庆活动经费项目通过巴州党委办公室有效的规划、组织与协调，项目得以顺利实施，并在预算与时间上保持了良好的控制。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从项目效益的角度来看，大庆活动经费项目实现了预期的社会效益、在有力保障大庆活动圆满成功方面产生了积极的影响。具体而言，来宾满意度方面大大提升，为提高巴州知名度产生良好的社会效益。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综上所述，大庆活动经费在绩效评价中表现出色，达到了项目的预期目标，并在多个方面取得了显著的成效。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 98分，属于“优”。其中，项目决策类指标权重为20分，得分为 20分，得分率为 100%。项目过程类指标权重为20分，得分为20分，得分率为 100%。项目产出类指标权重为40分，得分为38分，得分率为 95%。项目效益类指标权重为20分，得分为20分，得分率为100%。具体打分情况详见：附件1综合评分表。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38</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98</w:t>
      </w:r>
    </w:p>
    <w:p w14:paraId="7A42B2B4">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7AD14D06">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753983F9">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大庆活动经费项目经州委州人民政府报自治区党委、人民政府同意，立项符合国家相关法律法规及发展政策，符合行业规划要求，围绕本年度工作重点和工作计划制定经费预算，属于公共财政支持范围。大庆活动经费与部门内部其他相关项目不重复。相关申请资料及会议纪要等归档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大庆活动经费项目经州委州人民政府报自治区党委、人民政府同意，项目申请、设立过程符合相关要求，严格按照审批流程准备符合要求的文件、材料；根据60年大庆活动资料为依据编制工作计划和经费预算，经过与大庆办州直其他工作组牵头单位分管领导沟通、筛选确定经费预算计划，确定最终预算方案。项目的审批文件、材料符合相关要求，项目事前经过必要的集体决策，审计监督，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项目设置了明确的预期产出效益和效果，将绩效目标细化分解为具体的绩效指标，绩效目标与项目目标任务数相对应，绩效目标设定的绩效指标清晰、细化、可衡量。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大庆活动经费的预算编制过程严谨、科学，充分体现了精细化管理的要求。预算编制之初，进行了全面的成本估算，确保项目所需的各项资源得到合理的预估与分配。同时，预算编制还紧密结合了项目的特点与实际情况，对不同人员类型、不同参观活动的住宿、用餐资金需求进行了详细的分析与计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预算编制过程中，还注重了成本控制与效益最大化的原则。通过优化资源配置、提高资金使用效率等措施，确保项目在有限的预算内取得最大的社会效益。此外，预算编制还充分考虑了风险因素，对可能出现的超支情况进行了预留与规划，以应对项目实施过程中的不确定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本项目的资金分配遵循了公平、公正、透明的原则，确保了项目资源的合理配置与高效利用。在资金分配过程中，我们充分考虑了项目的实际需求与目标，对不同阶段、不同任务的资金进行了科学的规划与安排。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综上所述，本项目的资金分配是合理的、科学的，既符合项目的实际情况，又满足了资金使用的效益最大化要求。资金分配的合理性为项目的成功实施提供了有力的保障，也为项目的绩效评价奠定了坚实的基础。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473BA1DD">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4FD8FA8F">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项目过程类指标包括资金管理和组织实施两方面的内容，由5个三级指标构成，权重分值为20分，实际得分20分，得分率为20%。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本项目总投资85.58万元，财政资金及时足额到位，到位率100%，预算资金按计划进度执行。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预算编制较为详细，项目资金支出总体能够按照预算执行，预算资金支出85.58万元，预算执行率为100%。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大庆活动经费项目的资金使用严格遵循了国家相关法律法规与财务制度，确保了资金的合规性与安全性。在资金使用过程中，我们依据完善的州委办公室财务管理体系，对资金的申请、审批、使用进行了全程监控与记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使用坚持了专款专用的原则，确保了项目资金不被挪用或截留。同时，我们还加强了对资金使用的审计与监督，及时发现并纠正可能存在的问题。提高资金使用效率等措施，确保了项目资金的最大化利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大庆活动经费项目拥有一套完善、健全的州委办公室财务管理制度体系，为项目的成功实施提供了坚实的制度保障。制定了紧密结合项目特点与实际情况的资金支付流程，充分考虑了项目的策划、组织、实施、监控与收尾等各个环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综上所述，本项目的管理制度是健全的、有效的，既符合项目的实际情况，又满足了项目管理的需要。管理制度的健全性为项目的成功实施提供了有力的保障，也为项目的绩效评价奠定了坚实的基础。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大庆活动项目在执行过程中，管理制度得到了全面、有效的落实，为确保项目的顺利实施与目标实现提供了坚实的保障。项目单位重视制度执行的重要性，通过明确责任分工、制定详细执行计划、加强监督考核等措施，确保了各项管理制度能够得到有效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在具体执行过程中，项目团队成员严格按照制度要求进行操作。同时，我们还建立了有效的沟通机制与反馈机制，确保项目信息的及时传递与问题的及时解决，进一步提高了制度执行的效率与效果。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综上所述，本项目的管理制度在执行过程中表现出了高度的有效性，既确保了项目的顺利进行，又实现了项目目标的有效达成。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485A6975">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06E6428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项目产出类指标包括产出数量、产出质量、产出时效、产出成本四方面的内容，由7个三级指标构成，权重分为40分，实际得分38分，得分率为95%。具体产出指标完成情况如下：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指标1：接待来宾数量，指标值：&gt;=400人，实际完成值：313人，指标完成率78.25 %，偏差原因：根据60周年大庆来宾人数预计指标，与实际来宾人数相差较大，今后要精准预算，确保绩效指标的科学性、准确性。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指标2：租赁车辆数量，指标值：&gt;=15辆，实际完成值：15辆，指标完成率100 %。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指标3：购买活动用品数量，指标值：&gt;=10批，实际完成值：16批，指标完成率100 %，偏差原因：活动物资品种较多，分批次及时提供，超预计批次，今后要加强预算目标制定的科学性、准确性。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此项权重分值为10分，得分为8分。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指标1：活动用品采购质量合格率，指标值：=100%，实际完成值：100%，指标完成率100 %。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指标1：接待活动完成时间，指标值：2024年7月30日前，实际完成值：2024年7月29日，指标完成率100 %。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指标2：车辆租赁完成时间，指标值：2024年7月30日前，实际完成值：2024年7月28日，指标完成率100 %。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指标3：购买活动用品完成时间，指标值：2024年10月30日前，实际完成值：2024年10月24日，指标完成率100 %。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指标1：来宾食宿成本，指标值：&lt;=57.30万元，实际完成值：57.30万元，指标完成率100 %。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指标2：购买活动用品成本，指标值：&lt;=14.83万元，实际完成值：14.83万元，指标完成率100 %。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指标3：车辆租赁费用，指标值：&lt;=13.45万元，实际完成值：13.45万元，指标完成率100 %。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6F69B8F2">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26874076">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项目效益类指标包括项目实施效益和满意度两方面的内容，由1个三级指标构成，权重分为20分，实际得分20分，得分率为100%。具体效益指标及满意度指标完成情况如下：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②社会效益指标：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指标1：有力保障大庆活动圆满成功，指标值：有力保障万元，实际完成值：有力保障，指标完成率100 %。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423F3BBE">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2.满意度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指标1：来宾满意度，指标值：&gt;=99%，实际完成值：100%，指标完成率100 %。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60A421D4">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1A4F7393">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为确保项目顺利进行，大庆活动经费项目于2023年12月开始筹划，向自治区党委人民政府请示报告，与自治区民委积极沟通提前做好项目规划，将所列计划再三讨论审核。在项目实施过程中做好定期督促检查，严格按照项目管理规范进行，在项目资金使用过程中，严格按照巴州审计局专项资金审计结果落实经费支出，按照项目资金使用范围做好审核支付工作，让项目资金落于实处。在项目完成后，做好来宾满意度调查，确认项目经费的使用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严格坚持专项资金先做事、后验收、再支付的原则，杜绝了资金被挤占和挪用现象的发生。财政、审计等职能部门全面参与专项资金事前、事中和事后全过程的监管。在监督环节上，实行关口前移，从事后监督管理转向事中监督和事后检查稽核相结合的监督制度上来，形成多环节全过程的监督管理格局，尽量早发现问题，早解决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1.相关绩效管理方面专业知识的系统性学习有待加强。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2.各项指标的设置要进一步优化、完善，主要在细化、量化上改进。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3.在绩效自评过程中，由干部分人员缺乏相关绩效管理专业知识，自评价工作还存在自我审定的局限性，影响评价质量。</w:t>
      </w:r>
    </w:p>
    <w:p w14:paraId="2FD4C240">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737BA4B2">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1.多进行有关绩效管理工作方面的培训。积极参加第三方开展的绩效管理工作培训，进一步夯实业务基础，提高我单位绩效人员水平。进一步提升我单位绩效管理工作业务水平，扎实做好绩效管理工作。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进一步规范项目实施的程序。细化项目实施方案，严格执行资金管理办法和财政资金管理制度。进一步完善项目评价过程中有关数据和资料的收集、整理、审核及分析。项目启动时同步做好档案的归纳与整理，及时整理、收集、汇总，健全档案资料。项目后续管理有待进一步加强和跟踪。</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进一步加强对绩效管理工作的组织领导，提高对预算绩效管理工作重要性的认识，总结经验查找问题，抓紧研究制定更全面更完善的绩效评价管理办法。让“花钱必问效，无效必问责”的理念深入工作每个环节。</w:t>
      </w:r>
    </w:p>
    <w:p w14:paraId="4180CD57">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1B5B8339">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53F37FF3">
      <w:pPr>
        <w:spacing w:line="540" w:lineRule="exact"/>
        <w:ind w:firstLine="567"/>
        <w:rPr>
          <w:rStyle w:val="19"/>
          <w:rFonts w:ascii="仿宋" w:hAnsi="仿宋" w:eastAsia="仿宋"/>
          <w:b w:val="0"/>
          <w:spacing w:val="-4"/>
          <w:sz w:val="32"/>
          <w:szCs w:val="32"/>
        </w:rPr>
      </w:pPr>
    </w:p>
    <w:p w14:paraId="53422A6B">
      <w:pPr>
        <w:spacing w:line="540" w:lineRule="exact"/>
        <w:ind w:firstLine="567"/>
        <w:rPr>
          <w:rStyle w:val="19"/>
          <w:rFonts w:ascii="仿宋" w:hAnsi="仿宋" w:eastAsia="仿宋"/>
          <w:b w:val="0"/>
          <w:spacing w:val="-4"/>
          <w:sz w:val="32"/>
          <w:szCs w:val="32"/>
        </w:rPr>
      </w:pPr>
    </w:p>
    <w:p w14:paraId="7B12EA35">
      <w:pPr>
        <w:spacing w:line="540" w:lineRule="exact"/>
        <w:ind w:firstLine="567"/>
        <w:rPr>
          <w:rStyle w:val="19"/>
          <w:rFonts w:ascii="仿宋" w:hAnsi="仿宋" w:eastAsia="仿宋"/>
          <w:b w:val="0"/>
          <w:spacing w:val="-4"/>
          <w:sz w:val="32"/>
          <w:szCs w:val="32"/>
        </w:rPr>
      </w:pPr>
    </w:p>
    <w:p w14:paraId="2C597352">
      <w:pPr>
        <w:spacing w:line="540" w:lineRule="exact"/>
        <w:ind w:firstLine="567"/>
        <w:rPr>
          <w:rStyle w:val="19"/>
          <w:rFonts w:ascii="仿宋" w:hAnsi="仿宋" w:eastAsia="仿宋"/>
          <w:b w:val="0"/>
          <w:spacing w:val="-4"/>
          <w:sz w:val="32"/>
          <w:szCs w:val="32"/>
        </w:rPr>
      </w:pPr>
    </w:p>
    <w:p w14:paraId="5C0B773B">
      <w:pPr>
        <w:spacing w:line="540" w:lineRule="exact"/>
        <w:ind w:firstLine="567"/>
        <w:rPr>
          <w:rStyle w:val="19"/>
          <w:rFonts w:ascii="仿宋" w:hAnsi="仿宋" w:eastAsia="仿宋"/>
          <w:b w:val="0"/>
          <w:spacing w:val="-4"/>
          <w:sz w:val="32"/>
          <w:szCs w:val="32"/>
        </w:rPr>
      </w:pPr>
    </w:p>
    <w:p w14:paraId="18B42DB8">
      <w:pPr>
        <w:spacing w:line="540" w:lineRule="exact"/>
        <w:ind w:firstLine="567"/>
        <w:rPr>
          <w:rStyle w:val="19"/>
          <w:rFonts w:ascii="仿宋" w:hAnsi="仿宋" w:eastAsia="仿宋"/>
          <w:b w:val="0"/>
          <w:spacing w:val="-4"/>
          <w:sz w:val="32"/>
          <w:szCs w:val="32"/>
        </w:rPr>
      </w:pPr>
    </w:p>
    <w:p w14:paraId="336AD08D">
      <w:pPr>
        <w:spacing w:line="540" w:lineRule="exact"/>
        <w:ind w:firstLine="567"/>
        <w:rPr>
          <w:rStyle w:val="19"/>
          <w:rFonts w:ascii="仿宋" w:hAnsi="仿宋" w:eastAsia="仿宋"/>
          <w:b w:val="0"/>
          <w:spacing w:val="-4"/>
          <w:sz w:val="32"/>
          <w:szCs w:val="32"/>
        </w:rPr>
      </w:pPr>
    </w:p>
    <w:p w14:paraId="26C43C51">
      <w:pPr>
        <w:spacing w:line="540" w:lineRule="exact"/>
        <w:ind w:firstLine="567"/>
        <w:rPr>
          <w:rStyle w:val="19"/>
          <w:rFonts w:ascii="仿宋" w:hAnsi="仿宋" w:eastAsia="仿宋"/>
          <w:b w:val="0"/>
          <w:spacing w:val="-4"/>
          <w:sz w:val="32"/>
          <w:szCs w:val="32"/>
        </w:rPr>
      </w:pPr>
    </w:p>
    <w:p w14:paraId="5C7CB4AF">
      <w:pPr>
        <w:spacing w:line="540" w:lineRule="exact"/>
        <w:ind w:firstLine="567"/>
        <w:rPr>
          <w:rStyle w:val="19"/>
          <w:rFonts w:ascii="仿宋" w:hAnsi="仿宋" w:eastAsia="仿宋"/>
          <w:b w:val="0"/>
          <w:spacing w:val="-4"/>
          <w:sz w:val="32"/>
          <w:szCs w:val="32"/>
        </w:rPr>
      </w:pPr>
    </w:p>
    <w:p w14:paraId="379C6296">
      <w:pPr>
        <w:spacing w:line="540" w:lineRule="exact"/>
        <w:ind w:firstLine="567"/>
        <w:rPr>
          <w:rStyle w:val="19"/>
          <w:rFonts w:ascii="仿宋" w:hAnsi="仿宋" w:eastAsia="仿宋"/>
          <w:b w:val="0"/>
          <w:spacing w:val="-4"/>
          <w:sz w:val="32"/>
          <w:szCs w:val="32"/>
        </w:rPr>
      </w:pPr>
    </w:p>
    <w:p w14:paraId="631F3223">
      <w:pPr>
        <w:spacing w:line="540" w:lineRule="exact"/>
        <w:ind w:firstLine="567"/>
        <w:rPr>
          <w:rStyle w:val="19"/>
          <w:rFonts w:ascii="仿宋" w:hAnsi="仿宋" w:eastAsia="仿宋"/>
          <w:b w:val="0"/>
          <w:spacing w:val="-4"/>
          <w:sz w:val="32"/>
          <w:szCs w:val="32"/>
        </w:rPr>
      </w:pPr>
    </w:p>
    <w:p w14:paraId="153E2F40">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DBA4D9D-334A-48F9-ACF7-76A3211631A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245E5A59-F640-4479-8A03-767C6D500B98}"/>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5647160D-2B40-4C91-B120-C210421228DA}"/>
  </w:font>
  <w:font w:name="华文中宋">
    <w:panose1 w:val="02010600040101010101"/>
    <w:charset w:val="86"/>
    <w:family w:val="auto"/>
    <w:pitch w:val="default"/>
    <w:sig w:usb0="00000287" w:usb1="080F0000" w:usb2="00000000" w:usb3="00000000" w:csb0="0004009F" w:csb1="DFD70000"/>
    <w:embedRegular r:id="rId4" w:fontKey="{52EC485B-A01C-4ABB-ADAC-BFB1388394DC}"/>
  </w:font>
  <w:font w:name="方正小标宋_GBK">
    <w:panose1 w:val="02000000000000000000"/>
    <w:charset w:val="86"/>
    <w:family w:val="script"/>
    <w:pitch w:val="default"/>
    <w:sig w:usb0="A00002BF" w:usb1="38CF7CFA" w:usb2="00082016" w:usb3="00000000" w:csb0="00040001" w:csb1="00000000"/>
    <w:embedRegular r:id="rId5" w:fontKey="{BE6D2354-9501-4395-878F-66387BCB96F0}"/>
  </w:font>
  <w:font w:name="仿宋_GB2312">
    <w:altName w:val="仿宋"/>
    <w:panose1 w:val="02010609030101010101"/>
    <w:charset w:val="86"/>
    <w:family w:val="modern"/>
    <w:pitch w:val="default"/>
    <w:sig w:usb0="00000000" w:usb1="00000000" w:usb2="00000000" w:usb3="00000000" w:csb0="00040000" w:csb1="00000000"/>
    <w:embedRegular r:id="rId6" w:fontKey="{D5CE0F14-C3FE-41D3-8D3F-2A523BE30C3E}"/>
  </w:font>
  <w:font w:name="楷体">
    <w:panose1 w:val="02010609060101010101"/>
    <w:charset w:val="86"/>
    <w:family w:val="modern"/>
    <w:pitch w:val="default"/>
    <w:sig w:usb0="800002BF" w:usb1="38CF7CFA" w:usb2="00000016" w:usb3="00000000" w:csb0="00040001" w:csb1="00000000"/>
    <w:embedRegular r:id="rId7" w:fontKey="{77ECE50A-F2D9-4F6D-9BBA-0BC649C4536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5520BFEA">
        <w:pPr>
          <w:pStyle w:val="12"/>
          <w:jc w:val="center"/>
        </w:pPr>
        <w:r>
          <w:fldChar w:fldCharType="begin"/>
        </w:r>
        <w:r>
          <w:instrText xml:space="preserve">PAGE   \* MERGEFORMAT</w:instrText>
        </w:r>
        <w:r>
          <w:fldChar w:fldCharType="separate"/>
        </w:r>
        <w:r>
          <w:rPr>
            <w:lang w:val="zh-CN"/>
          </w:rPr>
          <w:t>1</w:t>
        </w:r>
        <w:r>
          <w:fldChar w:fldCharType="end"/>
        </w:r>
      </w:p>
    </w:sdtContent>
  </w:sdt>
  <w:p w14:paraId="377DA945">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DD6F72"/>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46217e9b-c3ae-4e25-adf9-6d79ecf76f5e}">
  <ds:schemaRefs/>
</ds:datastoreItem>
</file>

<file path=docProps/app.xml><?xml version="1.0" encoding="utf-8"?>
<Properties xmlns="http://schemas.openxmlformats.org/officeDocument/2006/extended-properties" xmlns:vt="http://schemas.openxmlformats.org/officeDocument/2006/docPropsVTypes">
  <Template>Normal.dotm</Template>
  <Pages>21</Pages>
  <Words>10187</Words>
  <Characters>10536</Characters>
  <Lines>5</Lines>
  <Paragraphs>1</Paragraphs>
  <TotalTime>0</TotalTime>
  <ScaleCrop>false</ScaleCrop>
  <LinksUpToDate>false</LinksUpToDate>
  <CharactersWithSpaces>10580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2025-09-22T11:02:11Z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