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79ED8"/>
    <w:p w14:paraId="109EEAE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700213">
      <w:pPr>
        <w:spacing w:line="540" w:lineRule="exact"/>
        <w:jc w:val="center"/>
        <w:rPr>
          <w:rFonts w:ascii="华文中宋" w:hAnsi="华文中宋" w:eastAsia="华文中宋" w:cs="宋体"/>
          <w:b/>
          <w:kern w:val="0"/>
          <w:sz w:val="52"/>
          <w:szCs w:val="52"/>
        </w:rPr>
      </w:pPr>
    </w:p>
    <w:p w14:paraId="688F70DC">
      <w:pPr>
        <w:spacing w:line="540" w:lineRule="exact"/>
        <w:jc w:val="center"/>
        <w:rPr>
          <w:rFonts w:ascii="华文中宋" w:hAnsi="华文中宋" w:eastAsia="华文中宋" w:cs="宋体"/>
          <w:b/>
          <w:kern w:val="0"/>
          <w:sz w:val="52"/>
          <w:szCs w:val="52"/>
        </w:rPr>
      </w:pPr>
    </w:p>
    <w:p w14:paraId="7B004CD7">
      <w:pPr>
        <w:spacing w:line="540" w:lineRule="exact"/>
        <w:jc w:val="center"/>
        <w:rPr>
          <w:rFonts w:ascii="华文中宋" w:hAnsi="华文中宋" w:eastAsia="华文中宋" w:cs="宋体"/>
          <w:b/>
          <w:kern w:val="0"/>
          <w:sz w:val="52"/>
          <w:szCs w:val="52"/>
        </w:rPr>
      </w:pPr>
    </w:p>
    <w:p w14:paraId="5C41F096">
      <w:pPr>
        <w:spacing w:line="540" w:lineRule="exact"/>
        <w:jc w:val="center"/>
        <w:rPr>
          <w:rFonts w:ascii="华文中宋" w:hAnsi="华文中宋" w:eastAsia="华文中宋" w:cs="宋体"/>
          <w:b/>
          <w:kern w:val="0"/>
          <w:sz w:val="52"/>
          <w:szCs w:val="52"/>
        </w:rPr>
      </w:pPr>
    </w:p>
    <w:p w14:paraId="6F237A80">
      <w:pPr>
        <w:spacing w:line="540" w:lineRule="exact"/>
        <w:jc w:val="center"/>
        <w:rPr>
          <w:rFonts w:ascii="华文中宋" w:hAnsi="华文中宋" w:eastAsia="华文中宋" w:cs="宋体"/>
          <w:b/>
          <w:kern w:val="0"/>
          <w:sz w:val="52"/>
          <w:szCs w:val="52"/>
        </w:rPr>
      </w:pPr>
    </w:p>
    <w:p w14:paraId="00967DDE">
      <w:pPr>
        <w:spacing w:line="540" w:lineRule="exact"/>
        <w:jc w:val="center"/>
        <w:rPr>
          <w:rFonts w:ascii="华文中宋" w:hAnsi="华文中宋" w:eastAsia="华文中宋" w:cs="宋体"/>
          <w:b/>
          <w:kern w:val="0"/>
          <w:sz w:val="52"/>
          <w:szCs w:val="52"/>
        </w:rPr>
      </w:pPr>
    </w:p>
    <w:p w14:paraId="305FE4D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DA75DC7">
      <w:pPr>
        <w:spacing w:line="540" w:lineRule="exact"/>
        <w:jc w:val="center"/>
        <w:rPr>
          <w:rFonts w:ascii="华文中宋" w:hAnsi="华文中宋" w:eastAsia="华文中宋" w:cs="宋体"/>
          <w:b/>
          <w:kern w:val="0"/>
          <w:sz w:val="52"/>
          <w:szCs w:val="52"/>
        </w:rPr>
      </w:pPr>
    </w:p>
    <w:p w14:paraId="7255323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9736002">
      <w:pPr>
        <w:spacing w:line="540" w:lineRule="exact"/>
        <w:jc w:val="center"/>
        <w:rPr>
          <w:rFonts w:hAnsi="宋体" w:eastAsia="仿宋_GB2312" w:cs="宋体"/>
          <w:kern w:val="0"/>
          <w:sz w:val="30"/>
          <w:szCs w:val="30"/>
        </w:rPr>
      </w:pPr>
    </w:p>
    <w:p w14:paraId="368DBAEA">
      <w:pPr>
        <w:spacing w:line="540" w:lineRule="exact"/>
        <w:jc w:val="center"/>
        <w:rPr>
          <w:rFonts w:hAnsi="宋体" w:eastAsia="仿宋_GB2312" w:cs="宋体"/>
          <w:kern w:val="0"/>
          <w:sz w:val="30"/>
          <w:szCs w:val="30"/>
        </w:rPr>
      </w:pPr>
    </w:p>
    <w:p w14:paraId="08425ED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3DFC906">
      <w:pPr>
        <w:spacing w:line="540" w:lineRule="exact"/>
        <w:jc w:val="center"/>
        <w:rPr>
          <w:rFonts w:hAnsi="宋体" w:eastAsia="仿宋_GB2312" w:cs="宋体"/>
          <w:kern w:val="0"/>
          <w:sz w:val="30"/>
          <w:szCs w:val="30"/>
        </w:rPr>
      </w:pPr>
    </w:p>
    <w:p w14:paraId="50F405E4">
      <w:pPr>
        <w:spacing w:line="540" w:lineRule="exact"/>
        <w:jc w:val="center"/>
        <w:rPr>
          <w:rFonts w:hAnsi="宋体" w:eastAsia="仿宋_GB2312" w:cs="宋体"/>
          <w:kern w:val="0"/>
          <w:sz w:val="30"/>
          <w:szCs w:val="30"/>
        </w:rPr>
      </w:pPr>
    </w:p>
    <w:p w14:paraId="51CD3981">
      <w:pPr>
        <w:spacing w:line="540" w:lineRule="exact"/>
        <w:jc w:val="center"/>
        <w:rPr>
          <w:rFonts w:hAnsi="宋体" w:eastAsia="仿宋_GB2312" w:cs="宋体"/>
          <w:kern w:val="0"/>
          <w:sz w:val="30"/>
          <w:szCs w:val="30"/>
        </w:rPr>
      </w:pPr>
    </w:p>
    <w:p w14:paraId="12A2528A">
      <w:pPr>
        <w:spacing w:line="540" w:lineRule="exact"/>
        <w:rPr>
          <w:rFonts w:hAnsi="宋体" w:eastAsia="仿宋_GB2312" w:cs="宋体"/>
          <w:kern w:val="0"/>
          <w:sz w:val="30"/>
          <w:szCs w:val="30"/>
        </w:rPr>
      </w:pPr>
    </w:p>
    <w:p w14:paraId="6BF2735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68A210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档案征集、保护、数字化与安全项目</w:t>
      </w:r>
    </w:p>
    <w:p w14:paraId="449698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2153DAC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40D91D4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张军</w:t>
      </w:r>
    </w:p>
    <w:p w14:paraId="6D8BA4B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57D2EFAC">
      <w:pPr>
        <w:spacing w:line="700" w:lineRule="exact"/>
        <w:ind w:firstLine="708" w:firstLineChars="236"/>
        <w:jc w:val="left"/>
        <w:rPr>
          <w:rFonts w:hAnsi="宋体" w:eastAsia="仿宋_GB2312" w:cs="宋体"/>
          <w:kern w:val="0"/>
          <w:sz w:val="30"/>
          <w:szCs w:val="30"/>
        </w:rPr>
      </w:pPr>
    </w:p>
    <w:p w14:paraId="575D9B6E">
      <w:pPr>
        <w:spacing w:line="540" w:lineRule="exact"/>
        <w:rPr>
          <w:rStyle w:val="19"/>
          <w:rFonts w:ascii="黑体" w:hAnsi="黑体" w:eastAsia="黑体"/>
          <w:b w:val="0"/>
          <w:spacing w:val="-4"/>
          <w:sz w:val="32"/>
          <w:szCs w:val="32"/>
        </w:rPr>
      </w:pPr>
    </w:p>
    <w:p w14:paraId="3235C18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1FB8B5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2399DF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新党办发［2015］5号、巴党办发［2015］52号精神，要加大对档案事业投入力度，要求财政部门要按照部门预算编制和管理有关规定，科学合理核定国家档案馆在档案史料征集、抢救保护、安全保密、信息化、现代化管理、编研、利用服务、档案人员教育培训、陈列展览及设备购置和运行维护等方面的经费，列入同级财政预算。 立项依据：《关于加强和改进新形势下档案工作的实施意见》巴党办发［2015］52号、《自治区党委办公厅 自治区人民政府办公厅印发&lt;关于加强和改进新形势下档案工作的实施意见&gt;》新党办发［2015］5号。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项目主要内容：购置设备2台；购置馆库布置用品8批次；搬迁装卸20车次，物业管理2024年4-12月，共9个月，新馆13528.13平方米全年的消防维保。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搬入新建档案馆后，根据新馆的布局、功能需要、馆库面积等实际情况，购置了2台设备，分别是：激光多功能一体机1台、扫描仪1台；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改善了环境，方便了群众查阅，提高了工作效率和服务大局、服务社会、服务群众的能力，加强了档案的开发利用，促进了档案业务工作提质增效，提高了查阅群众的满意度；完成了搬迁装卸20车次，找了专业的有经验的搬家公司，完成了搬迁装卸工作，确保了搬迁过程中，档案的安全完整；完成了新馆13528.13平方米的消防维保检测和2024年4-12月物业管理，保障了档案馆大楼的安全，健全完善了档案的安全保障体系，为更好地发挥档案馆为党管档、为国守史、为民服务的作用提供了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该项目年初预算数34.86万元，全年预算数34.86万元，该项目资金已全部落实到位，资金来源为财政拨款。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34.86万元，全年预算数34.86万元，，全年执行数34.86万元，预算执行率为100%，主要用于：购置设备2台，11150元；购置馆库布置用品8批次，260250元；搬迁装卸20车次，共8200元；物业管理2024年4-12月，共9个月，63000元；新馆13528.13平方米全年的消防维保，6000元。</w:t>
      </w:r>
    </w:p>
    <w:p w14:paraId="122A2F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E7CC8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搬入自治州新建档案馆。根据新馆的布局、功能需要、馆库面积等实际情况，需要购置设备2台，其中：多功能一体机1台、扫描仪1台，用于改善档案基础设备，提高技术手段；购置馆库布置用品8批次，用于新馆库房、展厅、查阅室及公用区域进行装饰布置的用品及制作的开支，用以提高档案利用服务工作效率，服务大局、服务社会、服务群众的能力，增强档案开发利用，促进档案业务工作提质增效，提高查阅群众满意度；搬迁装卸20车次，物业管理2024年4-12月，共9个月，新馆13528.13平方米全年的消防维保，确保档案馆大楼的安全，健全档案安全保障体系，以适应新形势下档案事业发展的需要，更好地发挥档案馆为党管档、为国守史、为民服务的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搬入新建档案馆后，根据新馆的布局、功能需要、馆库面积等实际情况，购置了2台设备，分别是：激光多功能一体机1台、扫描仪1台；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完成了搬迁装卸20车次，找了专业的有经验的搬家公司，完成了搬迁装卸工作；完成了新馆13528.13平方米的消防维保检测和2024年4-12月物业管理。</w:t>
      </w:r>
    </w:p>
    <w:p w14:paraId="7DD4609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6FBC93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5C5473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档案征集、保护、数字化与安全项目预算绩效评价报告在编制过程中，严格遵循《中华人民共和国预算法》</w:t>
      </w:r>
      <w:r>
        <w:rPr>
          <w:rStyle w:val="19"/>
          <w:rFonts w:hint="eastAsia" w:ascii="楷体" w:hAnsi="楷体" w:eastAsia="楷体"/>
          <w:spacing w:val="-4"/>
          <w:sz w:val="32"/>
          <w:szCs w:val="32"/>
          <w:lang w:eastAsia="zh-CN"/>
        </w:rPr>
        <w:t>《中华人民共和国政府采购法》</w:t>
      </w:r>
      <w:r>
        <w:rPr>
          <w:rStyle w:val="19"/>
          <w:rFonts w:hint="eastAsia" w:ascii="楷体" w:hAnsi="楷体" w:eastAsia="楷体"/>
          <w:spacing w:val="-4"/>
          <w:sz w:val="32"/>
          <w:szCs w:val="32"/>
        </w:rPr>
        <w:t>及实施条例、《中华人民共和国档案法》、《项目支出绩效评价管理办法》《行政事业性国有资产管理条例》、《预算绩效评价共同性指标体系框架》《政府会计制度》《政府集中采购目录及标准》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档案征集、保护、数字化与安全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本项目预算绩效评价报告的评价对象是档案征集、保护、数字化与安全项目及其预算执行情况。该项目由</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档案馆负责实施，旨在购置办公设备，改善档案基础设备，提高服务利用的技术手段，提高工作质量和效率；购置馆库安装布置用品，用于对新馆档案库房、展厅、查阅利用室、办公室及公用区域进行装饰布置，安装制度牌、索引牌、宣传牌、提示牌、门牌等并对气味较重的区域进行了甲醛和异味清除，改善环境，方便了群众查阅，提高工作效率和服务大局、服务社会、服务群众的能力，加强档案的开发利用，促进档案业务工作提质增效，提高查阅群众的满意度；完成搬迁装卸，确保了搬迁过程中，档案的安全完整；完成新馆的消防维保检测和物业管理，保障档案馆大楼的安全，健全完善档案的安全保障体系，为更好地发挥档案馆为党管档、为国守史、为民服务的作用提供了保障。项目预算涵盖从2024年1月1日至2024年12月31日的全部资金投入与支出，涉及资金总额为34.86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因为新馆搬迁，对档案征集、保护、数字化与安全项目的绩效目标进行了调整，结合新建档案馆布局、功能需求，制定了项目使用计划，科学合理的安排资金的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资金按项目设调整后的计划，划分资金的用途，确保采购预算与计划保持一致，做到不超预算采购。通过严格的资金规划、支付控制、和动态监控，有效降低财务风险，确保本项目高效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档案征集、保护、数字化与安全项目严格按照项目实施计划，动态跟踪监控，定期汇总项目进度，对执行中存在问题，及时解决纠正，确保按计划完成项目，达到预期目标。</w:t>
      </w:r>
    </w:p>
    <w:p w14:paraId="76BF42F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0609C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档案征集、保护、数字化与安全项目下达后，根据确定的绩效目标，制定详细的使用计划，在预算金额范围内，最大限度的达成预期目标，以达到成本最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申请本项目时，巴州档案馆制定了详细的项目实施计划，确定了项目要达到的目标，需求分析，预算控制、验收采购、分配使用等，做为项目执行过程中的一个参考标准和评价标准。</w:t>
      </w:r>
    </w:p>
    <w:p w14:paraId="0FF4EF8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F095B0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专门的绩效评价工作小组，小组成员由财务人员、项目管理人员及相关科室工作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并对收集到的数据进行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通过对各项绩效指标的实际完成情况与预期目标进行对比，计算出指标的完成率，并结合指标权重进行综合评分，从而得出项目的整体绩效评价结果。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D1F498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8618CF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本项目的综合评价基于对项目各方面绩效的深入分析与评估。从项目目标的达成情况来看，档案征集、保护、数字化与安全项目在改善基础设施，提高工作效率，确保档案馆大楼安全 等方面表现出色，达到了预期的标准与要求。同时，项目也在成本控制和经济效益环节取得了显著的成效，如充分利用资金，做好成本控制，未出现资源浪费、闲置等。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从项目效益的角度来看，本项目不仅实现了预期的经济效益等方面产生了积极的影响。具体而言，工作环境改善、档案的安全保障、工作效率等方面的提升，为项目的利益相关者带来了实实在在的利益。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综上所述，档案征集、保护、数字化与安全项目在绩效评价中表现出色，达到了项目的预期目标，并在多个方面取得了显著的成效。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AC20DE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CFF9DD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5C18A0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保障项目设立符合《中华人民共和国档案法》等国家相关法律法规及发展政策，符合档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C7BD1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788B2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本项目总投资34.86万元，财政资金及时足额到位，到位率100%，预算资金按计划进度执行。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预算编制较为详细，项目资金支出总体能够按照预算执行，预算资金支出34.86万元，预算执行率为100%。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已制定有一套完善、健全的管理制度体系，如《预算绩效管理制度》、《财务管理制度》、《预算收支计划与管理办法》、《内部牵制、稽核制度》、《岗位责任制》、《资金管理制度》、《政府采购内部管理制度》等财务和《档案利用工作制度》、《档案保密工作制度》、《档案开放工作制度》、《档案接收工作制度》等业务管理制度及工作流程，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A472C2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05D46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指标1：设备购置数量，指标值：&gt;=2台 ，实际完成值：2台，指标完成率100%。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指标2：采购馆库布置用品数量，指标值：&gt;=8批 ，实际完成值：8批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指标3：搬运装卸次数，指标值：&gt;=20次 ，实际完成值：20次，指标完成率100%。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指标4：消防维保面积 ，指标值：=13528.13平方米，实际完成值：13528.13平方米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指标5：物业管理期间 ，指标值：&gt;=9月，实际完成值：9月，指标完成率100%。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指标4：馆库布置用品质量合格率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指标5：消防维保验收合格率，指标值：=100%，实际完成值：100%，指标完成率100%。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指标6：物业管理验收合格率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指标1：设备采购完成时间，指标值：2024年9月30日 ，实际完成值：2024年6月11日，指标完成率100%。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指标2：馆库布置用品采购完成时间，指标值：2024年11月30日 ，实际完成值：2024年10月17日，指标完成率100%。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指标3：搬迁装卸完成时间，指标值：2024年9月30日 ，实际完成值：2024年7月4日，指标完成率100%%。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指标4：消防维保费支付完成时间，指标值：2024年11月30日 ，实际完成值：2024年10月14日，指标完成率100%。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指标1：设备采购成本，指标值：&lt;=11150元 ，实际完成值：11150元，指标完成率100%。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指标2：馆库布置用品采购成本，指标值：&lt;=260250元 ，实际完成值：260250元，指标完成率100%%。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指标3：搬运装卸费用，指标值：&lt;=8200元 ，实际完成值：8200元，指标完成率100%。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指标4：消防维保费 ，指标值：&lt;=6000元，实际完成值：6000元，指标完成率100%。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指标5：物业管理费用，指标值：&lt;=63000元，实际完成值：63000元，指标完成率100%。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DD50D7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809329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指标1：设备利用率 ，指标值：=100%元，实际完成值：100%，指标完成率100%。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p>
    <w:p w14:paraId="72350F2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0C37DF7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53C1FD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3E5B14A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B9982A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0C64767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546C7F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178842E7">
      <w:pPr>
        <w:spacing w:line="540" w:lineRule="exact"/>
        <w:ind w:firstLine="567"/>
        <w:rPr>
          <w:rStyle w:val="19"/>
          <w:rFonts w:ascii="仿宋" w:hAnsi="仿宋" w:eastAsia="仿宋"/>
          <w:b w:val="0"/>
          <w:spacing w:val="-4"/>
          <w:sz w:val="32"/>
          <w:szCs w:val="32"/>
        </w:rPr>
      </w:pPr>
    </w:p>
    <w:p w14:paraId="1480FB4D">
      <w:pPr>
        <w:spacing w:line="540" w:lineRule="exact"/>
        <w:ind w:firstLine="567"/>
        <w:rPr>
          <w:rStyle w:val="19"/>
          <w:rFonts w:ascii="仿宋" w:hAnsi="仿宋" w:eastAsia="仿宋"/>
          <w:b w:val="0"/>
          <w:spacing w:val="-4"/>
          <w:sz w:val="32"/>
          <w:szCs w:val="32"/>
        </w:rPr>
      </w:pPr>
    </w:p>
    <w:p w14:paraId="5F98F39B">
      <w:pPr>
        <w:spacing w:line="540" w:lineRule="exact"/>
        <w:ind w:firstLine="567"/>
        <w:rPr>
          <w:rStyle w:val="19"/>
          <w:rFonts w:ascii="仿宋" w:hAnsi="仿宋" w:eastAsia="仿宋"/>
          <w:b w:val="0"/>
          <w:spacing w:val="-4"/>
          <w:sz w:val="32"/>
          <w:szCs w:val="32"/>
        </w:rPr>
      </w:pPr>
    </w:p>
    <w:p w14:paraId="080C795C">
      <w:pPr>
        <w:spacing w:line="540" w:lineRule="exact"/>
        <w:ind w:firstLine="567"/>
        <w:rPr>
          <w:rStyle w:val="19"/>
          <w:rFonts w:ascii="仿宋" w:hAnsi="仿宋" w:eastAsia="仿宋"/>
          <w:b w:val="0"/>
          <w:spacing w:val="-4"/>
          <w:sz w:val="32"/>
          <w:szCs w:val="32"/>
        </w:rPr>
      </w:pPr>
    </w:p>
    <w:p w14:paraId="72F60C42">
      <w:pPr>
        <w:spacing w:line="540" w:lineRule="exact"/>
        <w:ind w:firstLine="567"/>
        <w:rPr>
          <w:rStyle w:val="19"/>
          <w:rFonts w:ascii="仿宋" w:hAnsi="仿宋" w:eastAsia="仿宋"/>
          <w:b w:val="0"/>
          <w:spacing w:val="-4"/>
          <w:sz w:val="32"/>
          <w:szCs w:val="32"/>
        </w:rPr>
      </w:pPr>
    </w:p>
    <w:p w14:paraId="56DA22B3">
      <w:pPr>
        <w:spacing w:line="540" w:lineRule="exact"/>
        <w:ind w:firstLine="567"/>
        <w:rPr>
          <w:rStyle w:val="19"/>
          <w:rFonts w:ascii="仿宋" w:hAnsi="仿宋" w:eastAsia="仿宋"/>
          <w:b w:val="0"/>
          <w:spacing w:val="-4"/>
          <w:sz w:val="32"/>
          <w:szCs w:val="32"/>
        </w:rPr>
      </w:pPr>
    </w:p>
    <w:p w14:paraId="2465AC94">
      <w:pPr>
        <w:spacing w:line="540" w:lineRule="exact"/>
        <w:ind w:firstLine="567"/>
        <w:rPr>
          <w:rStyle w:val="19"/>
          <w:rFonts w:ascii="仿宋" w:hAnsi="仿宋" w:eastAsia="仿宋"/>
          <w:b w:val="0"/>
          <w:spacing w:val="-4"/>
          <w:sz w:val="32"/>
          <w:szCs w:val="32"/>
        </w:rPr>
      </w:pPr>
    </w:p>
    <w:p w14:paraId="68A643C0">
      <w:pPr>
        <w:spacing w:line="540" w:lineRule="exact"/>
        <w:ind w:firstLine="567"/>
        <w:rPr>
          <w:rStyle w:val="19"/>
          <w:rFonts w:ascii="仿宋" w:hAnsi="仿宋" w:eastAsia="仿宋"/>
          <w:b w:val="0"/>
          <w:spacing w:val="-4"/>
          <w:sz w:val="32"/>
          <w:szCs w:val="32"/>
        </w:rPr>
      </w:pPr>
    </w:p>
    <w:p w14:paraId="39C4F983">
      <w:pPr>
        <w:spacing w:line="540" w:lineRule="exact"/>
        <w:ind w:firstLine="567"/>
        <w:rPr>
          <w:rStyle w:val="19"/>
          <w:rFonts w:ascii="仿宋" w:hAnsi="仿宋" w:eastAsia="仿宋"/>
          <w:b w:val="0"/>
          <w:spacing w:val="-4"/>
          <w:sz w:val="32"/>
          <w:szCs w:val="32"/>
        </w:rPr>
      </w:pPr>
    </w:p>
    <w:p w14:paraId="19D01838">
      <w:pPr>
        <w:spacing w:line="540" w:lineRule="exact"/>
        <w:ind w:firstLine="567"/>
        <w:rPr>
          <w:rStyle w:val="19"/>
          <w:rFonts w:ascii="仿宋" w:hAnsi="仿宋" w:eastAsia="仿宋"/>
          <w:b w:val="0"/>
          <w:spacing w:val="-4"/>
          <w:sz w:val="32"/>
          <w:szCs w:val="32"/>
        </w:rPr>
      </w:pPr>
    </w:p>
    <w:p w14:paraId="0F71647E">
      <w:pPr>
        <w:spacing w:line="540" w:lineRule="exact"/>
        <w:ind w:firstLine="567"/>
        <w:rPr>
          <w:rStyle w:val="19"/>
          <w:rFonts w:ascii="仿宋" w:hAnsi="仿宋" w:eastAsia="仿宋"/>
          <w:b w:val="0"/>
          <w:spacing w:val="-4"/>
          <w:sz w:val="32"/>
          <w:szCs w:val="32"/>
        </w:rPr>
      </w:pPr>
    </w:p>
    <w:p w14:paraId="4F909F8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F9755E-A2DB-4E3F-98BB-8DCD270162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0921195-9FFC-4B61-9BA2-57034905316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B669B2B-3172-4CD3-8056-44D07B3D04CB}"/>
  </w:font>
  <w:font w:name="华文中宋">
    <w:panose1 w:val="02010600040101010101"/>
    <w:charset w:val="86"/>
    <w:family w:val="auto"/>
    <w:pitch w:val="default"/>
    <w:sig w:usb0="00000287" w:usb1="080F0000" w:usb2="00000000" w:usb3="00000000" w:csb0="0004009F" w:csb1="DFD70000"/>
    <w:embedRegular r:id="rId4" w:fontKey="{68C8B460-F103-40D7-ACE2-1D84B037481C}"/>
  </w:font>
  <w:font w:name="方正小标宋_GBK">
    <w:panose1 w:val="02000000000000000000"/>
    <w:charset w:val="86"/>
    <w:family w:val="script"/>
    <w:pitch w:val="default"/>
    <w:sig w:usb0="A00002BF" w:usb1="38CF7CFA" w:usb2="00082016" w:usb3="00000000" w:csb0="00040001" w:csb1="00000000"/>
    <w:embedRegular r:id="rId5" w:fontKey="{A0F6B674-41DD-4ABE-8AC7-7DDFC1EE4EBE}"/>
  </w:font>
  <w:font w:name="仿宋_GB2312">
    <w:altName w:val="仿宋"/>
    <w:panose1 w:val="02010609030101010101"/>
    <w:charset w:val="86"/>
    <w:family w:val="modern"/>
    <w:pitch w:val="default"/>
    <w:sig w:usb0="00000000" w:usb1="00000000" w:usb2="00000000" w:usb3="00000000" w:csb0="00040000" w:csb1="00000000"/>
    <w:embedRegular r:id="rId6" w:fontKey="{DD7323BD-B963-4375-89E8-90414F1CE0CF}"/>
  </w:font>
  <w:font w:name="楷体">
    <w:panose1 w:val="02010609060101010101"/>
    <w:charset w:val="86"/>
    <w:family w:val="modern"/>
    <w:pitch w:val="default"/>
    <w:sig w:usb0="800002BF" w:usb1="38CF7CFA" w:usb2="00000016" w:usb3="00000000" w:csb0="00040001" w:csb1="00000000"/>
    <w:embedRegular r:id="rId7" w:fontKey="{4056645B-671F-43A8-B388-B4F5225A649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BEB939">
        <w:pPr>
          <w:pStyle w:val="12"/>
          <w:jc w:val="center"/>
        </w:pPr>
        <w:r>
          <w:fldChar w:fldCharType="begin"/>
        </w:r>
        <w:r>
          <w:instrText xml:space="preserve">PAGE   \* MERGEFORMAT</w:instrText>
        </w:r>
        <w:r>
          <w:fldChar w:fldCharType="separate"/>
        </w:r>
        <w:r>
          <w:rPr>
            <w:lang w:val="zh-CN"/>
          </w:rPr>
          <w:t>1</w:t>
        </w:r>
        <w:r>
          <w:fldChar w:fldCharType="end"/>
        </w:r>
      </w:p>
    </w:sdtContent>
  </w:sdt>
  <w:p w14:paraId="5C25BE6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32A85"/>
    <w:rsid w:val="5F10011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0d69cf2-8ec1-4baa-a420-665c4bd5d3d2}">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10764</Words>
  <Characters>11267</Characters>
  <Lines>5</Lines>
  <Paragraphs>1</Paragraphs>
  <TotalTime>0</TotalTime>
  <ScaleCrop>false</ScaleCrop>
  <LinksUpToDate>false</LinksUpToDate>
  <CharactersWithSpaces>11327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2025-09-22T08:38:48Z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