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BE9D0B"/>
    <w:p w14:paraId="6E4C6C74">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11DFD185">
      <w:pPr>
        <w:spacing w:line="540" w:lineRule="exact"/>
        <w:jc w:val="center"/>
        <w:rPr>
          <w:rFonts w:ascii="华文中宋" w:hAnsi="华文中宋" w:eastAsia="华文中宋" w:cs="宋体"/>
          <w:b/>
          <w:kern w:val="0"/>
          <w:sz w:val="52"/>
          <w:szCs w:val="52"/>
        </w:rPr>
      </w:pPr>
    </w:p>
    <w:p w14:paraId="17D25CAB">
      <w:pPr>
        <w:spacing w:line="540" w:lineRule="exact"/>
        <w:jc w:val="center"/>
        <w:rPr>
          <w:rFonts w:ascii="华文中宋" w:hAnsi="华文中宋" w:eastAsia="华文中宋" w:cs="宋体"/>
          <w:b/>
          <w:kern w:val="0"/>
          <w:sz w:val="52"/>
          <w:szCs w:val="52"/>
        </w:rPr>
      </w:pPr>
    </w:p>
    <w:p w14:paraId="23FE919A">
      <w:pPr>
        <w:spacing w:line="540" w:lineRule="exact"/>
        <w:jc w:val="center"/>
        <w:rPr>
          <w:rFonts w:ascii="华文中宋" w:hAnsi="华文中宋" w:eastAsia="华文中宋" w:cs="宋体"/>
          <w:b/>
          <w:kern w:val="0"/>
          <w:sz w:val="52"/>
          <w:szCs w:val="52"/>
        </w:rPr>
      </w:pPr>
    </w:p>
    <w:p w14:paraId="6D5C87F6">
      <w:pPr>
        <w:spacing w:line="540" w:lineRule="exact"/>
        <w:jc w:val="center"/>
        <w:rPr>
          <w:rFonts w:ascii="华文中宋" w:hAnsi="华文中宋" w:eastAsia="华文中宋" w:cs="宋体"/>
          <w:b/>
          <w:kern w:val="0"/>
          <w:sz w:val="52"/>
          <w:szCs w:val="52"/>
        </w:rPr>
      </w:pPr>
    </w:p>
    <w:p w14:paraId="6BB412C2">
      <w:pPr>
        <w:spacing w:line="540" w:lineRule="exact"/>
        <w:jc w:val="center"/>
        <w:rPr>
          <w:rFonts w:ascii="华文中宋" w:hAnsi="华文中宋" w:eastAsia="华文中宋" w:cs="宋体"/>
          <w:b/>
          <w:kern w:val="0"/>
          <w:sz w:val="52"/>
          <w:szCs w:val="52"/>
        </w:rPr>
      </w:pPr>
    </w:p>
    <w:p w14:paraId="7E8927D1">
      <w:pPr>
        <w:spacing w:line="540" w:lineRule="exact"/>
        <w:jc w:val="center"/>
        <w:rPr>
          <w:rFonts w:ascii="华文中宋" w:hAnsi="华文中宋" w:eastAsia="华文中宋" w:cs="宋体"/>
          <w:b/>
          <w:kern w:val="0"/>
          <w:sz w:val="52"/>
          <w:szCs w:val="52"/>
        </w:rPr>
      </w:pPr>
    </w:p>
    <w:p w14:paraId="3273839D">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39A78EE0">
      <w:pPr>
        <w:spacing w:line="540" w:lineRule="exact"/>
        <w:jc w:val="center"/>
        <w:rPr>
          <w:rFonts w:ascii="华文中宋" w:hAnsi="华文中宋" w:eastAsia="华文中宋" w:cs="宋体"/>
          <w:b/>
          <w:kern w:val="0"/>
          <w:sz w:val="52"/>
          <w:szCs w:val="52"/>
        </w:rPr>
      </w:pPr>
    </w:p>
    <w:p w14:paraId="5243C5AB">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301C18D5">
      <w:pPr>
        <w:spacing w:line="540" w:lineRule="exact"/>
        <w:jc w:val="center"/>
        <w:rPr>
          <w:rFonts w:hAnsi="宋体" w:eastAsia="仿宋_GB2312" w:cs="宋体"/>
          <w:kern w:val="0"/>
          <w:sz w:val="30"/>
          <w:szCs w:val="30"/>
        </w:rPr>
      </w:pPr>
    </w:p>
    <w:p w14:paraId="4E7B75D2">
      <w:pPr>
        <w:spacing w:line="540" w:lineRule="exact"/>
        <w:jc w:val="center"/>
        <w:rPr>
          <w:rFonts w:hAnsi="宋体" w:eastAsia="仿宋_GB2312" w:cs="宋体"/>
          <w:kern w:val="0"/>
          <w:sz w:val="30"/>
          <w:szCs w:val="30"/>
        </w:rPr>
      </w:pPr>
    </w:p>
    <w:p w14:paraId="08E47F54">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102BA8E7">
      <w:pPr>
        <w:spacing w:line="540" w:lineRule="exact"/>
        <w:jc w:val="center"/>
        <w:rPr>
          <w:rFonts w:hAnsi="宋体" w:eastAsia="仿宋_GB2312" w:cs="宋体"/>
          <w:kern w:val="0"/>
          <w:sz w:val="30"/>
          <w:szCs w:val="30"/>
        </w:rPr>
      </w:pPr>
    </w:p>
    <w:p w14:paraId="6803CB54">
      <w:pPr>
        <w:spacing w:line="540" w:lineRule="exact"/>
        <w:jc w:val="center"/>
        <w:rPr>
          <w:rFonts w:hAnsi="宋体" w:eastAsia="仿宋_GB2312" w:cs="宋体"/>
          <w:kern w:val="0"/>
          <w:sz w:val="30"/>
          <w:szCs w:val="30"/>
        </w:rPr>
      </w:pPr>
    </w:p>
    <w:p w14:paraId="3D6B5414">
      <w:pPr>
        <w:spacing w:line="540" w:lineRule="exact"/>
        <w:jc w:val="center"/>
        <w:rPr>
          <w:rFonts w:hAnsi="宋体" w:eastAsia="仿宋_GB2312" w:cs="宋体"/>
          <w:kern w:val="0"/>
          <w:sz w:val="30"/>
          <w:szCs w:val="30"/>
        </w:rPr>
      </w:pPr>
    </w:p>
    <w:p w14:paraId="360A8A52">
      <w:pPr>
        <w:spacing w:line="540" w:lineRule="exact"/>
        <w:rPr>
          <w:rFonts w:hAnsi="宋体" w:eastAsia="仿宋_GB2312" w:cs="宋体"/>
          <w:kern w:val="0"/>
          <w:sz w:val="30"/>
          <w:szCs w:val="30"/>
        </w:rPr>
      </w:pPr>
    </w:p>
    <w:p w14:paraId="6FCBC6E1">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140884A">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自治州新建档案馆办公设备和家具采购经费</w:t>
      </w:r>
    </w:p>
    <w:p w14:paraId="0DC084EE">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新疆巴州档案馆</w:t>
      </w:r>
    </w:p>
    <w:p w14:paraId="3722989E">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新疆巴州档案馆</w:t>
      </w:r>
    </w:p>
    <w:p w14:paraId="78CAE936">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张军</w:t>
      </w:r>
    </w:p>
    <w:p w14:paraId="464F7A5B">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2025年04月01日</w:t>
      </w:r>
    </w:p>
    <w:p w14:paraId="3379C368">
      <w:pPr>
        <w:spacing w:line="700" w:lineRule="exact"/>
        <w:ind w:firstLine="708" w:firstLineChars="236"/>
        <w:jc w:val="left"/>
        <w:rPr>
          <w:rFonts w:hAnsi="宋体" w:eastAsia="仿宋_GB2312" w:cs="宋体"/>
          <w:kern w:val="0"/>
          <w:sz w:val="30"/>
          <w:szCs w:val="30"/>
        </w:rPr>
      </w:pPr>
    </w:p>
    <w:p w14:paraId="050ED55B">
      <w:pPr>
        <w:spacing w:line="540" w:lineRule="exact"/>
        <w:rPr>
          <w:rStyle w:val="19"/>
          <w:rFonts w:ascii="黑体" w:hAnsi="黑体" w:eastAsia="黑体"/>
          <w:b w:val="0"/>
          <w:spacing w:val="-4"/>
          <w:sz w:val="32"/>
          <w:szCs w:val="32"/>
        </w:rPr>
      </w:pPr>
    </w:p>
    <w:p w14:paraId="5513644F">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7ECA92B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15327BD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4月，巴州档案馆搬迁入自治州新建档案馆。由于巴州档案馆现有办公设备和家具用具大部分都超过使用年限，老化严重，在搬迁过程中，经过拆装和运输，部分松散损坏不能使用；而且新建档案馆增加了档案技术、业务用房。综上原因，档案馆需要购置补充办公设备和家具用具。经州人民政府、州财政局批准，设立本项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项目主要内容：本项目经费用于新建档案馆购置办公设备和家具用具的支出，购置国产计算机及配套软件4套，净水机、办公桌椅、窗帘等134件家具用具。</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2024年，巴州档案馆搬入新建档案馆，结合新馆布局、功能需求和固定资产现状，购置了国产台式计算机、配套操作系统、办公软件4套，23814元，完成了部分国产化替代；购置了窗帘52幅，20906元；净水机1台，6000元；改善了办公环境。购置了县级领导办公桌3张，单价1950元；一般干部办公桌3张，单价960元；椅子3把，单价480元；会议室椅子40把，单价240元；党性教师椅子30把，单价385元；讲台1个，980元；保密柜1个，980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该项目年初预算数8.4万元，全年预算数8.4万元，该项目资金已全部落实到位，资金来源为财政拨款。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8.4万元，全年预算数8.4万元，全年执行数8.4万元，预算执行率为100%，主要用于：新建档案馆购置办公设备和家具用具，改善办公条件，为查阅利用群众提供良好的查阅环境，购置了国产台式计算机、配套操作系统、办公软件4套；购置了窗帘52幅；净水机1台；购置了县级领导办公桌3张；一般干部办公桌3张；椅子3把；会议室椅子40把；党性教师椅子30把，单价385元；讲台1个；保密柜1个。</w:t>
      </w:r>
    </w:p>
    <w:p w14:paraId="0AB71A6D">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5038209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4月，巴州档案馆已完成整体搬迁。州档案馆结合新馆布局、功能需求等情况，对现有办公设备和家具用具进行了全面细致的摸排。经核查，巴州档案馆现有办公设备和家具用具大部分都超过使用年限，老化严重，在搬迁过程中，两次拆装和搬运，使部分松散、损坏不能正常使用。并且现有办公设备与自治区档案馆关于“数字档案管理系统应基于安可适配”的要求有较大差距，已无法满足新馆正常业务开展，需进行国产化替代。为充分发挥档案馆为党管挡、为国守史、为民服务的功能作用，需购置新的办公设备4套和家具用具134件，更好地为提供广大群众提供档案的查阅利用，提高工作效率和查阅群众的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按照项目设立时的计划，分批进行设备和家具用具的询价采购，8月份采购并安装了净水机1台，价值6000元和窗帘52幅，价值20906元。年底前采购了办公家具81件，价值33280元，包括：县级领导办公桌3张，单价1950元；一般干部办公桌3张，单价960元；椅子3把，单价480元；会议室椅子40把，单价240元；党性教师椅子30把，单价385元；讲台1个，980元；保密柜1个，980元。</w:t>
      </w:r>
    </w:p>
    <w:p w14:paraId="52D0448C">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78098373">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4766DE6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自治州新建档案馆办公设备和家具采购经费项目预算绩效评价报告在编制过程中，严格遵循《中华人民共和国预算法》</w:t>
      </w:r>
      <w:bookmarkStart w:id="0" w:name="_GoBack"/>
      <w:r>
        <w:rPr>
          <w:rStyle w:val="19"/>
          <w:rFonts w:hint="eastAsia" w:ascii="楷体" w:hAnsi="楷体" w:eastAsia="楷体"/>
          <w:spacing w:val="-4"/>
          <w:sz w:val="32"/>
          <w:szCs w:val="32"/>
          <w:lang w:eastAsia="zh-CN"/>
        </w:rPr>
        <w:t>《中华人民共和国政府采购</w:t>
      </w:r>
      <w:bookmarkEnd w:id="0"/>
      <w:r>
        <w:rPr>
          <w:rStyle w:val="19"/>
          <w:rFonts w:hint="eastAsia" w:ascii="楷体" w:hAnsi="楷体" w:eastAsia="楷体"/>
          <w:spacing w:val="-4"/>
          <w:sz w:val="32"/>
          <w:szCs w:val="32"/>
          <w:lang w:eastAsia="zh-CN"/>
        </w:rPr>
        <w:t>法》法</w:t>
      </w:r>
      <w:r>
        <w:rPr>
          <w:rStyle w:val="19"/>
          <w:rFonts w:hint="eastAsia" w:ascii="楷体" w:hAnsi="楷体" w:eastAsia="楷体"/>
          <w:spacing w:val="-4"/>
          <w:sz w:val="32"/>
          <w:szCs w:val="32"/>
        </w:rPr>
        <w:t>及实施条例、《中华人民共和国档案法》、《项目支出绩效评价管理办法》《行政事业性国有资产管理条例》、《预算绩效评价共同性指标体系框架》《政府会计制度》《政府集中采购目录及标准》等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经济效益等多个维度，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文档审查、实地调研、对比分析等，广泛收集了与项目相关的各类数据，进行分析并深入挖掘，以确保评价结论的科学性和可靠性。此外，还对数据的质量和完整性进行了严格把控，对于异常的数据进行了合理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自治州新建档案馆办公设备和家具采购经费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自治州新建档案馆办公设备和家具采购经费项目预算执行情况及各项绩效目标达成程度的系统性分析，全面、客观地评估项目在预定周期内的实施效果，包括经济效益等多维度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自治州新建档案馆办公设备和家具采购经费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自治州新建档案馆办公设备和家具采购经费项目各科室在预算绩效管理中的职责与任务，借助绩效评价结果对项目管理过程进行监督与问责，促使本单位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自治州新建档案馆办公设备和家具采购经费项目主管部门、财政部门及相关决策层提供详实、准确的绩效评价信息，辅助其在项目审批、预算安排、政策调整等关键决策环节做出更加科学、合理的判断，促进项目资源的合理分配与有效整合，推动巴州档案馆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自治州新建档案馆办公设备和家具采购经费项目相关科室聚焦关键环节，持续优化项目实施方案，加强过程监控与质量把控，形成项目绩效持续改进的良性循环，不断提升自治州新建档案馆办公设备和家具采购经费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自治州新建档案馆办公设备和家具采购经费项目预算绩效评价报告的编制以提升项目绩效为核心，旨在通过科学、严谨的评价工作，为自治州新建档案馆办公设备和家具采购经费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本项目预算绩效评价报告的评价对象是自治州新建档案馆办公设备和家具采购经费项目及其预算执行情况。该项目由</w:t>
      </w:r>
      <w:r>
        <w:rPr>
          <w:rStyle w:val="19"/>
          <w:rFonts w:hint="eastAsia" w:ascii="楷体" w:hAnsi="楷体" w:eastAsia="楷体"/>
          <w:spacing w:val="-4"/>
          <w:sz w:val="32"/>
          <w:szCs w:val="32"/>
          <w:lang w:eastAsia="zh-CN"/>
        </w:rPr>
        <w:t>巴音郭楞蒙古自治州</w:t>
      </w:r>
      <w:r>
        <w:rPr>
          <w:rStyle w:val="19"/>
          <w:rFonts w:hint="eastAsia" w:ascii="楷体" w:hAnsi="楷体" w:eastAsia="楷体"/>
          <w:spacing w:val="-4"/>
          <w:sz w:val="32"/>
          <w:szCs w:val="32"/>
        </w:rPr>
        <w:t>档案馆负责实施，旨在为新建档案馆购置新的办公设备和家具用具，完成部分国产化计算机替代及更新老旧、损坏的家具用具，可以更好地开展业务，为广大群众提供更加良好的服务。项目预算涵盖从2024年8月1日至2024年9月30日的全部资金投入与支出，涉及资金总额为8.4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自治州新建档案馆办公设备和家具采购经费项目预算绩效评价报告的评价范围广泛而全面，涵盖了从项目立项至评价时点期间的所有关键预算活动和财务流程。具体而言，评价范围包括但不限于以下几个方面：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项目预算的编制依据、合理性、科学性以及实际执行情况。自治州新建档案馆办公设备和家具采购经费项目是巴州档案馆搬入新建档案馆后申请追加的项目，州档案馆结合新建档案馆布局、功能需求、人员编制等情况，对现有办公设备和家具用具进行了全面细致的摸排。在资金有限的情况下，与各科精通沟通确认需求优先级，通过供应商报价、电商平台等获取参考价。在执行时进行三方询价，在不超预算的情况下，最大限度的达成目标，通过政采云平台完成采购。</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项目资金的分配、使用和监管情况，确保资金使用的合规性、高效性和透明度。自治州新建档案馆办公设备和家具采购经费项目资金按项目设立时的计划，划分资金的用途，确保采购预算与计划保持一致，做到不超预算采购。通过严格的资金规划、支付控制、和动态监控，有效降低财务风险，确保本项目高效完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项目是否按照既定计划顺利推进，各项任务是否按时完成，以及项目产出的数量、质量和时效性是否符合预期。自治州新建档案馆办公设备和家具采购经费项目严格按照项目实施计划，动态跟踪监控，定期汇总项目进度，对执行中存在问题，购置设备是否符合要求，质量是否合格，利用率如何，是否有闲置浪费等，及时解决纠正，确保按计划完成项目，达到预期目标。</w:t>
      </w:r>
    </w:p>
    <w:p w14:paraId="411629D7">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1E68932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我单位项目绩效评价遵循以下基本原则：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（2）统筹兼顾。单位自评、部门评价和财政评价职责明确，各有侧重，相互衔接。单位自评由</w:t>
      </w:r>
      <w:r>
        <w:rPr>
          <w:rStyle w:val="19"/>
          <w:rFonts w:hint="eastAsia" w:ascii="楷体" w:hAnsi="楷体" w:eastAsia="楷体"/>
          <w:spacing w:val="-4"/>
          <w:sz w:val="32"/>
          <w:szCs w:val="32"/>
          <w:lang w:eastAsia="zh-CN"/>
        </w:rPr>
        <w:t>巴音郭楞蒙古自治州</w:t>
      </w:r>
      <w:r>
        <w:rPr>
          <w:rStyle w:val="19"/>
          <w:rFonts w:hint="eastAsia" w:ascii="楷体" w:hAnsi="楷体" w:eastAsia="楷体"/>
          <w:spacing w:val="-4"/>
          <w:sz w:val="32"/>
          <w:szCs w:val="32"/>
        </w:rPr>
        <w:t>档案馆自主实施，即“谁支出、谁自评”。部门评价和财政评价在单位自评的基础上开展。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与预算安排、政策调整、改进管理实质性挂钩，体现奖优罚劣和激励相容导向，有效要安排、低效要压减、无效要问责。我单位定期对项目的实施情况和经费使用情况进行跟踪检查，对能实现预期目标的予以充分肯定，对进展缓慢的及时进行协调并督促相关责任人作出整改措施，确保项目正常进行，达到预期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（4）公开透明。本次项目支出绩效评价结果已报财政部门依法依规公开，并自觉接受社会监督。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最低成本法。是指在绩效目标确定的前提下，成本最小者为优的方法。自治州新建档案馆办公设备和家具采购经费项目，制定了详细的采购计划，因最后下达的资金与申请的资金差距较大，对计划进行调整，与各科室沟通，份阶段采购，按需求优先级来安排采购，在资金确定的情况，通过供应商报价和电商平台了解价格与参数，确保最低的价格购置到最满意的设备，达到预算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计划标准。指以预先制定的目标、计划、预算、定额等作为评价标准。申请本项目时，巴州档案馆制定了详细的项目实施计划，确定了项目要达到的目标，需求分析，预算控制、验收采购、分配使用等，做为项目执行过程中的一个参考标准和评价标准。</w:t>
      </w:r>
    </w:p>
    <w:p w14:paraId="45D1287E">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7DE97BE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档案馆成立了专门的绩效评价工作小组，小组成员由财务人员、项目管理人员及相关科室技术人员组成，确保从多角度、全方位对项目绩效进行评价。同时，明确了评价工作的目标、范围、重点及时间安排，制定了详细的工作计划，为绩效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包括财务报表、项目文档、业务数据、会议纪要、实施计划、进度安排等。在数据收集过程中，注重数据的质量与完整性，对缺失或异常的数据进行了合理的处理和补充。并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通过对各项绩效指标的实际完成情况与预期目标进行对比，计算出指标的完成率，并结合指标权重进行综合评分，从而得出项目的绩效评价结果。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6C9A0C85">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001BBE23">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自治州新建档案馆办公设备和家具采购经费项目在购置办公家具用具，改善工作环境，提高工作效率方面表现出色，达到了预期的标准与要求。同时，项目也在成本控制和经济效益环节取得了显著的成效，如在有限的资金范围内，最大限度的完成了采购任务，未超预算，未产生浪费、闲置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在项目管理方面，巴音郭楞蒙古自治州档案馆通过有效的规划、组织与协调，项目得以顺利实施，并在预算与时间上保持了良好的控制。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从项目效益的角度来看，本项目实现了预期的经济效益。具体而言，购置设备和家具用具分配合理，充分使用，改善办公条件、提高工作效率等方面得到了提升，为项目的利益相关者带来了实实在在的利益。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综上所述，自治州新建档案馆办公设备和家具采购经费项目在绩效评价中表现出色，达到了项目的预期目标，并在多个方面取得了显著的成效。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90分，属于“优”。其中，项目决策类指标权重为20分，得分为 20分，得分率为100%。项目过程类指标权重为20分，得分为20分，得分率为 100%。项目产出类指标权重为40分，得分为30分，得分率为 75%。项目效益类指标权重为20分，得分为20分，得分率为100%。具体打分情况详见：附件1综合评分表。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30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90</w:t>
      </w:r>
    </w:p>
    <w:p w14:paraId="2DF20488">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7612196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1482458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该项目立项符合《中华人民共和国预算法》</w:t>
      </w:r>
      <w:r>
        <w:rPr>
          <w:rStyle w:val="19"/>
          <w:rFonts w:hint="eastAsia" w:ascii="楷体" w:hAnsi="楷体" w:eastAsia="楷体"/>
          <w:spacing w:val="-4"/>
          <w:sz w:val="32"/>
          <w:szCs w:val="32"/>
          <w:lang w:eastAsia="zh-CN"/>
        </w:rPr>
        <w:t>《中华人民共和国政府采购法》法</w:t>
      </w:r>
      <w:r>
        <w:rPr>
          <w:rStyle w:val="19"/>
          <w:rFonts w:hint="eastAsia" w:ascii="楷体" w:hAnsi="楷体" w:eastAsia="楷体"/>
          <w:spacing w:val="-4"/>
          <w:sz w:val="32"/>
          <w:szCs w:val="32"/>
        </w:rPr>
        <w:t>及实施条例、《中华人民共和国档案法》、《行政事业性国有资产管理条例》、《预算绩效评价共同性指标体系框架》《政府会计制度》《政府集中采购目录及标准》等国家相关法律法规及发展政策，符合行业规划要求，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风险评估、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自治州新建档案馆办公设备和家具采购经费项目设立时结合实际工作内容制定了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预算编制之初，制定了项目实施计划，进行了全面的成本估算，确保项目所需购置的各项设备的家具得到合理的预估与分配。同时，预算编制还紧密结合了项目的特点与实际情况，对不同设备、家具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自治州新建档案馆办公设备和家具采购经费项目的资金分配遵循了公平、公正、透明的原则，确保了项目资源的合理配置与高效利用。在资金分配过程中，我们充分考虑了项目的实际需求与目标，对需购置的不同办公设备和家具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单位刚搬入新馆的实际情况，对关键领域与重要环节给予了重点支持。同时，我们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6FB7F14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03DE5E9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本项目总投资8.4万元，财政资金及时足额到位，到位率100%，预算资金按计划进度执行。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预算编制较为详细，项目资金支出总体能够按照预算执行，预算资金支出8.4万元，预算执行率为100%。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中华人民共和国预算法》、《政府会计制度》等国家相关法律法规与财务制度，确保了资金的合规性与安全性。在资金使用过程中，我们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自治州新建档案馆办公设备和家具采购经费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档案馆制定了一套完善、健全的管理制度体系，《预算绩效管理制度》、《财务管理制度》、《预算收支计划与管理办法》、《内部牵制、稽核制度》、《岗位责任制》、《资金管理制度》、《政府采购内部管理制度》《固定资产管理制度》等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自治州新建档案馆办公设备和家具采购经费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在具体执行过程中，项目团队成员严格按照制度要求进行操作。同时，我们还建立了有效的沟通机制与反馈机制，确保项目信息的及时传递与问题的及时解决，进一步提高了制度执行的效率与效果。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7090ED2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6A11D87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项目产出类指标包括产出数量、产出质量、产出时效、产出成本四方面的内容，由11个三级指标构成，权重分为40分，实际得分30分，得分率为75%。具体产出指标完成情况如下：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指标1：购置设备数量 ，指标值：&gt;=4套，实际完成值：4套，指标完成率 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指标2：购置家具用具数量，指标值：&gt;=134件 ，实际完成值：134件 ，指标完成率100%。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指标1：政府采购率，指标值：100% ，实际完成值：100% ，指标完成率100%。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指标2：设备质量合格率，指标值：100% ，实际完成值：100% ，指标完成率100%%。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指标3：设备验收合格率，指标值：100% ，实际完成值：100%，指标完成率100%。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指标4：家具用具质量合格率 ，指标值：100%，实际完成值：100% ，指标完成率100%。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指标5：家具用具验收合格率 ，指标值：100%，实际完成值：100%，指标完成率100%。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指标1：设备采购完成时间 ，指标值：2024年11月30日 ，实际完成值：2024年12月12日，指标完成率 0 %，偏差原因：因资产配置数超过核定数，按资产科要求先进行报废处理再批准购置，报废处理资产导致未能按时完成新设备的采购。</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指标2：家具用具采购完成时间，指标值：2024年11月30日，实际完成值：2024年12月12日，指标完成率 0%，偏差原因：因资产配置数超过核定数，按资产科要求先进行报废处理再批准购置，报废处理资产导致未能按时完成新设备的采购。</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指标1：采购家具用具费用，指标值：&lt;=60186元 ，实际完成值：60186元，指标完成率100%。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指标2：采购设备费用，指标值：&lt;=23814元 ，实际完成值：23814元，指标完成率100%。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26218D2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2039DE9C">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经济效益指标：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指标1：设备利用率，指标值：=100% ，实际完成值：100%，指标完成率100%。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指标2：家具用具利用率，指标值：=100%，实际完成值：100%，指标完成率100%。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此项权重分20分，得分20分。</w:t>
      </w:r>
    </w:p>
    <w:p w14:paraId="0A8028AA">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本项目未设置满意度指标。</w:t>
      </w:r>
    </w:p>
    <w:p w14:paraId="6F09E2AA">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54C0023C">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项目顺利进行，提前做好项目规划，并再三审核确认。在项目实施过程中做好定期监督检查，严格按照项目管理规范进行，在项目资金使用过程中，严格落实把关，按照项目资金使用范围做好审核工作，让项目资金落于实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p>
    <w:p w14:paraId="61FD2105">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3027F393">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1.专门设定对绩效工作人员定职、定岗、定责等相关制度措施，进一步提升我单位绩效管理工作业务水平，扎实做好绩效管理工作。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进一步加强对绩效管理工作的组织领导，提高对预算绩效管理工作重要性的认识，总结经验查找问题，抓紧研究制定更全面更完善的绩效评价管理办法。结合年度考核建立绩效工作考核制度，加大全局对全面实施预算绩效管理和绩效管理工作的学习力度，让“花钱必问效，无效必问责”的理念深入工作每个环节。</w:t>
      </w:r>
    </w:p>
    <w:p w14:paraId="3BAE9E95">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3D74E63D">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无</w:t>
      </w:r>
    </w:p>
    <w:p w14:paraId="67595A31">
      <w:pPr>
        <w:spacing w:line="540" w:lineRule="exact"/>
        <w:ind w:firstLine="567"/>
        <w:rPr>
          <w:rStyle w:val="19"/>
          <w:rFonts w:ascii="仿宋" w:hAnsi="仿宋" w:eastAsia="仿宋"/>
          <w:b w:val="0"/>
          <w:spacing w:val="-4"/>
          <w:sz w:val="32"/>
          <w:szCs w:val="32"/>
        </w:rPr>
      </w:pPr>
    </w:p>
    <w:p w14:paraId="748D0793">
      <w:pPr>
        <w:spacing w:line="540" w:lineRule="exact"/>
        <w:ind w:firstLine="567"/>
        <w:rPr>
          <w:rStyle w:val="19"/>
          <w:rFonts w:ascii="仿宋" w:hAnsi="仿宋" w:eastAsia="仿宋"/>
          <w:b w:val="0"/>
          <w:spacing w:val="-4"/>
          <w:sz w:val="32"/>
          <w:szCs w:val="32"/>
        </w:rPr>
      </w:pPr>
    </w:p>
    <w:p w14:paraId="757CECEC">
      <w:pPr>
        <w:spacing w:line="540" w:lineRule="exact"/>
        <w:ind w:firstLine="567"/>
        <w:rPr>
          <w:rStyle w:val="19"/>
          <w:rFonts w:ascii="仿宋" w:hAnsi="仿宋" w:eastAsia="仿宋"/>
          <w:b w:val="0"/>
          <w:spacing w:val="-4"/>
          <w:sz w:val="32"/>
          <w:szCs w:val="32"/>
        </w:rPr>
      </w:pPr>
    </w:p>
    <w:p w14:paraId="0FF64C21">
      <w:pPr>
        <w:spacing w:line="540" w:lineRule="exact"/>
        <w:ind w:firstLine="567"/>
        <w:rPr>
          <w:rStyle w:val="19"/>
          <w:rFonts w:ascii="仿宋" w:hAnsi="仿宋" w:eastAsia="仿宋"/>
          <w:b w:val="0"/>
          <w:spacing w:val="-4"/>
          <w:sz w:val="32"/>
          <w:szCs w:val="32"/>
        </w:rPr>
      </w:pPr>
    </w:p>
    <w:p w14:paraId="1BF33A66">
      <w:pPr>
        <w:spacing w:line="540" w:lineRule="exact"/>
        <w:ind w:firstLine="567"/>
        <w:rPr>
          <w:rStyle w:val="19"/>
          <w:rFonts w:ascii="仿宋" w:hAnsi="仿宋" w:eastAsia="仿宋"/>
          <w:b w:val="0"/>
          <w:spacing w:val="-4"/>
          <w:sz w:val="32"/>
          <w:szCs w:val="32"/>
        </w:rPr>
      </w:pPr>
    </w:p>
    <w:p w14:paraId="7EE018E6">
      <w:pPr>
        <w:spacing w:line="540" w:lineRule="exact"/>
        <w:ind w:firstLine="567"/>
        <w:rPr>
          <w:rStyle w:val="19"/>
          <w:rFonts w:ascii="仿宋" w:hAnsi="仿宋" w:eastAsia="仿宋"/>
          <w:b w:val="0"/>
          <w:spacing w:val="-4"/>
          <w:sz w:val="32"/>
          <w:szCs w:val="32"/>
        </w:rPr>
      </w:pPr>
    </w:p>
    <w:p w14:paraId="3DB15C4D">
      <w:pPr>
        <w:spacing w:line="540" w:lineRule="exact"/>
        <w:ind w:firstLine="567"/>
        <w:rPr>
          <w:rStyle w:val="19"/>
          <w:rFonts w:ascii="仿宋" w:hAnsi="仿宋" w:eastAsia="仿宋"/>
          <w:b w:val="0"/>
          <w:spacing w:val="-4"/>
          <w:sz w:val="32"/>
          <w:szCs w:val="32"/>
        </w:rPr>
      </w:pPr>
    </w:p>
    <w:p w14:paraId="6B6A9EF5">
      <w:pPr>
        <w:spacing w:line="540" w:lineRule="exact"/>
        <w:ind w:firstLine="567"/>
        <w:rPr>
          <w:rStyle w:val="19"/>
          <w:rFonts w:ascii="仿宋" w:hAnsi="仿宋" w:eastAsia="仿宋"/>
          <w:b w:val="0"/>
          <w:spacing w:val="-4"/>
          <w:sz w:val="32"/>
          <w:szCs w:val="32"/>
        </w:rPr>
      </w:pPr>
    </w:p>
    <w:p w14:paraId="099D560A">
      <w:pPr>
        <w:spacing w:line="540" w:lineRule="exact"/>
        <w:ind w:firstLine="567"/>
        <w:rPr>
          <w:rStyle w:val="19"/>
          <w:rFonts w:ascii="仿宋" w:hAnsi="仿宋" w:eastAsia="仿宋"/>
          <w:b w:val="0"/>
          <w:spacing w:val="-4"/>
          <w:sz w:val="32"/>
          <w:szCs w:val="32"/>
        </w:rPr>
      </w:pPr>
    </w:p>
    <w:p w14:paraId="7C56712C">
      <w:pPr>
        <w:spacing w:line="540" w:lineRule="exact"/>
        <w:ind w:firstLine="567"/>
        <w:rPr>
          <w:rStyle w:val="19"/>
          <w:rFonts w:ascii="仿宋" w:hAnsi="仿宋" w:eastAsia="仿宋"/>
          <w:b w:val="0"/>
          <w:spacing w:val="-4"/>
          <w:sz w:val="32"/>
          <w:szCs w:val="32"/>
        </w:rPr>
      </w:pPr>
    </w:p>
    <w:p w14:paraId="62DE5240">
      <w:pPr>
        <w:spacing w:line="540" w:lineRule="exact"/>
        <w:ind w:firstLine="567"/>
        <w:rPr>
          <w:rStyle w:val="19"/>
          <w:rFonts w:ascii="仿宋" w:hAnsi="仿宋" w:eastAsia="仿宋"/>
          <w:b w:val="0"/>
          <w:spacing w:val="-4"/>
          <w:sz w:val="32"/>
          <w:szCs w:val="32"/>
        </w:rPr>
      </w:pPr>
    </w:p>
    <w:p w14:paraId="1E7CF8F8">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2259815-3C34-4EBB-BD06-8615A34B3FD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8DB4F19E-6722-4A2B-A78A-F71C2970BB79}"/>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C8640C7C-9251-49CA-AA81-B458B4F21C68}"/>
  </w:font>
  <w:font w:name="华文中宋">
    <w:panose1 w:val="02010600040101010101"/>
    <w:charset w:val="86"/>
    <w:family w:val="auto"/>
    <w:pitch w:val="default"/>
    <w:sig w:usb0="00000287" w:usb1="080F0000" w:usb2="00000000" w:usb3="00000000" w:csb0="0004009F" w:csb1="DFD70000"/>
    <w:embedRegular r:id="rId4" w:fontKey="{53BE5129-6317-47E3-9FEB-B56120527D6E}"/>
  </w:font>
  <w:font w:name="方正小标宋_GBK">
    <w:panose1 w:val="02000000000000000000"/>
    <w:charset w:val="86"/>
    <w:family w:val="script"/>
    <w:pitch w:val="default"/>
    <w:sig w:usb0="A00002BF" w:usb1="38CF7CFA" w:usb2="00082016" w:usb3="00000000" w:csb0="00040001" w:csb1="00000000"/>
    <w:embedRegular r:id="rId5" w:fontKey="{C15E05E7-3E4F-4C52-A5B1-840DF5433F1D}"/>
  </w:font>
  <w:font w:name="仿宋_GB2312">
    <w:altName w:val="仿宋"/>
    <w:panose1 w:val="02010609030101010101"/>
    <w:charset w:val="86"/>
    <w:family w:val="modern"/>
    <w:pitch w:val="default"/>
    <w:sig w:usb0="00000000" w:usb1="00000000" w:usb2="00000000" w:usb3="00000000" w:csb0="00040000" w:csb1="00000000"/>
    <w:embedRegular r:id="rId6" w:fontKey="{B88932ED-2CC3-43A0-B106-781EA459A9CE}"/>
  </w:font>
  <w:font w:name="楷体">
    <w:panose1 w:val="02010609060101010101"/>
    <w:charset w:val="86"/>
    <w:family w:val="modern"/>
    <w:pitch w:val="default"/>
    <w:sig w:usb0="800002BF" w:usb1="38CF7CFA" w:usb2="00000016" w:usb3="00000000" w:csb0="00040001" w:csb1="00000000"/>
    <w:embedRegular r:id="rId7" w:fontKey="{A4918C92-5FA6-44B2-A5CF-A092D03B720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638D3FBF">
        <w:pPr>
          <w:pStyle w:val="12"/>
          <w:jc w:val="center"/>
        </w:pPr>
        <w:r>
          <w:fldChar w:fldCharType="begin"/>
        </w:r>
        <w:r>
          <w:instrText xml:space="preserve">PAGE   \* MERGEFORMAT</w:instrText>
        </w:r>
        <w:r>
          <w:fldChar w:fldCharType="separate"/>
        </w:r>
        <w:r>
          <w:rPr>
            <w:lang w:val="zh-CN"/>
          </w:rPr>
          <w:t>1</w:t>
        </w:r>
        <w:r>
          <w:fldChar w:fldCharType="end"/>
        </w:r>
      </w:p>
    </w:sdtContent>
  </w:sdt>
  <w:p w14:paraId="32B655FB">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9EB74C9"/>
    <w:rsid w:val="53B97DA0"/>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a647d12f-90f2-41e6-a7c1-d886a467a4a4}">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10640</Words>
  <Characters>10985</Characters>
  <Lines>5</Lines>
  <Paragraphs>1</Paragraphs>
  <TotalTime>1</TotalTime>
  <ScaleCrop>false</ScaleCrop>
  <LinksUpToDate>false</LinksUpToDate>
  <CharactersWithSpaces>11042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2025-09-22T11:18:43Z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