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新疆巴州档案馆2024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C10C04">
      <w:r>
        <w:br w:type="page"/>
      </w:r>
    </w:p>
    <w:p w14:paraId="02E68AD2">
      <w:pPr>
        <w:spacing w:line="640" w:lineRule="exact"/>
        <w:jc w:val="center"/>
        <w:outlineLvl w:val="1"/>
      </w:pPr>
      <w:r>
        <w:rPr>
          <w:rFonts w:ascii="黑体" w:hAnsi="黑体" w:eastAsia="黑体"/>
          <w:sz w:val="32"/>
        </w:rPr>
        <w:t>第一部分 单位概况</w:t>
      </w:r>
    </w:p>
    <w:p w14:paraId="58B25D3F">
      <w:pPr>
        <w:spacing w:line="640" w:lineRule="exact"/>
        <w:ind w:firstLine="640"/>
        <w:jc w:val="both"/>
        <w:outlineLvl w:val="2"/>
      </w:pPr>
      <w:r>
        <w:rPr>
          <w:rFonts w:ascii="黑体" w:hAnsi="黑体" w:eastAsia="黑体"/>
          <w:sz w:val="32"/>
        </w:rPr>
        <w:t>一、主要职能</w:t>
      </w:r>
    </w:p>
    <w:p w14:paraId="50B64F41">
      <w:pPr>
        <w:spacing w:line="580" w:lineRule="exact"/>
        <w:ind w:firstLine="640"/>
        <w:jc w:val="both"/>
      </w:pPr>
      <w:r>
        <w:rPr>
          <w:rFonts w:ascii="仿宋_GB2312" w:hAnsi="仿宋_GB2312" w:eastAsia="仿宋_GB2312"/>
          <w:sz w:val="32"/>
        </w:rPr>
        <w:t>（一）贯彻执行《中华人民共和国档案法</w:t>
      </w:r>
      <w:r>
        <w:rPr>
          <w:rFonts w:hint="eastAsia" w:ascii="仿宋_GB2312" w:hAnsi="仿宋_GB2312" w:eastAsia="仿宋_GB2312"/>
          <w:sz w:val="32"/>
          <w:lang w:eastAsia="zh-CN"/>
        </w:rPr>
        <w:t>》《中华人民共和国档案法实施条例</w:t>
      </w:r>
      <w:r>
        <w:rPr>
          <w:rFonts w:ascii="仿宋_GB2312" w:hAnsi="仿宋_GB2312" w:eastAsia="仿宋_GB2312"/>
          <w:sz w:val="32"/>
        </w:rPr>
        <w:t>》及党和国家的法律、法规、方针政策，按照国家和自治区、自治州档案局关于档案工作的要求，落实自治州档案事业发展规划、计划和相关政策法规。</w:t>
      </w:r>
    </w:p>
    <w:p w14:paraId="48B9CB05">
      <w:pPr>
        <w:spacing w:line="580" w:lineRule="exact"/>
        <w:ind w:firstLine="640"/>
        <w:jc w:val="both"/>
      </w:pPr>
      <w:r>
        <w:rPr>
          <w:rFonts w:ascii="仿宋_GB2312" w:hAnsi="仿宋_GB2312" w:eastAsia="仿宋_GB2312"/>
          <w:sz w:val="32"/>
        </w:rPr>
        <w:t>（二）按照规定整理和</w:t>
      </w:r>
      <w:r>
        <w:rPr>
          <w:rFonts w:hint="eastAsia" w:ascii="仿宋_GB2312" w:hAnsi="仿宋_GB2312" w:eastAsia="仿宋_GB2312"/>
          <w:sz w:val="32"/>
          <w:lang w:eastAsia="zh-CN"/>
        </w:rPr>
        <w:t>保管好</w:t>
      </w:r>
      <w:r>
        <w:rPr>
          <w:rFonts w:ascii="仿宋_GB2312" w:hAnsi="仿宋_GB2312" w:eastAsia="仿宋_GB2312"/>
          <w:sz w:val="32"/>
        </w:rPr>
        <w:t>各类重要档案资料，保守党和国家秘密，维护档案的完整，确保档案资料的安全。</w:t>
      </w:r>
    </w:p>
    <w:p w14:paraId="612865E5">
      <w:pPr>
        <w:spacing w:line="580" w:lineRule="exact"/>
        <w:ind w:firstLine="640"/>
        <w:jc w:val="both"/>
      </w:pPr>
      <w:r>
        <w:rPr>
          <w:rFonts w:ascii="仿宋_GB2312" w:hAnsi="仿宋_GB2312" w:eastAsia="仿宋_GB2312"/>
          <w:sz w:val="32"/>
        </w:rPr>
        <w:t>（三）负责接收、征集自治州党政机关、人民团体、国有企业事业单位和其他组织等形成的重要档案资料；收集自治州有关档案文件和史料，做好编研出版档案资料工作；负责馆藏档案资源信息开发和提供利用，依法向社会开放馆藏档案。</w:t>
      </w:r>
    </w:p>
    <w:p w14:paraId="299441D4">
      <w:pPr>
        <w:spacing w:line="580" w:lineRule="exact"/>
        <w:ind w:firstLine="640"/>
        <w:jc w:val="both"/>
      </w:pPr>
      <w:r>
        <w:rPr>
          <w:rFonts w:ascii="仿宋_GB2312" w:hAnsi="仿宋_GB2312" w:eastAsia="仿宋_GB2312"/>
          <w:sz w:val="32"/>
        </w:rPr>
        <w:t>（四）根据《国家档案馆爱国主义教育基地工作规范》等相关要求，负责管理巴州档案馆爱国主义教育基地，向社会开展爱国主义、革命传统教育和州情知识宣传教育活动。</w:t>
      </w:r>
    </w:p>
    <w:p w14:paraId="6F548B00">
      <w:pPr>
        <w:spacing w:line="580" w:lineRule="exact"/>
        <w:ind w:firstLine="640"/>
        <w:jc w:val="both"/>
      </w:pPr>
      <w:r>
        <w:rPr>
          <w:rFonts w:ascii="仿宋_GB2312" w:hAnsi="仿宋_GB2312" w:eastAsia="仿宋_GB2312"/>
          <w:sz w:val="32"/>
        </w:rPr>
        <w:t>（五）负责档案信息化建设，接收、征集、保管、利用电子档案，建立电子档案备份管理中心，为电子档案、传统载体档案数字化成果、馆际间异地备份提供支持和服务，推进档案工作的科学化、信息化和现代化管理。</w:t>
      </w:r>
    </w:p>
    <w:p w14:paraId="730CA23D">
      <w:pPr>
        <w:spacing w:line="580" w:lineRule="exact"/>
        <w:ind w:firstLine="640"/>
        <w:jc w:val="both"/>
      </w:pPr>
      <w:r>
        <w:rPr>
          <w:rFonts w:ascii="仿宋_GB2312" w:hAnsi="仿宋_GB2312" w:eastAsia="仿宋_GB2312"/>
          <w:sz w:val="32"/>
        </w:rPr>
        <w:t>（六）负责自治州政府信息公开和巴州现行文件阅览中心的查询服务工作。</w:t>
      </w:r>
    </w:p>
    <w:p w14:paraId="5E4A13E1">
      <w:pPr>
        <w:spacing w:line="580" w:lineRule="exact"/>
        <w:ind w:firstLine="640"/>
        <w:jc w:val="both"/>
      </w:pPr>
      <w:r>
        <w:rPr>
          <w:rFonts w:ascii="仿宋_GB2312" w:hAnsi="仿宋_GB2312" w:eastAsia="仿宋_GB2312"/>
          <w:sz w:val="32"/>
        </w:rPr>
        <w:t>（七）完成自治州党委办公室（档案局）交办的其他任务。</w:t>
      </w:r>
    </w:p>
    <w:p w14:paraId="05FB7625">
      <w:pPr>
        <w:spacing w:line="640" w:lineRule="exact"/>
        <w:ind w:firstLine="640"/>
        <w:jc w:val="both"/>
        <w:outlineLvl w:val="2"/>
      </w:pPr>
      <w:r>
        <w:rPr>
          <w:rFonts w:ascii="黑体" w:hAnsi="黑体" w:eastAsia="黑体"/>
          <w:sz w:val="32"/>
        </w:rPr>
        <w:t>二、机构设置及人员情况</w:t>
      </w:r>
    </w:p>
    <w:p w14:paraId="6E54977F">
      <w:pPr>
        <w:spacing w:line="580" w:lineRule="exact"/>
        <w:ind w:firstLine="640"/>
        <w:jc w:val="both"/>
      </w:pPr>
      <w:r>
        <w:rPr>
          <w:rFonts w:ascii="仿宋_GB2312" w:hAnsi="仿宋_GB2312" w:eastAsia="仿宋_GB2312"/>
          <w:sz w:val="32"/>
        </w:rPr>
        <w:t>新疆巴州档案馆2024年度，实有人数37人，其中：在职人员10人，减少2人；离休人员1人，增加0人；退休人员26人,增加1人。</w:t>
      </w:r>
    </w:p>
    <w:p w14:paraId="357D683F">
      <w:pPr>
        <w:spacing w:line="580" w:lineRule="exact"/>
        <w:ind w:firstLine="640"/>
        <w:jc w:val="both"/>
      </w:pPr>
      <w:r>
        <w:rPr>
          <w:rFonts w:ascii="仿宋_GB2312" w:hAnsi="仿宋_GB2312" w:eastAsia="仿宋_GB2312"/>
          <w:sz w:val="32"/>
        </w:rPr>
        <w:t>新疆巴州档案馆无下属预算单位，下设3个科室，分别是：办公室（信息技术科）、编研开发科、保管利用科。</w:t>
      </w:r>
    </w:p>
    <w:p w14:paraId="775B3F6F">
      <w:r>
        <w:br w:type="page"/>
      </w:r>
    </w:p>
    <w:p w14:paraId="52C673C4">
      <w:pPr>
        <w:spacing w:line="240" w:lineRule="auto"/>
        <w:jc w:val="center"/>
        <w:outlineLvl w:val="1"/>
      </w:pPr>
      <w:r>
        <w:rPr>
          <w:rFonts w:ascii="黑体" w:hAnsi="黑体" w:eastAsia="黑体"/>
          <w:sz w:val="32"/>
        </w:rPr>
        <w:t>第二部分 部门决算情况说明</w:t>
      </w:r>
    </w:p>
    <w:p w14:paraId="3FBA3DED">
      <w:pPr>
        <w:spacing w:line="640" w:lineRule="exact"/>
        <w:ind w:firstLine="640"/>
        <w:jc w:val="both"/>
        <w:outlineLvl w:val="2"/>
      </w:pPr>
      <w:r>
        <w:rPr>
          <w:rFonts w:ascii="黑体" w:hAnsi="黑体" w:eastAsia="黑体"/>
          <w:sz w:val="32"/>
        </w:rPr>
        <w:t>一、收入支出决算总体情况说明</w:t>
      </w:r>
    </w:p>
    <w:p w14:paraId="4FF7C97A">
      <w:pPr>
        <w:spacing w:line="580" w:lineRule="exact"/>
        <w:ind w:firstLine="640"/>
        <w:jc w:val="both"/>
      </w:pPr>
      <w:r>
        <w:rPr>
          <w:rFonts w:ascii="仿宋_GB2312" w:hAnsi="仿宋_GB2312" w:eastAsia="仿宋_GB2312"/>
          <w:b/>
          <w:sz w:val="32"/>
        </w:rPr>
        <w:t>2024年度收入总计402.82万元，</w:t>
      </w:r>
      <w:r>
        <w:rPr>
          <w:rFonts w:ascii="仿宋_GB2312" w:hAnsi="仿宋_GB2312" w:eastAsia="仿宋_GB2312"/>
          <w:b w:val="0"/>
          <w:sz w:val="32"/>
        </w:rPr>
        <w:t>其中：本年收入合计402.82万元，使用非财政拨款结余（含专用结余）0.00万元，年初结转和结余0.00万元。</w:t>
      </w:r>
    </w:p>
    <w:p w14:paraId="27627B18">
      <w:pPr>
        <w:spacing w:line="580" w:lineRule="exact"/>
        <w:ind w:firstLine="640"/>
        <w:jc w:val="both"/>
      </w:pPr>
      <w:r>
        <w:rPr>
          <w:rFonts w:ascii="仿宋_GB2312" w:hAnsi="仿宋_GB2312" w:eastAsia="仿宋_GB2312"/>
          <w:b/>
          <w:sz w:val="32"/>
        </w:rPr>
        <w:t>2024年度支出总计402.82万元，</w:t>
      </w:r>
      <w:r>
        <w:rPr>
          <w:rFonts w:ascii="仿宋_GB2312" w:hAnsi="仿宋_GB2312" w:eastAsia="仿宋_GB2312"/>
          <w:b w:val="0"/>
          <w:sz w:val="32"/>
        </w:rPr>
        <w:t>其中：本年支出合计402.82万元，结余分配0.00万元，年末结转和结余0.00万元。</w:t>
      </w:r>
    </w:p>
    <w:p w14:paraId="73D09E77">
      <w:pPr>
        <w:spacing w:line="580" w:lineRule="exact"/>
        <w:ind w:firstLine="640"/>
        <w:jc w:val="both"/>
      </w:pPr>
      <w:r>
        <w:rPr>
          <w:rFonts w:ascii="仿宋_GB2312" w:hAnsi="仿宋_GB2312" w:eastAsia="仿宋_GB2312"/>
          <w:b w:val="0"/>
          <w:sz w:val="32"/>
        </w:rPr>
        <w:t>收入支出总体与上年相比，增加115.24万元，增长40.07%，主要原因是：本年在职人员工资调增，社保、公积金基数调增，人员经费增加；新增死亡人员，死亡抚恤金增加；本年增加巴州档案馆搬迁项目、自治州新建档案馆办公设备和家具采购经费项目，增加档案馆新馆水费、电费、物业费等，公用经费较上年增加。</w:t>
      </w:r>
    </w:p>
    <w:p w14:paraId="4083064F">
      <w:pPr>
        <w:spacing w:line="640" w:lineRule="exact"/>
        <w:ind w:firstLine="640"/>
        <w:jc w:val="both"/>
        <w:outlineLvl w:val="2"/>
      </w:pPr>
      <w:r>
        <w:rPr>
          <w:rFonts w:ascii="黑体" w:hAnsi="黑体" w:eastAsia="黑体"/>
          <w:sz w:val="32"/>
        </w:rPr>
        <w:t>二、收入决算情况说明</w:t>
      </w:r>
    </w:p>
    <w:p w14:paraId="2D4DE647">
      <w:pPr>
        <w:spacing w:line="580" w:lineRule="exact"/>
        <w:ind w:firstLine="640"/>
        <w:jc w:val="both"/>
      </w:pPr>
      <w:r>
        <w:rPr>
          <w:rFonts w:ascii="仿宋_GB2312" w:hAnsi="仿宋_GB2312" w:eastAsia="仿宋_GB2312"/>
          <w:b/>
          <w:sz w:val="32"/>
        </w:rPr>
        <w:t>本年收入402.82万元，</w:t>
      </w:r>
      <w:r>
        <w:rPr>
          <w:rFonts w:ascii="仿宋_GB2312" w:hAnsi="仿宋_GB2312" w:eastAsia="仿宋_GB2312"/>
          <w:b w:val="0"/>
          <w:sz w:val="32"/>
        </w:rPr>
        <w:t>其中：财政拨款收入402.82万元，占100.00%；上级补助收入0.00万元，占0.00%；事业收入0.00万元，占0.00%；经营收入0.00万元，占0.00%；附属单位上缴收入0.00万元，占0.00%；其他收入0.00万元，占0.00%。</w:t>
      </w:r>
    </w:p>
    <w:p w14:paraId="046F677F">
      <w:pPr>
        <w:spacing w:line="640" w:lineRule="exact"/>
        <w:ind w:firstLine="640"/>
        <w:jc w:val="both"/>
        <w:outlineLvl w:val="2"/>
      </w:pPr>
      <w:r>
        <w:rPr>
          <w:rFonts w:ascii="黑体" w:hAnsi="黑体" w:eastAsia="黑体"/>
          <w:sz w:val="32"/>
        </w:rPr>
        <w:t>三、支出决算情况说明</w:t>
      </w:r>
    </w:p>
    <w:p w14:paraId="75524541">
      <w:pPr>
        <w:spacing w:line="580" w:lineRule="exact"/>
        <w:ind w:firstLine="640"/>
        <w:jc w:val="both"/>
      </w:pPr>
      <w:r>
        <w:rPr>
          <w:rFonts w:ascii="仿宋_GB2312" w:hAnsi="仿宋_GB2312" w:eastAsia="仿宋_GB2312"/>
          <w:b/>
          <w:sz w:val="32"/>
        </w:rPr>
        <w:t>本年支出402.82万元，</w:t>
      </w:r>
      <w:r>
        <w:rPr>
          <w:rFonts w:ascii="仿宋_GB2312" w:hAnsi="仿宋_GB2312" w:eastAsia="仿宋_GB2312"/>
          <w:b w:val="0"/>
          <w:sz w:val="32"/>
        </w:rPr>
        <w:t>其中：基本支出354.56万元，占88.02%；项目支出48.26万元，占11.98%；上缴上级支出0.00万元，占0.00%；经营支出0.00万元，占0.00%；对附属单位补助支出0.00万元，占0.00%。</w:t>
      </w:r>
    </w:p>
    <w:p w14:paraId="4F38B2C0">
      <w:pPr>
        <w:spacing w:line="640" w:lineRule="exact"/>
        <w:ind w:firstLine="640"/>
        <w:jc w:val="both"/>
        <w:outlineLvl w:val="2"/>
      </w:pPr>
      <w:r>
        <w:rPr>
          <w:rFonts w:ascii="黑体" w:hAnsi="黑体" w:eastAsia="黑体"/>
          <w:sz w:val="32"/>
        </w:rPr>
        <w:t>四、财政拨款收入支出决算总体情况说明</w:t>
      </w:r>
    </w:p>
    <w:p w14:paraId="7F190FE9">
      <w:pPr>
        <w:spacing w:line="580" w:lineRule="exact"/>
        <w:ind w:firstLine="640"/>
        <w:jc w:val="both"/>
      </w:pPr>
      <w:r>
        <w:rPr>
          <w:rFonts w:ascii="仿宋_GB2312" w:hAnsi="仿宋_GB2312" w:eastAsia="仿宋_GB2312"/>
          <w:b/>
          <w:sz w:val="32"/>
        </w:rPr>
        <w:t>2024年度财政拨款收入总计402.82万元，</w:t>
      </w:r>
      <w:r>
        <w:rPr>
          <w:rFonts w:ascii="仿宋_GB2312" w:hAnsi="仿宋_GB2312" w:eastAsia="仿宋_GB2312"/>
          <w:b w:val="0"/>
          <w:sz w:val="32"/>
        </w:rPr>
        <w:t>其中：年初财政拨款结转和结余0.00万元，本年财政拨款收入402.82万元。</w:t>
      </w:r>
      <w:r>
        <w:rPr>
          <w:rFonts w:ascii="仿宋_GB2312" w:hAnsi="仿宋_GB2312" w:eastAsia="仿宋_GB2312"/>
          <w:b/>
          <w:sz w:val="32"/>
        </w:rPr>
        <w:t>财政拨款支出总计402.82万元，</w:t>
      </w:r>
      <w:r>
        <w:rPr>
          <w:rFonts w:ascii="仿宋_GB2312" w:hAnsi="仿宋_GB2312" w:eastAsia="仿宋_GB2312"/>
          <w:b w:val="0"/>
          <w:sz w:val="32"/>
        </w:rPr>
        <w:t>其中：年末财政拨款结转和结余0.00万元，本年财政拨款支出402.82万元。</w:t>
      </w:r>
    </w:p>
    <w:p w14:paraId="3F0B082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115.24万元，增长40.07%，主要原因是：本年在职人员工资调增，社保、公积金基数调增，人员经费增加；新增死亡人员，死亡抚恤金增加；本年增加巴州档案馆搬迁项目、自治州新建档案馆办公设备和家具采购经费项目，增加档案馆新馆水费、电费、物业费等，公用经费较上年增加。</w:t>
      </w:r>
      <w:r>
        <w:rPr>
          <w:rFonts w:ascii="仿宋_GB2312" w:hAnsi="仿宋_GB2312" w:eastAsia="仿宋_GB2312"/>
          <w:b/>
          <w:sz w:val="32"/>
        </w:rPr>
        <w:t>与年初预算相比，</w:t>
      </w:r>
      <w:r>
        <w:rPr>
          <w:rFonts w:ascii="仿宋_GB2312" w:hAnsi="仿宋_GB2312" w:eastAsia="仿宋_GB2312"/>
          <w:b w:val="0"/>
          <w:sz w:val="32"/>
        </w:rPr>
        <w:t>年初预算数327.16万元，决算数402.82万元，预决算差异率23.13%，主要原因是：年中追加人员工资、社保、公积金基数调增部分资金及去世人员的抚恤金和丧葬费；年中追加巴州档案馆搬迁项目、自治州新建档案馆办公设备和家具采购经费项目；年中追加新馆水费、电费、物业费等，导致预决算存在差异。</w:t>
      </w:r>
    </w:p>
    <w:p w14:paraId="6259C93C">
      <w:pPr>
        <w:spacing w:line="640" w:lineRule="exact"/>
        <w:ind w:firstLine="640"/>
        <w:jc w:val="both"/>
        <w:outlineLvl w:val="2"/>
      </w:pPr>
      <w:r>
        <w:rPr>
          <w:rFonts w:ascii="黑体" w:hAnsi="黑体" w:eastAsia="黑体"/>
          <w:sz w:val="32"/>
        </w:rPr>
        <w:t>五、一般公共预算财政拨款支出决算情况说明</w:t>
      </w:r>
    </w:p>
    <w:p w14:paraId="573C2000">
      <w:pPr>
        <w:spacing w:line="640" w:lineRule="exact"/>
        <w:ind w:firstLine="640"/>
        <w:jc w:val="both"/>
        <w:outlineLvl w:val="3"/>
      </w:pPr>
      <w:r>
        <w:rPr>
          <w:rFonts w:ascii="楷体_GB2312" w:hAnsi="楷体_GB2312" w:eastAsia="楷体_GB2312"/>
          <w:b/>
          <w:sz w:val="32"/>
        </w:rPr>
        <w:t>（一）一般公共预算财政拨款支出决算总体情况</w:t>
      </w:r>
    </w:p>
    <w:p w14:paraId="0112B8D5">
      <w:pPr>
        <w:spacing w:line="580" w:lineRule="exact"/>
        <w:ind w:firstLine="640"/>
        <w:jc w:val="both"/>
      </w:pPr>
      <w:r>
        <w:rPr>
          <w:rFonts w:ascii="仿宋_GB2312" w:hAnsi="仿宋_GB2312" w:eastAsia="仿宋_GB2312"/>
          <w:b/>
          <w:sz w:val="32"/>
        </w:rPr>
        <w:t>2024年度一般公共预算财政拨款支出402.82万元，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115.24万元，增长40.07%，主要原因是：本年在职人员工资调增，社保、公积金基数调增，人员经费增加；新增死亡人员，死亡抚恤金增加；本年增加巴州档案馆搬迁项目、自治州新建档案馆办公设备和家具采购经费项目，增加档案馆新馆水费、电费、物业费等，公用经费较上年增加。</w:t>
      </w:r>
      <w:r>
        <w:rPr>
          <w:rFonts w:ascii="仿宋_GB2312" w:hAnsi="仿宋_GB2312" w:eastAsia="仿宋_GB2312"/>
          <w:b/>
          <w:sz w:val="32"/>
        </w:rPr>
        <w:t>与年初预算相比,</w:t>
      </w:r>
      <w:r>
        <w:rPr>
          <w:rFonts w:ascii="仿宋_GB2312" w:hAnsi="仿宋_GB2312" w:eastAsia="仿宋_GB2312"/>
          <w:b w:val="0"/>
          <w:sz w:val="32"/>
        </w:rPr>
        <w:t>年初预算数327.16万元，决算数402.82万元，预决算差异率23.13%，主要原因是：年中追加人员工资、社保、公积金基数调增部分资金及去世人员的抚恤金和丧葬费；年中追加巴州档案馆搬迁项目、自治州新建档案馆办公设备和家具采购经费项目；年中追加新馆水费、电费、物业费等，导致预决算存在差异。</w:t>
      </w:r>
    </w:p>
    <w:p w14:paraId="206DEFE9">
      <w:pPr>
        <w:spacing w:line="640" w:lineRule="exact"/>
        <w:ind w:firstLine="640"/>
        <w:jc w:val="both"/>
        <w:outlineLvl w:val="3"/>
      </w:pPr>
      <w:r>
        <w:rPr>
          <w:rFonts w:ascii="楷体_GB2312" w:hAnsi="楷体_GB2312" w:eastAsia="楷体_GB2312"/>
          <w:b/>
          <w:sz w:val="32"/>
        </w:rPr>
        <w:t>（二）一般公共预算财政拨款支出决算结构情况</w:t>
      </w:r>
    </w:p>
    <w:p w14:paraId="5B7E4D5E">
      <w:pPr>
        <w:spacing w:line="580" w:lineRule="exact"/>
        <w:ind w:firstLine="640"/>
        <w:jc w:val="both"/>
      </w:pPr>
      <w:r>
        <w:rPr>
          <w:rFonts w:ascii="仿宋_GB2312" w:hAnsi="仿宋_GB2312" w:eastAsia="仿宋_GB2312"/>
          <w:b w:val="0"/>
          <w:sz w:val="32"/>
        </w:rPr>
        <w:t>1.一般公共服务支出(类)254.87万元,占63.27%。</w:t>
      </w:r>
    </w:p>
    <w:p w14:paraId="1149A165">
      <w:pPr>
        <w:spacing w:line="580" w:lineRule="exact"/>
        <w:ind w:firstLine="640"/>
        <w:jc w:val="both"/>
      </w:pPr>
      <w:r>
        <w:rPr>
          <w:rFonts w:ascii="仿宋_GB2312" w:hAnsi="仿宋_GB2312" w:eastAsia="仿宋_GB2312"/>
          <w:b w:val="0"/>
          <w:sz w:val="32"/>
        </w:rPr>
        <w:t>2.教育支出(类)0.57万元,占0.14%。</w:t>
      </w:r>
    </w:p>
    <w:p w14:paraId="15D99F95">
      <w:pPr>
        <w:spacing w:line="580" w:lineRule="exact"/>
        <w:ind w:firstLine="640"/>
        <w:jc w:val="both"/>
      </w:pPr>
      <w:r>
        <w:rPr>
          <w:rFonts w:ascii="仿宋_GB2312" w:hAnsi="仿宋_GB2312" w:eastAsia="仿宋_GB2312"/>
          <w:b w:val="0"/>
          <w:sz w:val="32"/>
        </w:rPr>
        <w:t>3.社会保障和就业支出(类)118.69万元,占29.46%。</w:t>
      </w:r>
    </w:p>
    <w:p w14:paraId="44559A83">
      <w:pPr>
        <w:spacing w:line="580" w:lineRule="exact"/>
        <w:ind w:firstLine="640"/>
        <w:jc w:val="both"/>
      </w:pPr>
      <w:r>
        <w:rPr>
          <w:rFonts w:ascii="仿宋_GB2312" w:hAnsi="仿宋_GB2312" w:eastAsia="仿宋_GB2312"/>
          <w:b w:val="0"/>
          <w:sz w:val="32"/>
        </w:rPr>
        <w:t>4.卫生健康支出(类)12.36万元,占3.07%。</w:t>
      </w:r>
    </w:p>
    <w:p w14:paraId="2CABE608">
      <w:pPr>
        <w:spacing w:line="580" w:lineRule="exact"/>
        <w:ind w:firstLine="640"/>
        <w:jc w:val="both"/>
      </w:pPr>
      <w:r>
        <w:rPr>
          <w:rFonts w:ascii="仿宋_GB2312" w:hAnsi="仿宋_GB2312" w:eastAsia="仿宋_GB2312"/>
          <w:b w:val="0"/>
          <w:sz w:val="32"/>
        </w:rPr>
        <w:t>5.住房保障支出(类)16.32万元,占4.05%。</w:t>
      </w:r>
    </w:p>
    <w:p w14:paraId="3055FFD8">
      <w:pPr>
        <w:spacing w:line="640" w:lineRule="exact"/>
        <w:ind w:firstLine="640"/>
        <w:jc w:val="both"/>
        <w:outlineLvl w:val="3"/>
      </w:pPr>
      <w:r>
        <w:rPr>
          <w:rFonts w:ascii="楷体_GB2312" w:hAnsi="楷体_GB2312" w:eastAsia="楷体_GB2312"/>
          <w:b/>
          <w:sz w:val="32"/>
        </w:rPr>
        <w:t>（三）一般公共预算财政拨款支出决算具体情况</w:t>
      </w:r>
    </w:p>
    <w:p w14:paraId="67EA9D1E">
      <w:pPr>
        <w:spacing w:line="580" w:lineRule="exact"/>
        <w:ind w:firstLine="640"/>
        <w:jc w:val="both"/>
      </w:pPr>
      <w:r>
        <w:rPr>
          <w:rFonts w:ascii="仿宋_GB2312" w:hAnsi="仿宋_GB2312" w:eastAsia="仿宋_GB2312"/>
          <w:b w:val="0"/>
          <w:sz w:val="32"/>
        </w:rPr>
        <w:t>1.一般公共服务支出(类)档案事务(款)行政运行(项):支出决算数为206.61万元，比上年决算增加39.82万元，增长23.87%,主要原因是：本年在职人员工资调增，导致相关人员经费较上年有所增加；增加档案馆新馆水费、电费、物业费等，公用经费较上年有所增加。</w:t>
      </w:r>
    </w:p>
    <w:p w14:paraId="2E647E73">
      <w:pPr>
        <w:spacing w:line="580" w:lineRule="exact"/>
        <w:ind w:firstLine="640"/>
        <w:jc w:val="both"/>
      </w:pPr>
      <w:r>
        <w:rPr>
          <w:rFonts w:ascii="仿宋_GB2312" w:hAnsi="仿宋_GB2312" w:eastAsia="仿宋_GB2312"/>
          <w:b w:val="0"/>
          <w:sz w:val="32"/>
        </w:rPr>
        <w:t>2.一般公共服务支出(类)档案事务(款)档案馆(项):支出决算数为48.26万元，比上年决算增加12.26万元，增长34.06%,主要原因是：本年增加巴州档案馆搬迁项目、自治州新建档案馆办公设备和家具采购经费项目，项目资金较上年有所增加。</w:t>
      </w:r>
    </w:p>
    <w:p w14:paraId="55FB64D9">
      <w:pPr>
        <w:spacing w:line="580" w:lineRule="exact"/>
        <w:ind w:firstLine="640"/>
        <w:jc w:val="both"/>
      </w:pPr>
      <w:r>
        <w:rPr>
          <w:rFonts w:ascii="仿宋_GB2312" w:hAnsi="仿宋_GB2312" w:eastAsia="仿宋_GB2312"/>
          <w:b w:val="0"/>
          <w:sz w:val="32"/>
        </w:rPr>
        <w:t>3.教育支出(类)进修及培训(款)培训支出(项):支出决算数为0.57万元，比上年决算增加0.57万元，增长100.00%,主要原因是：本年度加强档案业务培训，导致培训经费增加。</w:t>
      </w:r>
    </w:p>
    <w:p w14:paraId="281880BE">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4.社会保障和就业支出(类)行政事业单位养老支出(款)行政单位离退休(项):支出决算数为42.47万元，比上年决算增加5.26万元，增长14.14%,主要原因是：本年增加退休人员基础绩效奖，退休费支出增加。</w:t>
      </w:r>
    </w:p>
    <w:p w14:paraId="40B5EA35">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19.29万元，比上年决算增加0.29万元，增长1.53%,主要原因是：本年在职人员工资基数调增，养老缴费基数上涨，相应支出增加。</w:t>
      </w:r>
    </w:p>
    <w:p w14:paraId="2FA763D3">
      <w:pPr>
        <w:spacing w:line="580" w:lineRule="exact"/>
        <w:ind w:firstLine="640"/>
        <w:jc w:val="both"/>
      </w:pPr>
      <w:r>
        <w:rPr>
          <w:rFonts w:ascii="仿宋_GB2312" w:hAnsi="仿宋_GB2312" w:eastAsia="仿宋_GB2312"/>
          <w:b w:val="0"/>
          <w:sz w:val="32"/>
        </w:rPr>
        <w:t>6.社会保障和就业支出(类)抚恤(款)死亡抚恤(项):支出决算数为56.93万元，比上年决算增加56.93万元，增长100.00%,主要原因是：本年新增死亡人员，死亡抚恤支出增加。</w:t>
      </w:r>
    </w:p>
    <w:p w14:paraId="3B41585B">
      <w:pPr>
        <w:spacing w:line="580" w:lineRule="exact"/>
        <w:ind w:firstLine="640"/>
        <w:jc w:val="both"/>
      </w:pPr>
      <w:r>
        <w:rPr>
          <w:rFonts w:ascii="仿宋_GB2312" w:hAnsi="仿宋_GB2312" w:eastAsia="仿宋_GB2312"/>
          <w:b w:val="0"/>
          <w:sz w:val="32"/>
        </w:rPr>
        <w:t>7.卫生健康支出(类)行政事业单位医疗(款)行政单位医疗(项):支出决算数为8.44万元，比上年决算减少0.92万元，下降9.83%,主要原因是：本年在职人员减少，行政单位医疗支出较上年减少。</w:t>
      </w:r>
    </w:p>
    <w:p w14:paraId="51DE96BA">
      <w:pPr>
        <w:spacing w:line="580" w:lineRule="exact"/>
        <w:ind w:firstLine="640"/>
        <w:jc w:val="both"/>
      </w:pPr>
      <w:r>
        <w:rPr>
          <w:rFonts w:ascii="仿宋_GB2312" w:hAnsi="仿宋_GB2312" w:eastAsia="仿宋_GB2312"/>
          <w:b w:val="0"/>
          <w:sz w:val="32"/>
        </w:rPr>
        <w:t>8.卫生健康支出(类)行政事业单位医疗(款)公务员医疗补助(项):支出决算数为3.62万元，比上年决算减少0.45万元，下降11.06%,主要原因是：本年在职人员减少，公务员医疗补助较上年减少。</w:t>
      </w:r>
    </w:p>
    <w:p w14:paraId="0D31A349">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9.卫生健康支出(类)行政事业单位医疗(款)其他行政事业单位医疗支出(项):支出决算数为0.3万元，比上年决算减少0.56万元，下降65.12%,主要原因是：本年在职人员减少，其他行政事业单位医疗支出较上年减少。</w:t>
      </w:r>
    </w:p>
    <w:p w14:paraId="31FBD718">
      <w:pPr>
        <w:spacing w:line="580" w:lineRule="exact"/>
        <w:ind w:firstLine="640"/>
        <w:jc w:val="both"/>
      </w:pPr>
      <w:r>
        <w:rPr>
          <w:rFonts w:ascii="仿宋_GB2312" w:hAnsi="仿宋_GB2312" w:eastAsia="仿宋_GB2312"/>
          <w:b w:val="0"/>
          <w:sz w:val="32"/>
        </w:rPr>
        <w:t>10.住房保障支出(类)住房改革支出(款)住房公积金(项):支出决算数为16.32万元，比上年决算增加2.02万元，增长14.13%,主要原因是：本年在职人员工资基数调增，公积金缴费基数上涨，相应支出增加。</w:t>
      </w:r>
    </w:p>
    <w:p w14:paraId="63BABDB9">
      <w:pPr>
        <w:spacing w:line="640" w:lineRule="exact"/>
        <w:ind w:firstLine="640"/>
        <w:jc w:val="both"/>
        <w:outlineLvl w:val="2"/>
      </w:pPr>
      <w:r>
        <w:rPr>
          <w:rFonts w:ascii="黑体" w:hAnsi="黑体" w:eastAsia="黑体"/>
          <w:sz w:val="32"/>
        </w:rPr>
        <w:t>六、一般公共预算财政拨款基本支出决算情况说明</w:t>
      </w:r>
    </w:p>
    <w:p w14:paraId="6BD6700D">
      <w:pPr>
        <w:spacing w:line="580" w:lineRule="exact"/>
        <w:ind w:firstLine="640"/>
        <w:jc w:val="both"/>
      </w:pPr>
      <w:r>
        <w:rPr>
          <w:rFonts w:ascii="仿宋_GB2312" w:hAnsi="仿宋_GB2312" w:eastAsia="仿宋_GB2312"/>
          <w:b w:val="0"/>
          <w:sz w:val="32"/>
        </w:rPr>
        <w:t>2024年度一般公共预算财政拨款基本支出354.56万元，其中：</w:t>
      </w:r>
      <w:r>
        <w:rPr>
          <w:rFonts w:ascii="仿宋_GB2312" w:hAnsi="仿宋_GB2312" w:eastAsia="仿宋_GB2312"/>
          <w:b/>
          <w:sz w:val="32"/>
        </w:rPr>
        <w:t>人员经费295.21万元，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包括：基本工资、津贴补贴、奖金、伙食补助费、机关事业单位基本养老保险缴费、职工基本医疗保险缴费、公务员医疗补助缴费、其他社会保障缴费、住房公积金、医疗费、离休费、退休费、抚恤金、奖励金。</w:t>
      </w:r>
    </w:p>
    <w:p w14:paraId="6B56D400">
      <w:pPr>
        <w:spacing w:line="580" w:lineRule="exact"/>
        <w:ind w:firstLine="640"/>
        <w:jc w:val="both"/>
      </w:pPr>
      <w:r>
        <w:rPr>
          <w:rFonts w:ascii="仿宋_GB2312" w:hAnsi="仿宋_GB2312" w:eastAsia="仿宋_GB2312"/>
          <w:b/>
          <w:sz w:val="32"/>
        </w:rPr>
        <w:t>公用经费59.34万元，</w:t>
      </w:r>
      <w:r>
        <w:rPr>
          <w:rFonts w:ascii="仿宋_GB2312" w:hAnsi="仿宋_GB2312" w:eastAsia="仿宋_GB2312"/>
          <w:b w:val="0"/>
          <w:sz w:val="32"/>
        </w:rPr>
        <w:t>包括：办公费、水费、电费、邮电费、物业管理费、差旅费、培训费、劳务费、工会经费、福利费。</w:t>
      </w:r>
    </w:p>
    <w:p w14:paraId="6AD2A579">
      <w:pPr>
        <w:spacing w:line="640" w:lineRule="exact"/>
        <w:ind w:firstLine="640"/>
        <w:jc w:val="both"/>
        <w:outlineLvl w:val="2"/>
      </w:pPr>
      <w:r>
        <w:rPr>
          <w:rFonts w:ascii="黑体" w:hAnsi="黑体" w:eastAsia="黑体"/>
          <w:sz w:val="32"/>
        </w:rPr>
        <w:t>七、政府性基金预算财政拨款收入支出决算情况说明</w:t>
      </w:r>
    </w:p>
    <w:p w14:paraId="724B5A1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DB5CF0E">
      <w:pPr>
        <w:spacing w:line="640" w:lineRule="exact"/>
        <w:ind w:firstLine="640"/>
        <w:jc w:val="both"/>
        <w:outlineLvl w:val="2"/>
      </w:pPr>
      <w:r>
        <w:rPr>
          <w:rFonts w:ascii="黑体" w:hAnsi="黑体" w:eastAsia="黑体"/>
          <w:sz w:val="32"/>
        </w:rPr>
        <w:t>八、国有资本经营预算财政拨款收入支出决算情况说明</w:t>
      </w:r>
    </w:p>
    <w:p w14:paraId="7E98A24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56588C">
      <w:pPr>
        <w:spacing w:line="640" w:lineRule="exact"/>
        <w:ind w:firstLine="640"/>
        <w:jc w:val="both"/>
        <w:outlineLvl w:val="2"/>
      </w:pPr>
      <w:r>
        <w:rPr>
          <w:rFonts w:ascii="黑体" w:hAnsi="黑体" w:eastAsia="黑体"/>
          <w:sz w:val="32"/>
        </w:rPr>
        <w:t>九、财政拨款“三公”经费支出决算情况说明</w:t>
      </w:r>
    </w:p>
    <w:p w14:paraId="32F00F9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2710E10">
      <w:pPr>
        <w:spacing w:line="580" w:lineRule="exact"/>
        <w:ind w:firstLine="640"/>
        <w:jc w:val="both"/>
      </w:pPr>
      <w:r>
        <w:rPr>
          <w:rFonts w:ascii="仿宋_GB2312" w:hAnsi="仿宋_GB2312" w:eastAsia="仿宋_GB2312"/>
          <w:b/>
          <w:sz w:val="32"/>
        </w:rPr>
        <w:t>具体情况如下：</w:t>
      </w:r>
    </w:p>
    <w:p w14:paraId="0B1DC4E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C7E3E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C8BD1D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114E70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2CDD7E8">
      <w:pPr>
        <w:spacing w:line="640" w:lineRule="exact"/>
        <w:ind w:firstLine="640"/>
        <w:jc w:val="both"/>
        <w:outlineLvl w:val="2"/>
      </w:pPr>
      <w:r>
        <w:rPr>
          <w:rFonts w:ascii="黑体" w:hAnsi="黑体" w:eastAsia="黑体"/>
          <w:sz w:val="32"/>
        </w:rPr>
        <w:t>十、其他重要事项的情况说明</w:t>
      </w:r>
    </w:p>
    <w:p w14:paraId="1B82D67A">
      <w:pPr>
        <w:spacing w:line="640" w:lineRule="exact"/>
        <w:ind w:firstLine="640"/>
        <w:jc w:val="both"/>
        <w:outlineLvl w:val="3"/>
      </w:pPr>
      <w:r>
        <w:rPr>
          <w:rFonts w:ascii="楷体_GB2312" w:hAnsi="楷体_GB2312" w:eastAsia="楷体_GB2312"/>
          <w:b/>
          <w:sz w:val="32"/>
        </w:rPr>
        <w:t>（一）机关运行经费及公用经费支出情况</w:t>
      </w:r>
    </w:p>
    <w:p w14:paraId="15FEAA6F">
      <w:pPr>
        <w:spacing w:line="580" w:lineRule="exact"/>
        <w:ind w:firstLine="640"/>
        <w:jc w:val="both"/>
      </w:pPr>
      <w:r>
        <w:rPr>
          <w:rFonts w:ascii="仿宋_GB2312" w:hAnsi="仿宋_GB2312" w:eastAsia="仿宋_GB2312"/>
          <w:b w:val="0"/>
          <w:sz w:val="32"/>
        </w:rPr>
        <w:t>2024年度新疆巴州档案馆（行政单位和参照公务员法管理事业单位）机关运行经费支出59.34万元，比上年增加42.01万元，增长242.41%，主要原因是：本年增加档案馆新馆水费、电费、物业费等，导致公用经费增加。</w:t>
      </w:r>
    </w:p>
    <w:p w14:paraId="3F4780ED">
      <w:pPr>
        <w:spacing w:line="640" w:lineRule="exact"/>
        <w:ind w:firstLine="640"/>
        <w:jc w:val="both"/>
        <w:outlineLvl w:val="3"/>
      </w:pPr>
      <w:r>
        <w:rPr>
          <w:rFonts w:ascii="楷体_GB2312" w:hAnsi="楷体_GB2312" w:eastAsia="楷体_GB2312"/>
          <w:b/>
          <w:sz w:val="32"/>
        </w:rPr>
        <w:t>（二）政府采购情况</w:t>
      </w:r>
    </w:p>
    <w:p w14:paraId="25F3AFA9">
      <w:pPr>
        <w:spacing w:line="580" w:lineRule="exact"/>
        <w:ind w:firstLine="640"/>
        <w:jc w:val="both"/>
      </w:pPr>
      <w:r>
        <w:rPr>
          <w:rFonts w:ascii="仿宋_GB2312" w:hAnsi="仿宋_GB2312" w:eastAsia="仿宋_GB2312"/>
          <w:b w:val="0"/>
          <w:sz w:val="32"/>
        </w:rPr>
        <w:t>2024年度政府采购支出总额58.90万元，其中：政府采购货物支出48.26万元、政府采购工程支出0.00万元、政府采购服务支出10.64万元。</w:t>
      </w:r>
    </w:p>
    <w:p w14:paraId="5CC0B669">
      <w:pPr>
        <w:spacing w:line="580" w:lineRule="exact"/>
        <w:ind w:firstLine="640"/>
        <w:jc w:val="both"/>
      </w:pPr>
      <w:r>
        <w:rPr>
          <w:rFonts w:ascii="仿宋_GB2312" w:hAnsi="仿宋_GB2312" w:eastAsia="仿宋_GB2312"/>
          <w:b w:val="0"/>
          <w:sz w:val="32"/>
        </w:rPr>
        <w:t>授予中小企业合同金额58.90万元，占政府采购支出总额的100.00%，其中：授予小微企业合同金额58.90万元，占政府采购支出总额的100.00%。</w:t>
      </w:r>
    </w:p>
    <w:p w14:paraId="40FD4FE3">
      <w:pPr>
        <w:spacing w:line="640" w:lineRule="exact"/>
        <w:ind w:firstLine="640"/>
        <w:jc w:val="both"/>
        <w:outlineLvl w:val="3"/>
      </w:pPr>
      <w:r>
        <w:rPr>
          <w:rFonts w:ascii="楷体_GB2312" w:hAnsi="楷体_GB2312" w:eastAsia="楷体_GB2312"/>
          <w:b/>
          <w:sz w:val="32"/>
        </w:rPr>
        <w:t>（三）国有资产占用情况说明</w:t>
      </w:r>
    </w:p>
    <w:p w14:paraId="6A708C53">
      <w:pPr>
        <w:spacing w:line="580" w:lineRule="exact"/>
        <w:ind w:firstLine="640"/>
        <w:jc w:val="both"/>
      </w:pPr>
      <w:r>
        <w:rPr>
          <w:rFonts w:ascii="仿宋_GB2312" w:hAnsi="仿宋_GB2312" w:eastAsia="仿宋_GB2312"/>
          <w:b w:val="0"/>
          <w:sz w:val="32"/>
        </w:rPr>
        <w:t>截至2024年12月31日，房屋3,259.38平方米，价值96.10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EE0768A">
      <w:pPr>
        <w:spacing w:line="640" w:lineRule="exact"/>
        <w:ind w:firstLine="640"/>
        <w:jc w:val="both"/>
        <w:outlineLvl w:val="2"/>
      </w:pPr>
      <w:r>
        <w:rPr>
          <w:rFonts w:ascii="黑体" w:hAnsi="黑体" w:eastAsia="黑体"/>
          <w:sz w:val="32"/>
        </w:rPr>
        <w:t>十一、预算绩效的情况说明</w:t>
      </w:r>
    </w:p>
    <w:p w14:paraId="1D822BB9">
      <w:pPr>
        <w:spacing w:line="580" w:lineRule="exact"/>
        <w:ind w:firstLine="640"/>
        <w:jc w:val="both"/>
      </w:pPr>
      <w:r>
        <w:rPr>
          <w:rFonts w:ascii="仿宋_GB2312" w:hAnsi="仿宋_GB2312" w:eastAsia="仿宋_GB2312"/>
          <w:b w:val="0"/>
          <w:sz w:val="32"/>
        </w:rPr>
        <w:t>根据预算绩效管理要求，本单位预算绩效评价项目3个，全年预算数48.26万元，全年执行数48.26万元。预算绩效管理取得的成效：一是资金使用效益显著提升；二是履职效能增强，将绩效目标与单位职能和工作挂钩，规范了工作流程、提升了管理水平；三是，预算管理更加科学规范，通过设定清晰的绩效指标、开展跟踪监控和事后评价，为预算调整和编制提供客观依据。发现的问题及原因：相关绩效管理方面专业知识的系统性学习有待加强。各项指标的设置要进一步优化、完善，主要在细化、量化上改进。在绩效自评过程中，</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部分人员缺乏相关绩效管理专业知识，自评价工作还存在自我审定的局限性，影响评价质量。下一步改进措施：一是专门设定对绩效工作人员定职、定岗、定责等相关制度措施，进一步提升</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业务水平，扎实做好绩效管理工作；二是进一步加强对绩效管理工作的组织领导，提高对预算绩效管理工作重要性的认识，总结经验查找问题，抓紧研究制定更全面更完善的绩效评价管理办法。结合年终考核建立绩效工作考核制度，加大全局对全面实施预算绩效管理和绩效管理工作的学习力度，让“花钱必问效，无效必问责”的理念深入工作每个环节。具体附项目支出绩效自评表和评价报告。</w:t>
      </w:r>
    </w:p>
    <w:p w14:paraId="69AA663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4B5C528D">
        <w:tc>
          <w:tcPr>
            <w:tcW w:w="8848" w:type="dxa"/>
            <w:gridSpan w:val="14"/>
            <w:vAlign w:val="center"/>
          </w:tcPr>
          <w:p w14:paraId="79D3F7C9">
            <w:pPr>
              <w:jc w:val="center"/>
            </w:pPr>
            <w:r>
              <w:rPr>
                <w:rFonts w:ascii="宋体" w:hAnsi="宋体" w:eastAsia="宋体"/>
                <w:sz w:val="24"/>
              </w:rPr>
              <w:t>项目支出绩效自评表</w:t>
            </w:r>
          </w:p>
        </w:tc>
      </w:tr>
      <w:tr w14:paraId="31785B37">
        <w:tblPrEx>
          <w:tblCellMar>
            <w:top w:w="0" w:type="dxa"/>
            <w:left w:w="108" w:type="dxa"/>
            <w:bottom w:w="0" w:type="dxa"/>
            <w:right w:w="108" w:type="dxa"/>
          </w:tblCellMar>
        </w:tblPrEx>
        <w:tc>
          <w:tcPr>
            <w:tcW w:w="8848" w:type="dxa"/>
            <w:gridSpan w:val="14"/>
            <w:vAlign w:val="center"/>
          </w:tcPr>
          <w:p w14:paraId="72018D88">
            <w:pPr>
              <w:jc w:val="center"/>
            </w:pPr>
            <w:r>
              <w:rPr>
                <w:rFonts w:ascii="宋体" w:hAnsi="宋体" w:eastAsia="宋体"/>
                <w:sz w:val="24"/>
              </w:rPr>
              <w:t>(2024年度)</w:t>
            </w:r>
          </w:p>
        </w:tc>
      </w:tr>
      <w:tr w14:paraId="7118F8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7D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E3D567">
            <w:pPr>
              <w:jc w:val="center"/>
            </w:pPr>
            <w:r>
              <w:rPr>
                <w:rFonts w:ascii="宋体" w:hAnsi="宋体" w:eastAsia="宋体"/>
                <w:sz w:val="16"/>
              </w:rPr>
              <w:t>巴州档案馆搬迁费</w:t>
            </w:r>
          </w:p>
        </w:tc>
      </w:tr>
      <w:tr w14:paraId="72E22A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A6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F71C48">
            <w:pPr>
              <w:jc w:val="center"/>
            </w:pPr>
            <w:r>
              <w:rPr>
                <w:rFonts w:ascii="宋体" w:hAnsi="宋体" w:eastAsia="宋体"/>
                <w:sz w:val="16"/>
              </w:rPr>
              <w:t>新疆巴州档案馆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38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E0280D">
            <w:pPr>
              <w:jc w:val="center"/>
            </w:pPr>
            <w:r>
              <w:rPr>
                <w:rFonts w:ascii="宋体" w:hAnsi="宋体" w:eastAsia="宋体"/>
                <w:sz w:val="16"/>
              </w:rPr>
              <w:t>新疆巴州档案馆</w:t>
            </w:r>
          </w:p>
        </w:tc>
      </w:tr>
      <w:tr w14:paraId="11F4B9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8478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D6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C59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D90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2E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C4A3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782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B499">
            <w:pPr>
              <w:jc w:val="center"/>
            </w:pPr>
            <w:r>
              <w:rPr>
                <w:rFonts w:ascii="宋体" w:hAnsi="宋体" w:eastAsia="宋体"/>
                <w:sz w:val="16"/>
              </w:rPr>
              <w:t>得分</w:t>
            </w:r>
          </w:p>
        </w:tc>
      </w:tr>
      <w:tr w14:paraId="7309BD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341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CCA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FB4B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FD9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E1B2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181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7BA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51B4">
            <w:pPr>
              <w:jc w:val="center"/>
            </w:pPr>
            <w:r>
              <w:rPr>
                <w:rFonts w:ascii="宋体" w:hAnsi="宋体" w:eastAsia="宋体"/>
                <w:sz w:val="16"/>
              </w:rPr>
              <w:t>10.00</w:t>
            </w:r>
          </w:p>
        </w:tc>
      </w:tr>
      <w:tr w14:paraId="16041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1DB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87B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FEF0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F002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CBDA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3C4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428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F05F">
            <w:pPr>
              <w:jc w:val="center"/>
            </w:pPr>
            <w:r>
              <w:rPr>
                <w:rFonts w:ascii="宋体" w:hAnsi="宋体" w:eastAsia="宋体"/>
                <w:sz w:val="16"/>
              </w:rPr>
              <w:t>-</w:t>
            </w:r>
          </w:p>
        </w:tc>
      </w:tr>
      <w:tr w14:paraId="5291F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AB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37EC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564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95A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E0B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6FE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40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038B">
            <w:pPr>
              <w:jc w:val="center"/>
            </w:pPr>
            <w:r>
              <w:rPr>
                <w:rFonts w:ascii="宋体" w:hAnsi="宋体" w:eastAsia="宋体"/>
                <w:sz w:val="16"/>
              </w:rPr>
              <w:t>-</w:t>
            </w:r>
          </w:p>
        </w:tc>
      </w:tr>
      <w:tr w14:paraId="69700B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ADE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47C5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FE69F5">
            <w:pPr>
              <w:jc w:val="center"/>
            </w:pPr>
            <w:r>
              <w:rPr>
                <w:rFonts w:ascii="宋体" w:hAnsi="宋体" w:eastAsia="宋体"/>
                <w:sz w:val="16"/>
              </w:rPr>
              <w:t>总体目标完成情况</w:t>
            </w:r>
          </w:p>
        </w:tc>
      </w:tr>
      <w:tr w14:paraId="41450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BFE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0CC79">
            <w:pPr>
              <w:jc w:val="both"/>
            </w:pPr>
            <w:r>
              <w:rPr>
                <w:rFonts w:ascii="宋体" w:hAnsi="宋体" w:eastAsia="宋体"/>
                <w:sz w:val="16"/>
              </w:rPr>
              <w:t>为妥善保护档案的安全和完整性，购置装档案的纸箱5000个，用来装档案资料，并使用专业的搬家公司，对档案库房进行搬迁，确保搬迁后档案馆很快正常工作，及时为群众提供档案资料的查阅利用档案。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2564C3">
            <w:pPr>
              <w:jc w:val="both"/>
            </w:pPr>
            <w:r>
              <w:rPr>
                <w:rFonts w:ascii="宋体" w:hAnsi="宋体" w:eastAsia="宋体"/>
                <w:sz w:val="16"/>
              </w:rPr>
              <w:t>购置装档案的纸箱5000个，用于档案馆库房搬迁时装档案资料；使用专业搬家公司，完成30车次的装卸运输，确保了档案安全完整</w:t>
            </w:r>
            <w:r>
              <w:rPr>
                <w:rFonts w:hint="eastAsia" w:ascii="宋体" w:hAnsi="宋体"/>
                <w:sz w:val="16"/>
                <w:lang w:eastAsia="zh-CN"/>
              </w:rPr>
              <w:t>地</w:t>
            </w:r>
            <w:r>
              <w:rPr>
                <w:rFonts w:ascii="宋体" w:hAnsi="宋体" w:eastAsia="宋体"/>
                <w:sz w:val="16"/>
              </w:rPr>
              <w:t>搬入了新建档案馆，使得档案馆很快投入了正常的工作，及时为查阅档案的群众提供查阅利用服务。</w:t>
            </w:r>
          </w:p>
        </w:tc>
      </w:tr>
      <w:tr w14:paraId="4A46FD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08D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21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8D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A4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BEB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0A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606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F55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82B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20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B04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ED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DC3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4E64">
            <w:pPr>
              <w:jc w:val="center"/>
            </w:pPr>
            <w:r>
              <w:rPr>
                <w:rFonts w:ascii="宋体" w:hAnsi="宋体" w:eastAsia="宋体"/>
                <w:sz w:val="16"/>
              </w:rPr>
              <w:t>偏差原因分析及改进措施</w:t>
            </w:r>
          </w:p>
        </w:tc>
      </w:tr>
      <w:tr w14:paraId="718795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26F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AB3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4A7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95A6">
            <w:pPr>
              <w:jc w:val="center"/>
            </w:pPr>
            <w:r>
              <w:rPr>
                <w:rFonts w:ascii="宋体" w:hAnsi="宋体" w:eastAsia="宋体"/>
                <w:sz w:val="16"/>
              </w:rPr>
              <w:t>采购纸箱数量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3AA5">
            <w:pPr>
              <w:jc w:val="center"/>
            </w:pPr>
            <w:r>
              <w:rPr>
                <w:rFonts w:ascii="宋体" w:hAnsi="宋体" w:eastAsia="宋体"/>
                <w:sz w:val="16"/>
              </w:rPr>
              <w:t>&gt;=5000个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08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E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56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2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6D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7CA8">
            <w:pPr>
              <w:jc w:val="center"/>
            </w:pPr>
            <w:r>
              <w:rPr>
                <w:rFonts w:ascii="宋体" w:hAnsi="宋体" w:eastAsia="宋体"/>
                <w:sz w:val="16"/>
              </w:rPr>
              <w:t>=5000个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39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D9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A15C">
            <w:pPr>
              <w:jc w:val="center"/>
            </w:pPr>
          </w:p>
        </w:tc>
      </w:tr>
      <w:tr w14:paraId="6D913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8D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58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15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0D3D">
            <w:pPr>
              <w:jc w:val="center"/>
            </w:pPr>
            <w:r>
              <w:rPr>
                <w:rFonts w:ascii="宋体" w:hAnsi="宋体" w:eastAsia="宋体"/>
                <w:sz w:val="16"/>
              </w:rPr>
              <w:t>搬迁运输次数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C119">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7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39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05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D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A4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F3C6">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04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233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F493">
            <w:pPr>
              <w:jc w:val="center"/>
            </w:pPr>
          </w:p>
        </w:tc>
      </w:tr>
      <w:tr w14:paraId="67BD7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6C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92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4C4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F89D">
            <w:pPr>
              <w:jc w:val="center"/>
            </w:pPr>
            <w:r>
              <w:rPr>
                <w:rFonts w:ascii="宋体" w:hAnsi="宋体" w:eastAsia="宋体"/>
                <w:sz w:val="16"/>
              </w:rPr>
              <w:t>纸箱质量合格率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0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27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2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144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B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7C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8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D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8D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39FF">
            <w:pPr>
              <w:jc w:val="center"/>
            </w:pPr>
          </w:p>
        </w:tc>
      </w:tr>
      <w:tr w14:paraId="6E407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AF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DD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E3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7B1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B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B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0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0C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27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90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5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3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CDB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4EFB">
            <w:pPr>
              <w:jc w:val="center"/>
            </w:pPr>
          </w:p>
        </w:tc>
      </w:tr>
      <w:tr w14:paraId="4C13A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7E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23F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480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8D6D">
            <w:pPr>
              <w:jc w:val="center"/>
            </w:pPr>
            <w:r>
              <w:rPr>
                <w:rFonts w:ascii="宋体" w:hAnsi="宋体" w:eastAsia="宋体"/>
                <w:sz w:val="16"/>
              </w:rPr>
              <w:t>采购纸箱完成时间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D1CF">
            <w:pPr>
              <w:jc w:val="center"/>
            </w:pPr>
            <w:r>
              <w:rPr>
                <w:rFonts w:ascii="宋体" w:hAnsi="宋体" w:eastAsia="宋体"/>
                <w:sz w:val="16"/>
              </w:rPr>
              <w:t>2024年2月26日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C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E6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AC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E8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40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9DB8">
            <w:pPr>
              <w:jc w:val="center"/>
            </w:pPr>
            <w:r>
              <w:rPr>
                <w:rFonts w:ascii="宋体" w:hAnsi="宋体" w:eastAsia="宋体"/>
                <w:sz w:val="16"/>
              </w:rPr>
              <w:t>=2024年2月26日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2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AA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5DE0">
            <w:pPr>
              <w:jc w:val="center"/>
            </w:pPr>
          </w:p>
        </w:tc>
      </w:tr>
      <w:tr w14:paraId="24B01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50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1C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E6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3806">
            <w:pPr>
              <w:jc w:val="center"/>
            </w:pPr>
            <w:r>
              <w:rPr>
                <w:rFonts w:ascii="宋体" w:hAnsi="宋体" w:eastAsia="宋体"/>
                <w:sz w:val="16"/>
              </w:rPr>
              <w:t>搬迁费支付完成时间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1ED9">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A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B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70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86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BA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825E">
            <w:pPr>
              <w:jc w:val="center"/>
            </w:pPr>
            <w:r>
              <w:rPr>
                <w:rFonts w:ascii="宋体" w:hAnsi="宋体" w:eastAsia="宋体"/>
                <w:sz w:val="16"/>
              </w:rPr>
              <w:t>2024年5月14日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0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12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E661">
            <w:pPr>
              <w:jc w:val="center"/>
            </w:pPr>
          </w:p>
        </w:tc>
      </w:tr>
      <w:tr w14:paraId="4870C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7C4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E4E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27C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FC34">
            <w:pPr>
              <w:jc w:val="center"/>
            </w:pPr>
            <w:r>
              <w:rPr>
                <w:rFonts w:ascii="宋体" w:hAnsi="宋体" w:eastAsia="宋体"/>
                <w:sz w:val="16"/>
              </w:rPr>
              <w:t>采购纸箱费用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7925">
            <w:pPr>
              <w:jc w:val="center"/>
            </w:pPr>
            <w:r>
              <w:rPr>
                <w:rFonts w:ascii="宋体" w:hAnsi="宋体" w:eastAsia="宋体"/>
                <w:sz w:val="16"/>
              </w:rPr>
              <w:t>&lt;=35000元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8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2B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E6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73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1A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4487">
            <w:pPr>
              <w:jc w:val="center"/>
            </w:pPr>
            <w:r>
              <w:rPr>
                <w:rFonts w:ascii="宋体" w:hAnsi="宋体" w:eastAsia="宋体"/>
                <w:sz w:val="16"/>
              </w:rPr>
              <w:t>=35000元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6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F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BDF0">
            <w:pPr>
              <w:jc w:val="center"/>
            </w:pPr>
          </w:p>
        </w:tc>
      </w:tr>
      <w:tr w14:paraId="5D8C9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1C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C86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8B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D754">
            <w:pPr>
              <w:jc w:val="center"/>
            </w:pPr>
            <w:r>
              <w:rPr>
                <w:rFonts w:ascii="宋体" w:hAnsi="宋体" w:eastAsia="宋体"/>
                <w:sz w:val="16"/>
              </w:rPr>
              <w:t>搬迁运输费用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D809">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2B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E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E9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57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E3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61B3">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1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C6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68D1">
            <w:pPr>
              <w:jc w:val="center"/>
            </w:pPr>
          </w:p>
        </w:tc>
      </w:tr>
      <w:tr w14:paraId="02606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13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76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6AC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A877">
            <w:pPr>
              <w:jc w:val="center"/>
            </w:pPr>
            <w:r>
              <w:rPr>
                <w:rFonts w:ascii="宋体" w:hAnsi="宋体" w:eastAsia="宋体"/>
                <w:sz w:val="16"/>
              </w:rPr>
              <w:t>纸箱利用率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E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5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5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D07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3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E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B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E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78C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251E">
            <w:pPr>
              <w:jc w:val="center"/>
            </w:pPr>
          </w:p>
        </w:tc>
      </w:tr>
      <w:tr w14:paraId="5FB432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7196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E9A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E26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3E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9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8050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A8C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3F7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6A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D54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D7068"/>
        </w:tc>
      </w:tr>
    </w:tbl>
    <w:p w14:paraId="68B73419">
      <w:r>
        <w:br w:type="page"/>
      </w:r>
    </w:p>
    <w:tbl>
      <w:tblPr>
        <w:tblStyle w:val="9"/>
        <w:tblW w:w="0" w:type="auto"/>
        <w:tblInd w:w="0" w:type="dxa"/>
        <w:tblLayout w:type="autofit"/>
        <w:tblCellMar>
          <w:top w:w="0" w:type="dxa"/>
          <w:left w:w="108" w:type="dxa"/>
          <w:bottom w:w="0" w:type="dxa"/>
          <w:right w:w="108" w:type="dxa"/>
        </w:tblCellMar>
      </w:tblPr>
      <w:tblGrid>
        <w:gridCol w:w="611"/>
        <w:gridCol w:w="577"/>
        <w:gridCol w:w="578"/>
        <w:gridCol w:w="578"/>
        <w:gridCol w:w="936"/>
        <w:gridCol w:w="578"/>
        <w:gridCol w:w="578"/>
        <w:gridCol w:w="595"/>
        <w:gridCol w:w="578"/>
        <w:gridCol w:w="578"/>
        <w:gridCol w:w="936"/>
        <w:gridCol w:w="612"/>
        <w:gridCol w:w="696"/>
        <w:gridCol w:w="629"/>
      </w:tblGrid>
      <w:tr w14:paraId="74159D3B">
        <w:tblPrEx>
          <w:tblCellMar>
            <w:top w:w="0" w:type="dxa"/>
            <w:left w:w="108" w:type="dxa"/>
            <w:bottom w:w="0" w:type="dxa"/>
            <w:right w:w="108" w:type="dxa"/>
          </w:tblCellMar>
        </w:tblPrEx>
        <w:tc>
          <w:tcPr>
            <w:tcW w:w="8848" w:type="dxa"/>
            <w:gridSpan w:val="14"/>
            <w:vAlign w:val="center"/>
          </w:tcPr>
          <w:p w14:paraId="57D07D9A">
            <w:pPr>
              <w:jc w:val="center"/>
            </w:pPr>
            <w:r>
              <w:rPr>
                <w:rFonts w:ascii="宋体" w:hAnsi="宋体" w:eastAsia="宋体"/>
                <w:sz w:val="24"/>
              </w:rPr>
              <w:t>项目支出绩效自评表</w:t>
            </w:r>
          </w:p>
        </w:tc>
      </w:tr>
      <w:tr w14:paraId="0917AF32">
        <w:tblPrEx>
          <w:tblCellMar>
            <w:top w:w="0" w:type="dxa"/>
            <w:left w:w="108" w:type="dxa"/>
            <w:bottom w:w="0" w:type="dxa"/>
            <w:right w:w="108" w:type="dxa"/>
          </w:tblCellMar>
        </w:tblPrEx>
        <w:tc>
          <w:tcPr>
            <w:tcW w:w="8848" w:type="dxa"/>
            <w:gridSpan w:val="14"/>
            <w:vAlign w:val="center"/>
          </w:tcPr>
          <w:p w14:paraId="261B3CE5">
            <w:pPr>
              <w:jc w:val="center"/>
            </w:pPr>
            <w:r>
              <w:rPr>
                <w:rFonts w:ascii="宋体" w:hAnsi="宋体" w:eastAsia="宋体"/>
                <w:sz w:val="24"/>
              </w:rPr>
              <w:t>(2024年度)</w:t>
            </w:r>
          </w:p>
        </w:tc>
      </w:tr>
      <w:tr w14:paraId="5069C2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38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58008B">
            <w:pPr>
              <w:jc w:val="center"/>
            </w:pPr>
            <w:r>
              <w:rPr>
                <w:rFonts w:ascii="宋体" w:hAnsi="宋体" w:eastAsia="宋体"/>
                <w:sz w:val="16"/>
              </w:rPr>
              <w:t>档案征集、保护、数字化与安全项目</w:t>
            </w:r>
          </w:p>
        </w:tc>
      </w:tr>
      <w:tr w14:paraId="1F0A9E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36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A575C4">
            <w:pPr>
              <w:jc w:val="center"/>
            </w:pPr>
            <w:r>
              <w:rPr>
                <w:rFonts w:ascii="宋体" w:hAnsi="宋体" w:eastAsia="宋体"/>
                <w:sz w:val="16"/>
              </w:rPr>
              <w:t>新疆巴州档案馆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1C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5B480B">
            <w:pPr>
              <w:jc w:val="center"/>
            </w:pPr>
            <w:r>
              <w:rPr>
                <w:rFonts w:ascii="宋体" w:hAnsi="宋体" w:eastAsia="宋体"/>
                <w:sz w:val="16"/>
              </w:rPr>
              <w:t>新疆巴州档案馆</w:t>
            </w:r>
          </w:p>
        </w:tc>
      </w:tr>
      <w:tr w14:paraId="0BFCD8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B36F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E9E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01D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B6B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E3E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CF3E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A32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165D">
            <w:pPr>
              <w:jc w:val="center"/>
            </w:pPr>
            <w:r>
              <w:rPr>
                <w:rFonts w:ascii="宋体" w:hAnsi="宋体" w:eastAsia="宋体"/>
                <w:sz w:val="16"/>
              </w:rPr>
              <w:t>得分</w:t>
            </w:r>
          </w:p>
        </w:tc>
      </w:tr>
      <w:tr w14:paraId="11FFA1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ECA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5F9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DB5B0">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D69F2">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D974F">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B3F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219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F476">
            <w:pPr>
              <w:jc w:val="center"/>
            </w:pPr>
            <w:r>
              <w:rPr>
                <w:rFonts w:ascii="宋体" w:hAnsi="宋体" w:eastAsia="宋体"/>
                <w:sz w:val="16"/>
              </w:rPr>
              <w:t>10.00</w:t>
            </w:r>
          </w:p>
        </w:tc>
      </w:tr>
      <w:tr w14:paraId="1845D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8D4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E2A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F9818">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DE736">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BC68">
            <w:pPr>
              <w:jc w:val="center"/>
            </w:pPr>
            <w:r>
              <w:rPr>
                <w:rFonts w:ascii="宋体" w:hAnsi="宋体" w:eastAsia="宋体"/>
                <w:sz w:val="16"/>
              </w:rPr>
              <w:t>34.86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CE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63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C318">
            <w:pPr>
              <w:jc w:val="center"/>
            </w:pPr>
            <w:r>
              <w:rPr>
                <w:rFonts w:ascii="宋体" w:hAnsi="宋体" w:eastAsia="宋体"/>
                <w:sz w:val="16"/>
              </w:rPr>
              <w:t>-</w:t>
            </w:r>
          </w:p>
        </w:tc>
      </w:tr>
      <w:tr w14:paraId="7A444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9C1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828E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30C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147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EF3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E49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21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E74E">
            <w:pPr>
              <w:jc w:val="center"/>
            </w:pPr>
            <w:r>
              <w:rPr>
                <w:rFonts w:ascii="宋体" w:hAnsi="宋体" w:eastAsia="宋体"/>
                <w:sz w:val="16"/>
              </w:rPr>
              <w:t>-</w:t>
            </w:r>
          </w:p>
        </w:tc>
      </w:tr>
      <w:tr w14:paraId="76B412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CFBF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44C9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BB290">
            <w:pPr>
              <w:jc w:val="center"/>
            </w:pPr>
            <w:r>
              <w:rPr>
                <w:rFonts w:ascii="宋体" w:hAnsi="宋体" w:eastAsia="宋体"/>
                <w:sz w:val="16"/>
              </w:rPr>
              <w:t>总体目标完成情况</w:t>
            </w:r>
          </w:p>
        </w:tc>
      </w:tr>
      <w:tr w14:paraId="48633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EEC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6060F">
            <w:pPr>
              <w:jc w:val="both"/>
            </w:pPr>
            <w:r>
              <w:rPr>
                <w:rFonts w:ascii="宋体" w:hAnsi="宋体" w:eastAsia="宋体"/>
                <w:sz w:val="16"/>
              </w:rPr>
              <w:t>2024年4月，巴州档案馆搬入自治州新建档案馆。根据新馆的布局、功能需要、馆库面积等实际情况，需要购置设备2台，其中：多功能一体机1台、扫描仪1台，用于改善档案基础设备，提高技术手段；购置馆库布置用品8批次，用于新馆库房、展厅、查阅室及公用区域进行装饰布置的用品及制作的开支，用以提高档案利用服务工作效率，服务大局、服务社会、服务群众的能力，增强档案开发利用，促进档案业务工作提质增效，提高查阅群众满意度；搬迁装卸20车次，物业管理2024年4-12月，共9个月，新馆13528.13平方米全年的消防维保，确保档案馆大楼的安全，健全档案安全保障体系，以适应新形势下档案事业发展的需要，更好地发挥档案馆为党管档、为国守史、为民服务的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936B3D">
            <w:pPr>
              <w:jc w:val="both"/>
            </w:pPr>
            <w:r>
              <w:rPr>
                <w:rFonts w:ascii="宋体" w:hAnsi="宋体" w:eastAsia="宋体"/>
                <w:sz w:val="16"/>
              </w:rPr>
              <w:t>搬入新建档案馆后，根据新馆的布局、功能需要、馆库面积等实际情况，购置了2台设备，分别是：激光多功能一体机1台、扫描仪1台，改善了档案基础设备，提高了服务利用的技术手段，提高了工作质量和效率；购置了馆库安装布置用品8批次，用于对新馆档案库房、展厅、查阅利用室、办公室及公用区域进行装饰布置，安装了相对应的制度牌、索引牌、宣传牌、提示牌、门牌等，二楼小展厅安装了展示柜等，并对气味较重的区域进行了甲醛和异味清除，改善了环境，方便了群众查阅，提高了工作效率和服务大局、服务社会、服务群众的能力，加强了档案的开发利用，促进了档案业务工作提质增效，提高了查阅群众的满意度；完成了搬迁装卸20车次，找了专业的有经验的搬家公司，完成了搬迁装卸工作，确保了搬迁过程中，档案的安全完整；完成了新馆13528.13平方米的消防维保检测和2024年4-12月物业管理，保障了档案馆大楼的安全，健全完善了档案的安全保障体系，为更好地发挥档案馆为党管档、为国守史、为民服务的作用提供了保障。</w:t>
            </w:r>
          </w:p>
        </w:tc>
      </w:tr>
      <w:tr w14:paraId="7E3B4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FC9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68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09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26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DBF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F8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E8E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190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5C2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1D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465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A16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29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00C1">
            <w:pPr>
              <w:jc w:val="center"/>
            </w:pPr>
            <w:r>
              <w:rPr>
                <w:rFonts w:ascii="宋体" w:hAnsi="宋体" w:eastAsia="宋体"/>
                <w:sz w:val="16"/>
              </w:rPr>
              <w:t>偏差原因分析及改进措施</w:t>
            </w:r>
          </w:p>
        </w:tc>
      </w:tr>
      <w:tr w14:paraId="455027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B86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E05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6A1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3D43">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1F78">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A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9A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58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E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E6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1501">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E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5B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84A6">
            <w:pPr>
              <w:jc w:val="center"/>
            </w:pPr>
          </w:p>
        </w:tc>
      </w:tr>
      <w:tr w14:paraId="60CCE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DB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E3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AD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7414">
            <w:pPr>
              <w:jc w:val="center"/>
            </w:pPr>
            <w:r>
              <w:rPr>
                <w:rFonts w:ascii="宋体" w:hAnsi="宋体" w:eastAsia="宋体"/>
                <w:sz w:val="16"/>
              </w:rPr>
              <w:t>采购馆库布置用品数量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AE1F">
            <w:pPr>
              <w:jc w:val="center"/>
            </w:pPr>
            <w:r>
              <w:rPr>
                <w:rFonts w:ascii="宋体" w:hAnsi="宋体" w:eastAsia="宋体"/>
                <w:sz w:val="16"/>
              </w:rPr>
              <w:t>&gt;=8批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4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C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F5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D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0A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21CA">
            <w:pPr>
              <w:jc w:val="center"/>
            </w:pPr>
            <w:r>
              <w:rPr>
                <w:rFonts w:ascii="宋体" w:hAnsi="宋体" w:eastAsia="宋体"/>
                <w:sz w:val="16"/>
              </w:rPr>
              <w: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A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35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5A82">
            <w:pPr>
              <w:jc w:val="center"/>
            </w:pPr>
          </w:p>
        </w:tc>
      </w:tr>
      <w:tr w14:paraId="77BFF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AB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88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F7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F335">
            <w:pPr>
              <w:jc w:val="center"/>
            </w:pPr>
            <w:r>
              <w:rPr>
                <w:rFonts w:ascii="宋体" w:hAnsi="宋体" w:eastAsia="宋体"/>
                <w:sz w:val="16"/>
              </w:rPr>
              <w:t>搬运装卸次数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8BB9">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F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C5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25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70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9D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1889">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D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91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D934">
            <w:pPr>
              <w:jc w:val="center"/>
            </w:pPr>
          </w:p>
        </w:tc>
      </w:tr>
      <w:tr w14:paraId="3B5C1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21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48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48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BCD0">
            <w:pPr>
              <w:jc w:val="center"/>
            </w:pPr>
            <w:r>
              <w:rPr>
                <w:rFonts w:ascii="宋体" w:hAnsi="宋体" w:eastAsia="宋体"/>
                <w:sz w:val="16"/>
              </w:rPr>
              <w:t>消防维保面积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FC22">
            <w:pPr>
              <w:jc w:val="center"/>
            </w:pPr>
            <w:r>
              <w:rPr>
                <w:rFonts w:ascii="宋体" w:hAnsi="宋体" w:eastAsia="宋体"/>
                <w:sz w:val="16"/>
              </w:rPr>
              <w:t>=13528.13平方米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C9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C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13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9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66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B066">
            <w:pPr>
              <w:jc w:val="center"/>
            </w:pPr>
            <w:r>
              <w:rPr>
                <w:rFonts w:ascii="宋体" w:hAnsi="宋体" w:eastAsia="宋体"/>
                <w:sz w:val="16"/>
              </w:rPr>
              <w:t>=13528.13平方米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8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20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D7A1">
            <w:pPr>
              <w:jc w:val="center"/>
            </w:pPr>
          </w:p>
        </w:tc>
      </w:tr>
      <w:tr w14:paraId="1C0B5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983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6C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A4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B602">
            <w:pPr>
              <w:jc w:val="center"/>
            </w:pPr>
            <w:r>
              <w:rPr>
                <w:rFonts w:ascii="宋体" w:hAnsi="宋体" w:eastAsia="宋体"/>
                <w:sz w:val="16"/>
              </w:rPr>
              <w:t>物业管理期间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3F21">
            <w:pPr>
              <w:jc w:val="center"/>
            </w:pPr>
            <w:r>
              <w:rPr>
                <w:rFonts w:ascii="宋体" w:hAnsi="宋体" w:eastAsia="宋体"/>
                <w:sz w:val="16"/>
              </w:rPr>
              <w:t>&gt;=9月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9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7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00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7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7C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F5F3">
            <w:pPr>
              <w:jc w:val="center"/>
            </w:pPr>
            <w:r>
              <w:rPr>
                <w:rFonts w:ascii="宋体" w:hAnsi="宋体" w:eastAsia="宋体"/>
                <w:sz w:val="16"/>
              </w:rPr>
              <w:t>=9月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8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DE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8E6A">
            <w:pPr>
              <w:jc w:val="center"/>
            </w:pPr>
          </w:p>
        </w:tc>
      </w:tr>
      <w:tr w14:paraId="670ED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5D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420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E6F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C4D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F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6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EE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A41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0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57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9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7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F1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A093">
            <w:pPr>
              <w:jc w:val="center"/>
            </w:pPr>
          </w:p>
        </w:tc>
      </w:tr>
      <w:tr w14:paraId="07800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23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80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F7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9B51">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A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8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81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0F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A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AC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E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1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6B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A499">
            <w:pPr>
              <w:jc w:val="center"/>
            </w:pPr>
          </w:p>
        </w:tc>
      </w:tr>
      <w:tr w14:paraId="6A497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20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31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EE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1B73">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E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7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29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17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22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0A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5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B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A2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F08D">
            <w:pPr>
              <w:jc w:val="center"/>
            </w:pPr>
          </w:p>
        </w:tc>
      </w:tr>
      <w:tr w14:paraId="22C66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C6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B8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F6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941C">
            <w:pPr>
              <w:jc w:val="center"/>
            </w:pPr>
            <w:r>
              <w:rPr>
                <w:rFonts w:ascii="宋体" w:hAnsi="宋体" w:eastAsia="宋体"/>
                <w:sz w:val="16"/>
              </w:rPr>
              <w:t>馆库布置用品质量合格率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F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5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8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EA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2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73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8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9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2D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B174">
            <w:pPr>
              <w:jc w:val="center"/>
            </w:pPr>
          </w:p>
        </w:tc>
      </w:tr>
      <w:tr w14:paraId="5408C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61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2C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39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C9CD">
            <w:pPr>
              <w:jc w:val="center"/>
            </w:pPr>
            <w:r>
              <w:rPr>
                <w:rFonts w:ascii="宋体" w:hAnsi="宋体" w:eastAsia="宋体"/>
                <w:sz w:val="16"/>
              </w:rPr>
              <w:t>消防维保验收合格率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2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6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0F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90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3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EA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F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8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C5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28F1">
            <w:pPr>
              <w:jc w:val="center"/>
            </w:pPr>
          </w:p>
        </w:tc>
      </w:tr>
      <w:tr w14:paraId="5B888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B6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0A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73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BB24">
            <w:pPr>
              <w:jc w:val="center"/>
            </w:pPr>
            <w:r>
              <w:rPr>
                <w:rFonts w:ascii="宋体" w:hAnsi="宋体" w:eastAsia="宋体"/>
                <w:sz w:val="16"/>
              </w:rPr>
              <w:t>物业管理验收合格率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9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47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A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DC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1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12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1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3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4F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5F5D">
            <w:pPr>
              <w:jc w:val="center"/>
            </w:pPr>
          </w:p>
        </w:tc>
      </w:tr>
      <w:tr w14:paraId="09B83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54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E79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98B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BC1C">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10A8">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93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57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0F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30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7F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1932">
            <w:pPr>
              <w:jc w:val="center"/>
            </w:pPr>
            <w:r>
              <w:rPr>
                <w:rFonts w:ascii="宋体" w:hAnsi="宋体" w:eastAsia="宋体"/>
                <w:sz w:val="16"/>
              </w:rPr>
              <w:t>2024年6月11日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D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FF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ECFA">
            <w:pPr>
              <w:jc w:val="center"/>
            </w:pPr>
          </w:p>
        </w:tc>
      </w:tr>
      <w:tr w14:paraId="4D600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DB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AC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AF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CF21">
            <w:pPr>
              <w:jc w:val="center"/>
            </w:pPr>
            <w:r>
              <w:rPr>
                <w:rFonts w:ascii="宋体" w:hAnsi="宋体" w:eastAsia="宋体"/>
                <w:sz w:val="16"/>
              </w:rPr>
              <w:t>馆库布置用品采购完成时间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4A3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2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AB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C2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79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84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F159">
            <w:pPr>
              <w:jc w:val="center"/>
            </w:pPr>
            <w:r>
              <w:rPr>
                <w:rFonts w:ascii="宋体" w:hAnsi="宋体" w:eastAsia="宋体"/>
                <w:sz w:val="16"/>
              </w:rPr>
              <w:t>2024年10月17日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C5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97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934C">
            <w:pPr>
              <w:jc w:val="center"/>
            </w:pPr>
          </w:p>
        </w:tc>
      </w:tr>
      <w:tr w14:paraId="48B37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EB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6E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73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61CE">
            <w:pPr>
              <w:jc w:val="center"/>
            </w:pPr>
            <w:r>
              <w:rPr>
                <w:rFonts w:ascii="宋体" w:hAnsi="宋体" w:eastAsia="宋体"/>
                <w:sz w:val="16"/>
              </w:rPr>
              <w:t>搬迁装卸完成时间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54D7">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8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66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1C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EA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81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02C0">
            <w:pPr>
              <w:jc w:val="center"/>
            </w:pPr>
            <w:r>
              <w:rPr>
                <w:rFonts w:ascii="宋体" w:hAnsi="宋体" w:eastAsia="宋体"/>
                <w:sz w:val="16"/>
              </w:rPr>
              <w:t>2024年7月4日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6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14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2272">
            <w:pPr>
              <w:jc w:val="center"/>
            </w:pPr>
          </w:p>
        </w:tc>
      </w:tr>
      <w:tr w14:paraId="1FFF9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8E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31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06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8547">
            <w:pPr>
              <w:jc w:val="center"/>
            </w:pPr>
            <w:r>
              <w:rPr>
                <w:rFonts w:ascii="宋体" w:hAnsi="宋体" w:eastAsia="宋体"/>
                <w:sz w:val="16"/>
              </w:rPr>
              <w:t>消防维保费支付完成时间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711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80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F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B3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BE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BB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6BCF">
            <w:pPr>
              <w:jc w:val="center"/>
            </w:pPr>
            <w:r>
              <w:rPr>
                <w:rFonts w:ascii="宋体" w:hAnsi="宋体" w:eastAsia="宋体"/>
                <w:sz w:val="16"/>
              </w:rPr>
              <w:t>2024年10月14日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C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79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27F5">
            <w:pPr>
              <w:jc w:val="center"/>
            </w:pPr>
          </w:p>
        </w:tc>
      </w:tr>
      <w:tr w14:paraId="10CC9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AD7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044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0F5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5892">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1EFC">
            <w:pPr>
              <w:jc w:val="center"/>
            </w:pPr>
            <w:r>
              <w:rPr>
                <w:rFonts w:ascii="宋体" w:hAnsi="宋体" w:eastAsia="宋体"/>
                <w:sz w:val="16"/>
              </w:rPr>
              <w:t>&lt;=11150元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A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C6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12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5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46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FB28">
            <w:pPr>
              <w:jc w:val="center"/>
            </w:pPr>
            <w:r>
              <w:rPr>
                <w:rFonts w:ascii="宋体" w:hAnsi="宋体" w:eastAsia="宋体"/>
                <w:sz w:val="16"/>
              </w:rPr>
              <w:t>=11150元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A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60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6265">
            <w:pPr>
              <w:jc w:val="center"/>
            </w:pPr>
          </w:p>
        </w:tc>
      </w:tr>
      <w:tr w14:paraId="5B5F6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D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9A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39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9396">
            <w:pPr>
              <w:jc w:val="center"/>
            </w:pPr>
            <w:r>
              <w:rPr>
                <w:rFonts w:ascii="宋体" w:hAnsi="宋体" w:eastAsia="宋体"/>
                <w:sz w:val="16"/>
              </w:rPr>
              <w:t>馆库布置用品采购成本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E056">
            <w:pPr>
              <w:jc w:val="center"/>
            </w:pPr>
            <w:r>
              <w:rPr>
                <w:rFonts w:ascii="宋体" w:hAnsi="宋体" w:eastAsia="宋体"/>
                <w:sz w:val="16"/>
              </w:rPr>
              <w:t>&lt;=260250元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3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DA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8A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D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FB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407C">
            <w:pPr>
              <w:jc w:val="center"/>
            </w:pPr>
            <w:r>
              <w:rPr>
                <w:rFonts w:ascii="宋体" w:hAnsi="宋体" w:eastAsia="宋体"/>
                <w:sz w:val="16"/>
              </w:rPr>
              <w:t>=260250元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0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67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47D2">
            <w:pPr>
              <w:jc w:val="center"/>
            </w:pPr>
          </w:p>
        </w:tc>
      </w:tr>
      <w:tr w14:paraId="1F384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F4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41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EE6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28F8">
            <w:pPr>
              <w:jc w:val="center"/>
            </w:pPr>
            <w:r>
              <w:rPr>
                <w:rFonts w:ascii="宋体" w:hAnsi="宋体" w:eastAsia="宋体"/>
                <w:sz w:val="16"/>
              </w:rPr>
              <w:t>搬运装卸费用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1A0E">
            <w:pPr>
              <w:jc w:val="center"/>
            </w:pPr>
            <w:r>
              <w:rPr>
                <w:rFonts w:ascii="宋体" w:hAnsi="宋体" w:eastAsia="宋体"/>
                <w:sz w:val="16"/>
              </w:rPr>
              <w:t>&lt;=8200元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5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43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1A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B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34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8F46">
            <w:pPr>
              <w:jc w:val="center"/>
            </w:pPr>
            <w:r>
              <w:rPr>
                <w:rFonts w:ascii="宋体" w:hAnsi="宋体" w:eastAsia="宋体"/>
                <w:sz w:val="16"/>
              </w:rPr>
              <w:t>=8200元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5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9F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E4AF">
            <w:pPr>
              <w:jc w:val="center"/>
            </w:pPr>
          </w:p>
        </w:tc>
      </w:tr>
      <w:tr w14:paraId="5C605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07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AF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13B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F34E">
            <w:pPr>
              <w:jc w:val="center"/>
            </w:pPr>
            <w:r>
              <w:rPr>
                <w:rFonts w:ascii="宋体" w:hAnsi="宋体" w:eastAsia="宋体"/>
                <w:sz w:val="16"/>
              </w:rPr>
              <w:t>消防维保费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0BAB">
            <w:pPr>
              <w:jc w:val="center"/>
            </w:pPr>
            <w:r>
              <w:rPr>
                <w:rFonts w:ascii="宋体" w:hAnsi="宋体" w:eastAsia="宋体"/>
                <w:sz w:val="16"/>
              </w:rPr>
              <w:t>&lt;=6000元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4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CD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10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C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33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E7D1">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A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1D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57B2">
            <w:pPr>
              <w:jc w:val="center"/>
            </w:pPr>
          </w:p>
        </w:tc>
      </w:tr>
      <w:tr w14:paraId="22CDF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B7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D8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6F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FDC2">
            <w:pPr>
              <w:jc w:val="center"/>
            </w:pPr>
            <w:r>
              <w:rPr>
                <w:rFonts w:ascii="宋体" w:hAnsi="宋体" w:eastAsia="宋体"/>
                <w:sz w:val="16"/>
              </w:rPr>
              <w:t>物业管理费用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FEC8">
            <w:pPr>
              <w:jc w:val="center"/>
            </w:pPr>
            <w:r>
              <w:rPr>
                <w:rFonts w:ascii="宋体" w:hAnsi="宋体" w:eastAsia="宋体"/>
                <w:sz w:val="16"/>
              </w:rPr>
              <w:t>&lt;=63000元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3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BA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74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0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9A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CF6C">
            <w:pPr>
              <w:jc w:val="center"/>
            </w:pPr>
            <w:r>
              <w:rPr>
                <w:rFonts w:ascii="宋体" w:hAnsi="宋体" w:eastAsia="宋体"/>
                <w:sz w:val="16"/>
              </w:rPr>
              <w:t>=63000元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3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B7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AD04">
            <w:pPr>
              <w:jc w:val="center"/>
            </w:pPr>
          </w:p>
        </w:tc>
      </w:tr>
      <w:tr w14:paraId="7C863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8E8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5B84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45C1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4D44">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4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C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7B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7B4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BA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8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0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9D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875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E392">
            <w:pPr>
              <w:jc w:val="center"/>
            </w:pPr>
          </w:p>
        </w:tc>
      </w:tr>
      <w:tr w14:paraId="4E829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7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85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97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3EF1">
            <w:pPr>
              <w:jc w:val="center"/>
            </w:pPr>
            <w:r>
              <w:rPr>
                <w:rFonts w:ascii="宋体" w:hAnsi="宋体" w:eastAsia="宋体"/>
                <w:sz w:val="16"/>
              </w:rPr>
              <w:t>馆库布置用品利用率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1D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1F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38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19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E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3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7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3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B1C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14D4">
            <w:pPr>
              <w:jc w:val="center"/>
            </w:pPr>
          </w:p>
        </w:tc>
      </w:tr>
      <w:tr w14:paraId="7578BE6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393D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A11A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FF6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A6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7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8894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64E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4C79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6873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139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396D77"/>
        </w:tc>
      </w:tr>
    </w:tbl>
    <w:p w14:paraId="0852CE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1981D24">
        <w:tblPrEx>
          <w:tblCellMar>
            <w:top w:w="0" w:type="dxa"/>
            <w:left w:w="108" w:type="dxa"/>
            <w:bottom w:w="0" w:type="dxa"/>
            <w:right w:w="108" w:type="dxa"/>
          </w:tblCellMar>
        </w:tblPrEx>
        <w:tc>
          <w:tcPr>
            <w:tcW w:w="8848" w:type="dxa"/>
            <w:gridSpan w:val="14"/>
            <w:vAlign w:val="center"/>
          </w:tcPr>
          <w:p w14:paraId="4F7F6B45">
            <w:pPr>
              <w:jc w:val="center"/>
            </w:pPr>
            <w:r>
              <w:rPr>
                <w:rFonts w:ascii="宋体" w:hAnsi="宋体" w:eastAsia="宋体"/>
                <w:sz w:val="24"/>
              </w:rPr>
              <w:t>项目支出绩效自评表</w:t>
            </w:r>
          </w:p>
        </w:tc>
      </w:tr>
      <w:tr w14:paraId="6A5F0452">
        <w:tblPrEx>
          <w:tblCellMar>
            <w:top w:w="0" w:type="dxa"/>
            <w:left w:w="108" w:type="dxa"/>
            <w:bottom w:w="0" w:type="dxa"/>
            <w:right w:w="108" w:type="dxa"/>
          </w:tblCellMar>
        </w:tblPrEx>
        <w:tc>
          <w:tcPr>
            <w:tcW w:w="8848" w:type="dxa"/>
            <w:gridSpan w:val="14"/>
            <w:vAlign w:val="center"/>
          </w:tcPr>
          <w:p w14:paraId="30E31A14">
            <w:pPr>
              <w:jc w:val="center"/>
            </w:pPr>
            <w:r>
              <w:rPr>
                <w:rFonts w:ascii="宋体" w:hAnsi="宋体" w:eastAsia="宋体"/>
                <w:sz w:val="24"/>
              </w:rPr>
              <w:t>(2024年度)</w:t>
            </w:r>
          </w:p>
        </w:tc>
      </w:tr>
      <w:tr w14:paraId="372BEF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94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029DD8">
            <w:pPr>
              <w:jc w:val="center"/>
            </w:pPr>
            <w:r>
              <w:rPr>
                <w:rFonts w:ascii="宋体" w:hAnsi="宋体" w:eastAsia="宋体"/>
                <w:sz w:val="16"/>
              </w:rPr>
              <w:t>自治州新建档案馆办公设备和家具采购经费</w:t>
            </w:r>
          </w:p>
        </w:tc>
      </w:tr>
      <w:tr w14:paraId="4BB69A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E6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6D0EC">
            <w:pPr>
              <w:jc w:val="center"/>
            </w:pPr>
            <w:r>
              <w:rPr>
                <w:rFonts w:ascii="宋体" w:hAnsi="宋体" w:eastAsia="宋体"/>
                <w:sz w:val="16"/>
              </w:rPr>
              <w:t>新疆巴州档案馆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97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DF2F91">
            <w:pPr>
              <w:jc w:val="center"/>
            </w:pPr>
            <w:r>
              <w:rPr>
                <w:rFonts w:ascii="宋体" w:hAnsi="宋体" w:eastAsia="宋体"/>
                <w:sz w:val="16"/>
              </w:rPr>
              <w:t>新疆巴州档案馆</w:t>
            </w:r>
          </w:p>
        </w:tc>
      </w:tr>
      <w:tr w14:paraId="69162B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AE70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9E0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0AE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1F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ED2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99E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4E9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4E8E">
            <w:pPr>
              <w:jc w:val="center"/>
            </w:pPr>
            <w:r>
              <w:rPr>
                <w:rFonts w:ascii="宋体" w:hAnsi="宋体" w:eastAsia="宋体"/>
                <w:sz w:val="16"/>
              </w:rPr>
              <w:t>得分</w:t>
            </w:r>
          </w:p>
        </w:tc>
      </w:tr>
      <w:tr w14:paraId="3F2B55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333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A1F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BD516">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F438">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99181">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9F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5A3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01A9">
            <w:pPr>
              <w:jc w:val="center"/>
            </w:pPr>
            <w:r>
              <w:rPr>
                <w:rFonts w:ascii="宋体" w:hAnsi="宋体" w:eastAsia="宋体"/>
                <w:sz w:val="16"/>
              </w:rPr>
              <w:t>10.00</w:t>
            </w:r>
          </w:p>
        </w:tc>
      </w:tr>
      <w:tr w14:paraId="1F4D1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397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1B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52D02">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D1AD9">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2AB77">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727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2AB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0874">
            <w:pPr>
              <w:jc w:val="center"/>
            </w:pPr>
            <w:r>
              <w:rPr>
                <w:rFonts w:ascii="宋体" w:hAnsi="宋体" w:eastAsia="宋体"/>
                <w:sz w:val="16"/>
              </w:rPr>
              <w:t>-</w:t>
            </w:r>
          </w:p>
        </w:tc>
      </w:tr>
      <w:tr w14:paraId="23AC9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7DC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815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44E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364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DC3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F81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9E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98BB">
            <w:pPr>
              <w:jc w:val="center"/>
            </w:pPr>
            <w:r>
              <w:rPr>
                <w:rFonts w:ascii="宋体" w:hAnsi="宋体" w:eastAsia="宋体"/>
                <w:sz w:val="16"/>
              </w:rPr>
              <w:t>-</w:t>
            </w:r>
          </w:p>
        </w:tc>
      </w:tr>
      <w:tr w14:paraId="498F0D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49E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17EE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977E6">
            <w:pPr>
              <w:jc w:val="center"/>
            </w:pPr>
            <w:r>
              <w:rPr>
                <w:rFonts w:ascii="宋体" w:hAnsi="宋体" w:eastAsia="宋体"/>
                <w:sz w:val="16"/>
              </w:rPr>
              <w:t>总体目标完成情况</w:t>
            </w:r>
          </w:p>
        </w:tc>
      </w:tr>
      <w:tr w14:paraId="3EEEF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64A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9E3126">
            <w:pPr>
              <w:jc w:val="both"/>
            </w:pPr>
            <w:r>
              <w:rPr>
                <w:rFonts w:ascii="宋体" w:hAnsi="宋体" w:eastAsia="宋体"/>
                <w:sz w:val="16"/>
              </w:rPr>
              <w:t>2024年4月，巴州档案馆已完成整体搬迁。州档案馆结合新馆布局、功能需求等情况，对现有办公设备和家具用具进行了全面细致的摸排。经核查，巴州档案馆现有办公设备和家具用具大部分都超过使用年限，老化严重，在搬迁过程中，两次拆装和搬运，使部分松散、损坏不能正常使用。并且现有办公设备与自治区档案馆关于“数字档案管理系统应基于安可适配”的要求有较大差距，已无法满足新馆正常业务开展，需进行国产化替代。为充分发挥档案馆为党管</w:t>
            </w:r>
            <w:r>
              <w:rPr>
                <w:rFonts w:hint="eastAsia" w:ascii="宋体" w:hAnsi="宋体"/>
                <w:sz w:val="16"/>
                <w:lang w:eastAsia="zh-CN"/>
              </w:rPr>
              <w:t>党</w:t>
            </w:r>
            <w:r>
              <w:rPr>
                <w:rFonts w:ascii="宋体" w:hAnsi="宋体" w:eastAsia="宋体"/>
                <w:sz w:val="16"/>
              </w:rPr>
              <w:t>、为国守史、为民服务的功能作用，需购置新的办公设备4套和家具用具134件，</w:t>
            </w:r>
            <w:r>
              <w:rPr>
                <w:rFonts w:hint="eastAsia" w:ascii="宋体" w:hAnsi="宋体"/>
                <w:sz w:val="16"/>
                <w:lang w:eastAsia="zh-CN"/>
              </w:rPr>
              <w:t>更好地</w:t>
            </w:r>
            <w:bookmarkStart w:id="0" w:name="_GoBack"/>
            <w:r>
              <w:rPr>
                <w:rFonts w:hint="eastAsia" w:ascii="宋体" w:hAnsi="宋体"/>
                <w:sz w:val="16"/>
                <w:lang w:eastAsia="zh-CN"/>
              </w:rPr>
              <w:t>为</w:t>
            </w:r>
            <w:bookmarkEnd w:id="0"/>
            <w:r>
              <w:rPr>
                <w:rFonts w:ascii="宋体" w:hAnsi="宋体" w:eastAsia="宋体"/>
                <w:sz w:val="16"/>
              </w:rPr>
              <w:t>广大群众提供档案的查阅利用，提高工作效率和查阅群众的满意度。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724298">
            <w:pPr>
              <w:jc w:val="both"/>
            </w:pPr>
            <w:r>
              <w:rPr>
                <w:rFonts w:ascii="宋体" w:hAnsi="宋体" w:eastAsia="宋体"/>
                <w:sz w:val="16"/>
              </w:rPr>
              <w:t>2024年，巴州档案馆搬入新建档案馆，结合新馆布局、功能需求和固定资产现状，购置了国产台式计算机、配套操作系统、办公软件4套，23814元，完成了部分国产化替代，缩小了自治区档案馆关于“数字档案管理系统应基于安可适配”的要求的差距，保障了新馆业务的正常开展。购置了窗帘52幅，20906元；净水机1台，6000元；改善了办公环境。购置了县级办公桌3张，单价1950元；一般干部办公桌3张，单价960元；椅子3把，单价480元；会议室椅子40把，单价240元；党性教师椅子30把，单价385元；讲台1个，980元；保密柜1个，980元；改善了办公条件，为广大查阅利用群众提供了良好的查阅环境，提高工作效率和查阅群众的满意度。</w:t>
            </w:r>
          </w:p>
        </w:tc>
      </w:tr>
      <w:tr w14:paraId="28EC8B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F76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74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E7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7D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CAA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50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8C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D86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418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AF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FC1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446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397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B3E1">
            <w:pPr>
              <w:jc w:val="center"/>
            </w:pPr>
            <w:r>
              <w:rPr>
                <w:rFonts w:ascii="宋体" w:hAnsi="宋体" w:eastAsia="宋体"/>
                <w:sz w:val="16"/>
              </w:rPr>
              <w:t>偏差原因分析及改进措施</w:t>
            </w:r>
          </w:p>
        </w:tc>
      </w:tr>
      <w:tr w14:paraId="3E3906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F84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BE67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ACD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9FA7">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D79D">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B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DB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5F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2A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3D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A52F">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63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F1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B892">
            <w:pPr>
              <w:jc w:val="center"/>
            </w:pPr>
          </w:p>
        </w:tc>
      </w:tr>
      <w:tr w14:paraId="45B28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E8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3E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8A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D8EC">
            <w:pPr>
              <w:jc w:val="center"/>
            </w:pPr>
            <w:r>
              <w:rPr>
                <w:rFonts w:ascii="宋体" w:hAnsi="宋体" w:eastAsia="宋体"/>
                <w:sz w:val="16"/>
              </w:rPr>
              <w:t>购置家具用具数量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2DD6">
            <w:pPr>
              <w:jc w:val="center"/>
            </w:pPr>
            <w:r>
              <w:rPr>
                <w:rFonts w:ascii="宋体" w:hAnsi="宋体" w:eastAsia="宋体"/>
                <w:sz w:val="16"/>
              </w:rPr>
              <w:t>&gt;=134件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A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E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65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F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11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0282">
            <w:pPr>
              <w:jc w:val="center"/>
            </w:pPr>
            <w:r>
              <w:rPr>
                <w:rFonts w:ascii="宋体" w:hAnsi="宋体" w:eastAsia="宋体"/>
                <w:sz w:val="16"/>
              </w:rPr>
              <w:t>=134件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E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8E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E1FD">
            <w:pPr>
              <w:jc w:val="center"/>
            </w:pPr>
          </w:p>
        </w:tc>
      </w:tr>
      <w:tr w14:paraId="19DBD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AD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41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559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09A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B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3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A8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4A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C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36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A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4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3B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5ED6">
            <w:pPr>
              <w:jc w:val="center"/>
            </w:pPr>
          </w:p>
        </w:tc>
      </w:tr>
      <w:tr w14:paraId="33921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FE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1D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D3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CCA4">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9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A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1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01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D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C9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8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9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B4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7538">
            <w:pPr>
              <w:jc w:val="center"/>
            </w:pPr>
          </w:p>
        </w:tc>
      </w:tr>
      <w:tr w14:paraId="10DEE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12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3C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6E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741E">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F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0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6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99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3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BC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B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B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F7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6196">
            <w:pPr>
              <w:jc w:val="center"/>
            </w:pPr>
          </w:p>
        </w:tc>
      </w:tr>
      <w:tr w14:paraId="6E7B5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A8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30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E0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5589">
            <w:pPr>
              <w:jc w:val="center"/>
            </w:pPr>
            <w:r>
              <w:rPr>
                <w:rFonts w:ascii="宋体" w:hAnsi="宋体" w:eastAsia="宋体"/>
                <w:sz w:val="16"/>
              </w:rPr>
              <w:t>家具用具质量合格率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7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6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35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62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E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E3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8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0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FF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210E">
            <w:pPr>
              <w:jc w:val="center"/>
            </w:pPr>
          </w:p>
        </w:tc>
      </w:tr>
      <w:tr w14:paraId="09CC3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02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5A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5F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AE22">
            <w:pPr>
              <w:jc w:val="center"/>
            </w:pPr>
            <w:r>
              <w:rPr>
                <w:rFonts w:ascii="宋体" w:hAnsi="宋体" w:eastAsia="宋体"/>
                <w:sz w:val="16"/>
              </w:rPr>
              <w:t>家具用具验收合格率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8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8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1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B4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7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8D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8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A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88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DC70">
            <w:pPr>
              <w:jc w:val="center"/>
            </w:pPr>
          </w:p>
        </w:tc>
      </w:tr>
      <w:tr w14:paraId="50A54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DF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ABA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1FA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CE72">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B47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1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AE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53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00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A0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316E">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99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0C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D7A6">
            <w:pPr>
              <w:jc w:val="center"/>
            </w:pPr>
            <w:r>
              <w:rPr>
                <w:rFonts w:ascii="宋体" w:hAnsi="宋体" w:eastAsia="宋体"/>
                <w:sz w:val="16"/>
              </w:rPr>
              <w:t>因资产配置数超过核定数，按资产科要求先进行报废处理再批准购置，报废处理资产导致未能按时完成新设备的采购。改进措施：设置指标时充分考虑各种因素，并做好项目的前期工作。</w:t>
            </w:r>
          </w:p>
        </w:tc>
      </w:tr>
      <w:tr w14:paraId="316C7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72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67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FE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D520">
            <w:pPr>
              <w:jc w:val="center"/>
            </w:pPr>
            <w:r>
              <w:rPr>
                <w:rFonts w:ascii="宋体" w:hAnsi="宋体" w:eastAsia="宋体"/>
                <w:sz w:val="16"/>
              </w:rPr>
              <w:t>家具用具采购完成时间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83C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7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B6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55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C8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7C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0731">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4A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CE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140B">
            <w:pPr>
              <w:jc w:val="center"/>
            </w:pPr>
            <w:r>
              <w:rPr>
                <w:rFonts w:ascii="宋体" w:hAnsi="宋体" w:eastAsia="宋体"/>
                <w:sz w:val="16"/>
              </w:rPr>
              <w:t>因资产配置数超过核定数，按资产科要求先进行报废处理再批准购置，报废处理资产导致未能按时完成新家具用具的采购。改进措施：设置指标时充分考虑各种因素，并做好项目的前期工作。</w:t>
            </w:r>
          </w:p>
        </w:tc>
      </w:tr>
      <w:tr w14:paraId="46365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CDA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AA8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0C0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442B">
            <w:pPr>
              <w:jc w:val="center"/>
            </w:pPr>
            <w:r>
              <w:rPr>
                <w:rFonts w:ascii="宋体" w:hAnsi="宋体" w:eastAsia="宋体"/>
                <w:sz w:val="16"/>
              </w:rPr>
              <w:t>采购家具用具费用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FFF4">
            <w:pPr>
              <w:jc w:val="center"/>
            </w:pPr>
            <w:r>
              <w:rPr>
                <w:rFonts w:ascii="宋体" w:hAnsi="宋体" w:eastAsia="宋体"/>
                <w:sz w:val="16"/>
              </w:rPr>
              <w:t>&lt;=60186元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9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AF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46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7C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92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5820">
            <w:pPr>
              <w:jc w:val="center"/>
            </w:pPr>
            <w:r>
              <w:rPr>
                <w:rFonts w:ascii="宋体" w:hAnsi="宋体" w:eastAsia="宋体"/>
                <w:sz w:val="16"/>
              </w:rPr>
              <w:t>=60186元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4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4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EECC">
            <w:pPr>
              <w:jc w:val="center"/>
            </w:pPr>
          </w:p>
        </w:tc>
      </w:tr>
      <w:tr w14:paraId="33C99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B8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B6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5C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07BB">
            <w:pPr>
              <w:jc w:val="center"/>
            </w:pPr>
            <w:r>
              <w:rPr>
                <w:rFonts w:ascii="宋体" w:hAnsi="宋体" w:eastAsia="宋体"/>
                <w:sz w:val="16"/>
              </w:rPr>
              <w:t>采购设备费用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D313">
            <w:pPr>
              <w:jc w:val="center"/>
            </w:pPr>
            <w:r>
              <w:rPr>
                <w:rFonts w:ascii="宋体" w:hAnsi="宋体" w:eastAsia="宋体"/>
                <w:sz w:val="16"/>
              </w:rPr>
              <w:t>&lt;=23814元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3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E5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7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DB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56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5ED6">
            <w:pPr>
              <w:jc w:val="center"/>
            </w:pPr>
            <w:r>
              <w:rPr>
                <w:rFonts w:ascii="宋体" w:hAnsi="宋体" w:eastAsia="宋体"/>
                <w:sz w:val="16"/>
              </w:rPr>
              <w:t>=23814元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E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9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1098">
            <w:pPr>
              <w:jc w:val="center"/>
            </w:pPr>
          </w:p>
        </w:tc>
      </w:tr>
      <w:tr w14:paraId="2054A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C65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9EEF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1804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298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32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D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8C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64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3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C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6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F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592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73FC">
            <w:pPr>
              <w:jc w:val="center"/>
            </w:pPr>
          </w:p>
        </w:tc>
      </w:tr>
      <w:tr w14:paraId="4A527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DE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72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79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5A45">
            <w:pPr>
              <w:jc w:val="center"/>
            </w:pPr>
            <w:r>
              <w:rPr>
                <w:rFonts w:ascii="宋体" w:hAnsi="宋体" w:eastAsia="宋体"/>
                <w:sz w:val="16"/>
              </w:rPr>
              <w:t>家具用具利用率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9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0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2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871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C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5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F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0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2CB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9F26">
            <w:pPr>
              <w:jc w:val="center"/>
            </w:pPr>
          </w:p>
        </w:tc>
      </w:tr>
      <w:tr w14:paraId="634D3B5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F746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F12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C0F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F3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B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305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301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D9E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24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6052">
            <w:pPr>
              <w:jc w:val="center"/>
            </w:pPr>
            <w:r>
              <w:rPr>
                <w:rFonts w:ascii="宋体" w:hAnsi="宋体" w:eastAsia="宋体"/>
                <w:sz w:val="16"/>
              </w:rPr>
              <w:t>92.00分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5BF6C"/>
        </w:tc>
      </w:tr>
    </w:tbl>
    <w:p w14:paraId="4F15B6D3">
      <w:r>
        <w:br w:type="page"/>
      </w:r>
    </w:p>
    <w:p w14:paraId="7FA46DA2">
      <w:pPr>
        <w:spacing w:line="640" w:lineRule="exact"/>
        <w:ind w:firstLine="640"/>
        <w:jc w:val="both"/>
        <w:outlineLvl w:val="2"/>
      </w:pPr>
      <w:r>
        <w:rPr>
          <w:rFonts w:ascii="黑体" w:hAnsi="黑体" w:eastAsia="黑体"/>
          <w:sz w:val="32"/>
        </w:rPr>
        <w:t>十二、其他需说明的事项</w:t>
      </w:r>
    </w:p>
    <w:p w14:paraId="06D692E3">
      <w:pPr>
        <w:spacing w:line="580" w:lineRule="exact"/>
        <w:ind w:firstLine="640"/>
        <w:jc w:val="both"/>
      </w:pPr>
      <w:r>
        <w:rPr>
          <w:rFonts w:ascii="仿宋_GB2312" w:hAnsi="仿宋_GB2312" w:eastAsia="仿宋_GB2312"/>
          <w:b w:val="0"/>
          <w:sz w:val="32"/>
        </w:rPr>
        <w:t>本年度本单位整体绩效自评表由主管部门编报并公开。</w:t>
      </w:r>
    </w:p>
    <w:p w14:paraId="7A5448EB">
      <w:r>
        <w:br w:type="page"/>
      </w:r>
    </w:p>
    <w:p w14:paraId="3874E26E">
      <w:pPr>
        <w:spacing w:line="240" w:lineRule="auto"/>
        <w:jc w:val="center"/>
        <w:outlineLvl w:val="1"/>
      </w:pPr>
      <w:r>
        <w:rPr>
          <w:rFonts w:ascii="黑体" w:hAnsi="黑体" w:eastAsia="黑体"/>
          <w:sz w:val="32"/>
        </w:rPr>
        <w:t>第三部分 专业名词解释</w:t>
      </w:r>
    </w:p>
    <w:p w14:paraId="4B33B9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447429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63EB1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EAFBE9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BE77A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499075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FD8E2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884EF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943FC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6F680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12167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EE3C15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7A4967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D5655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91A2E2">
      <w:r>
        <w:br w:type="page"/>
      </w:r>
    </w:p>
    <w:p w14:paraId="740FEE93">
      <w:pPr>
        <w:spacing w:line="240" w:lineRule="auto"/>
        <w:jc w:val="center"/>
        <w:outlineLvl w:val="1"/>
      </w:pPr>
      <w:r>
        <w:rPr>
          <w:rFonts w:ascii="黑体" w:hAnsi="黑体" w:eastAsia="黑体"/>
          <w:sz w:val="32"/>
        </w:rPr>
        <w:t>第四部分 部门决算报表（见附表）</w:t>
      </w:r>
    </w:p>
    <w:p w14:paraId="7316B4A9">
      <w:pPr>
        <w:spacing w:line="240" w:lineRule="auto"/>
        <w:ind w:firstLine="640"/>
        <w:jc w:val="both"/>
      </w:pPr>
      <w:r>
        <w:rPr>
          <w:rFonts w:ascii="仿宋_GB2312" w:hAnsi="仿宋_GB2312" w:eastAsia="仿宋_GB2312"/>
          <w:b w:val="0"/>
          <w:sz w:val="32"/>
        </w:rPr>
        <w:t>一、《收入支出决算总表》</w:t>
      </w:r>
    </w:p>
    <w:p w14:paraId="170466B0">
      <w:pPr>
        <w:spacing w:line="240" w:lineRule="auto"/>
        <w:ind w:firstLine="640"/>
        <w:jc w:val="both"/>
      </w:pPr>
      <w:r>
        <w:rPr>
          <w:rFonts w:ascii="仿宋_GB2312" w:hAnsi="仿宋_GB2312" w:eastAsia="仿宋_GB2312"/>
          <w:b w:val="0"/>
          <w:sz w:val="32"/>
        </w:rPr>
        <w:t>二、《收入决算表》</w:t>
      </w:r>
    </w:p>
    <w:p w14:paraId="2FEFF556">
      <w:pPr>
        <w:spacing w:line="240" w:lineRule="auto"/>
        <w:ind w:firstLine="640"/>
        <w:jc w:val="both"/>
      </w:pPr>
      <w:r>
        <w:rPr>
          <w:rFonts w:ascii="仿宋_GB2312" w:hAnsi="仿宋_GB2312" w:eastAsia="仿宋_GB2312"/>
          <w:b w:val="0"/>
          <w:sz w:val="32"/>
        </w:rPr>
        <w:t>三、《支出决算表》</w:t>
      </w:r>
    </w:p>
    <w:p w14:paraId="327C3021">
      <w:pPr>
        <w:spacing w:line="240" w:lineRule="auto"/>
        <w:ind w:firstLine="640"/>
        <w:jc w:val="both"/>
      </w:pPr>
      <w:r>
        <w:rPr>
          <w:rFonts w:ascii="仿宋_GB2312" w:hAnsi="仿宋_GB2312" w:eastAsia="仿宋_GB2312"/>
          <w:b w:val="0"/>
          <w:sz w:val="32"/>
        </w:rPr>
        <w:t>四、《财政拨款收入支出决算总表》</w:t>
      </w:r>
    </w:p>
    <w:p w14:paraId="148ED394">
      <w:pPr>
        <w:spacing w:line="240" w:lineRule="auto"/>
        <w:ind w:firstLine="640"/>
        <w:jc w:val="both"/>
      </w:pPr>
      <w:r>
        <w:rPr>
          <w:rFonts w:ascii="仿宋_GB2312" w:hAnsi="仿宋_GB2312" w:eastAsia="仿宋_GB2312"/>
          <w:b w:val="0"/>
          <w:sz w:val="32"/>
        </w:rPr>
        <w:t>五、《一般公共预算财政拨款支出决算表》</w:t>
      </w:r>
    </w:p>
    <w:p w14:paraId="4EFBCF26">
      <w:pPr>
        <w:spacing w:line="240" w:lineRule="auto"/>
        <w:ind w:firstLine="640"/>
        <w:jc w:val="both"/>
      </w:pPr>
      <w:r>
        <w:rPr>
          <w:rFonts w:ascii="仿宋_GB2312" w:hAnsi="仿宋_GB2312" w:eastAsia="仿宋_GB2312"/>
          <w:b w:val="0"/>
          <w:sz w:val="32"/>
        </w:rPr>
        <w:t>六、《一般公共预算财政拨款基本支出决算表》</w:t>
      </w:r>
    </w:p>
    <w:p w14:paraId="3C7B535F">
      <w:pPr>
        <w:spacing w:line="240" w:lineRule="auto"/>
        <w:ind w:firstLine="640"/>
        <w:jc w:val="both"/>
      </w:pPr>
      <w:r>
        <w:rPr>
          <w:rFonts w:ascii="仿宋_GB2312" w:hAnsi="仿宋_GB2312" w:eastAsia="仿宋_GB2312"/>
          <w:b w:val="0"/>
          <w:sz w:val="32"/>
        </w:rPr>
        <w:t>七、《政府性基金预算财政拨款收入支出决算表》</w:t>
      </w:r>
    </w:p>
    <w:p w14:paraId="00A0BDC3">
      <w:pPr>
        <w:spacing w:line="240" w:lineRule="auto"/>
        <w:ind w:firstLine="640"/>
        <w:jc w:val="both"/>
      </w:pPr>
      <w:r>
        <w:rPr>
          <w:rFonts w:ascii="仿宋_GB2312" w:hAnsi="仿宋_GB2312" w:eastAsia="仿宋_GB2312"/>
          <w:b w:val="0"/>
          <w:sz w:val="32"/>
        </w:rPr>
        <w:t>八、《国有资本经营预算财政拨款收入支出决算表》</w:t>
      </w:r>
    </w:p>
    <w:p w14:paraId="7C5DFA9A">
      <w:pPr>
        <w:spacing w:line="240" w:lineRule="auto"/>
        <w:ind w:firstLine="640"/>
        <w:jc w:val="both"/>
      </w:pPr>
      <w:r>
        <w:rPr>
          <w:rFonts w:ascii="仿宋_GB2312" w:hAnsi="仿宋_GB2312" w:eastAsia="仿宋_GB2312"/>
          <w:b w:val="0"/>
          <w:sz w:val="32"/>
        </w:rPr>
        <w:t>九、《财政拨款“三公”经费支出决算表》</w:t>
      </w:r>
    </w:p>
    <w:p w14:paraId="761ECC66">
      <w:pPr>
        <w:spacing w:line="240" w:lineRule="auto"/>
        <w:ind w:firstLine="640"/>
        <w:jc w:val="both"/>
      </w:pPr>
    </w:p>
    <w:p w14:paraId="521D6F2F">
      <w:pPr>
        <w:spacing w:line="240" w:lineRule="auto"/>
        <w:ind w:firstLine="640"/>
        <w:jc w:val="both"/>
      </w:pPr>
    </w:p>
    <w:p w14:paraId="51FA83DC">
      <w:pPr>
        <w:spacing w:line="240" w:lineRule="auto"/>
        <w:ind w:firstLine="640"/>
        <w:jc w:val="both"/>
      </w:pPr>
    </w:p>
    <w:p w14:paraId="0A07FE13">
      <w:pPr>
        <w:spacing w:line="240" w:lineRule="auto"/>
        <w:ind w:firstLine="640"/>
        <w:jc w:val="both"/>
      </w:pPr>
    </w:p>
    <w:p w14:paraId="615D4BD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067F4D-64B9-4E99-901E-F23E48CEDC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1EA1DC0-B451-4274-9DFA-17B1CE1D61C2}"/>
  </w:font>
  <w:font w:name="仿宋_GB2312">
    <w:panose1 w:val="02010609030101010101"/>
    <w:charset w:val="86"/>
    <w:family w:val="modern"/>
    <w:pitch w:val="default"/>
    <w:sig w:usb0="00000001" w:usb1="080E0000" w:usb2="00000000" w:usb3="00000000" w:csb0="00040000" w:csb1="00000000"/>
    <w:embedRegular r:id="rId3" w:fontKey="{8EFDAA05-AD06-4D4B-995F-D6290493F421}"/>
  </w:font>
  <w:font w:name="楷体_GB2312">
    <w:panose1 w:val="02010609030101010101"/>
    <w:charset w:val="86"/>
    <w:family w:val="auto"/>
    <w:pitch w:val="default"/>
    <w:sig w:usb0="00000001" w:usb1="080E0000" w:usb2="00000000" w:usb3="00000000" w:csb0="00040000" w:csb1="00000000"/>
    <w:embedRegular r:id="rId4" w:fontKey="{C9CEE094-88BF-427C-B3E9-9F45A5F93F8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535E36"/>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3C789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5851</Words>
  <Characters>6614</Characters>
  <Lines>0</Lines>
  <Paragraphs>0</Paragraphs>
  <TotalTime>3</TotalTime>
  <ScaleCrop>false</ScaleCrop>
  <LinksUpToDate>false</LinksUpToDate>
  <CharactersWithSpaces>6623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2025-09-11T08:27:44Z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