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B11F16"/>
    <w:p w14:paraId="7862B28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736C260">
      <w:pPr>
        <w:spacing w:line="540" w:lineRule="exact"/>
        <w:jc w:val="center"/>
        <w:rPr>
          <w:rFonts w:ascii="华文中宋" w:hAnsi="华文中宋" w:eastAsia="华文中宋" w:cs="宋体"/>
          <w:b/>
          <w:kern w:val="0"/>
          <w:sz w:val="52"/>
          <w:szCs w:val="52"/>
        </w:rPr>
      </w:pPr>
    </w:p>
    <w:p w14:paraId="6833F4A6">
      <w:pPr>
        <w:spacing w:line="540" w:lineRule="exact"/>
        <w:jc w:val="center"/>
        <w:rPr>
          <w:rFonts w:ascii="华文中宋" w:hAnsi="华文中宋" w:eastAsia="华文中宋" w:cs="宋体"/>
          <w:b/>
          <w:kern w:val="0"/>
          <w:sz w:val="52"/>
          <w:szCs w:val="52"/>
        </w:rPr>
      </w:pPr>
    </w:p>
    <w:p w14:paraId="10B665F1">
      <w:pPr>
        <w:spacing w:line="540" w:lineRule="exact"/>
        <w:jc w:val="center"/>
        <w:rPr>
          <w:rFonts w:ascii="华文中宋" w:hAnsi="华文中宋" w:eastAsia="华文中宋" w:cs="宋体"/>
          <w:b/>
          <w:kern w:val="0"/>
          <w:sz w:val="52"/>
          <w:szCs w:val="52"/>
        </w:rPr>
      </w:pPr>
    </w:p>
    <w:p w14:paraId="36FCDFCC">
      <w:pPr>
        <w:spacing w:line="540" w:lineRule="exact"/>
        <w:jc w:val="center"/>
        <w:rPr>
          <w:rFonts w:ascii="华文中宋" w:hAnsi="华文中宋" w:eastAsia="华文中宋" w:cs="宋体"/>
          <w:b/>
          <w:kern w:val="0"/>
          <w:sz w:val="52"/>
          <w:szCs w:val="52"/>
        </w:rPr>
      </w:pPr>
    </w:p>
    <w:p w14:paraId="51186882">
      <w:pPr>
        <w:spacing w:line="540" w:lineRule="exact"/>
        <w:jc w:val="center"/>
        <w:rPr>
          <w:rFonts w:ascii="华文中宋" w:hAnsi="华文中宋" w:eastAsia="华文中宋" w:cs="宋体"/>
          <w:b/>
          <w:kern w:val="0"/>
          <w:sz w:val="52"/>
          <w:szCs w:val="52"/>
        </w:rPr>
      </w:pPr>
    </w:p>
    <w:p w14:paraId="4D7117F3">
      <w:pPr>
        <w:spacing w:line="540" w:lineRule="exact"/>
        <w:jc w:val="center"/>
        <w:rPr>
          <w:rFonts w:ascii="华文中宋" w:hAnsi="华文中宋" w:eastAsia="华文中宋" w:cs="宋体"/>
          <w:b/>
          <w:kern w:val="0"/>
          <w:sz w:val="52"/>
          <w:szCs w:val="52"/>
        </w:rPr>
      </w:pPr>
    </w:p>
    <w:p w14:paraId="46EFC8A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156F9A2">
      <w:pPr>
        <w:spacing w:line="540" w:lineRule="exact"/>
        <w:jc w:val="center"/>
        <w:rPr>
          <w:rFonts w:ascii="华文中宋" w:hAnsi="华文中宋" w:eastAsia="华文中宋" w:cs="宋体"/>
          <w:b/>
          <w:kern w:val="0"/>
          <w:sz w:val="52"/>
          <w:szCs w:val="52"/>
        </w:rPr>
      </w:pPr>
    </w:p>
    <w:p w14:paraId="49988F6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FEEC82F">
      <w:pPr>
        <w:spacing w:line="540" w:lineRule="exact"/>
        <w:jc w:val="center"/>
        <w:rPr>
          <w:rFonts w:hAnsi="宋体" w:eastAsia="仿宋_GB2312" w:cs="宋体"/>
          <w:kern w:val="0"/>
          <w:sz w:val="30"/>
          <w:szCs w:val="30"/>
        </w:rPr>
      </w:pPr>
    </w:p>
    <w:p w14:paraId="70BA3B7B">
      <w:pPr>
        <w:spacing w:line="540" w:lineRule="exact"/>
        <w:jc w:val="center"/>
        <w:rPr>
          <w:rFonts w:hAnsi="宋体" w:eastAsia="仿宋_GB2312" w:cs="宋体"/>
          <w:kern w:val="0"/>
          <w:sz w:val="30"/>
          <w:szCs w:val="30"/>
        </w:rPr>
      </w:pPr>
    </w:p>
    <w:p w14:paraId="20B1D723">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F2CBD8C">
      <w:pPr>
        <w:spacing w:line="540" w:lineRule="exact"/>
        <w:jc w:val="center"/>
        <w:rPr>
          <w:rFonts w:hAnsi="宋体" w:eastAsia="仿宋_GB2312" w:cs="宋体"/>
          <w:kern w:val="0"/>
          <w:sz w:val="30"/>
          <w:szCs w:val="30"/>
        </w:rPr>
      </w:pPr>
    </w:p>
    <w:p w14:paraId="35C25389">
      <w:pPr>
        <w:spacing w:line="540" w:lineRule="exact"/>
        <w:jc w:val="center"/>
        <w:rPr>
          <w:rFonts w:hAnsi="宋体" w:eastAsia="仿宋_GB2312" w:cs="宋体"/>
          <w:kern w:val="0"/>
          <w:sz w:val="30"/>
          <w:szCs w:val="30"/>
        </w:rPr>
      </w:pPr>
    </w:p>
    <w:p w14:paraId="68F9A0F9">
      <w:pPr>
        <w:spacing w:line="540" w:lineRule="exact"/>
        <w:jc w:val="center"/>
        <w:rPr>
          <w:rFonts w:hAnsi="宋体" w:eastAsia="仿宋_GB2312" w:cs="宋体"/>
          <w:kern w:val="0"/>
          <w:sz w:val="30"/>
          <w:szCs w:val="30"/>
        </w:rPr>
      </w:pPr>
    </w:p>
    <w:p w14:paraId="30584163">
      <w:pPr>
        <w:spacing w:line="540" w:lineRule="exact"/>
        <w:rPr>
          <w:rFonts w:hAnsi="宋体" w:eastAsia="仿宋_GB2312" w:cs="宋体"/>
          <w:kern w:val="0"/>
          <w:sz w:val="30"/>
          <w:szCs w:val="30"/>
        </w:rPr>
      </w:pPr>
    </w:p>
    <w:p w14:paraId="436C65E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4A4151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2024年融媒体中心新疆石榴云巴州融媒体技术平台运行维护服务费项目</w:t>
      </w:r>
    </w:p>
    <w:p w14:paraId="1753A9E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巴音郭愣融媒体中心</w:t>
      </w:r>
    </w:p>
    <w:p w14:paraId="0F05250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巴音郭楞融媒体中心</w:t>
      </w:r>
    </w:p>
    <w:p w14:paraId="4AFFF13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牛满江</w:t>
      </w:r>
    </w:p>
    <w:p w14:paraId="16D99730">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0518B5F3">
      <w:pPr>
        <w:spacing w:line="700" w:lineRule="exact"/>
        <w:ind w:firstLine="708" w:firstLineChars="236"/>
        <w:jc w:val="left"/>
        <w:rPr>
          <w:rFonts w:hAnsi="宋体" w:eastAsia="仿宋_GB2312" w:cs="宋体"/>
          <w:kern w:val="0"/>
          <w:sz w:val="30"/>
          <w:szCs w:val="30"/>
        </w:rPr>
      </w:pPr>
    </w:p>
    <w:p w14:paraId="23C6ABDE">
      <w:pPr>
        <w:spacing w:line="540" w:lineRule="exact"/>
        <w:rPr>
          <w:rStyle w:val="19"/>
          <w:rFonts w:ascii="黑体" w:hAnsi="黑体" w:eastAsia="黑体"/>
          <w:b w:val="0"/>
          <w:spacing w:val="-4"/>
          <w:sz w:val="32"/>
          <w:szCs w:val="32"/>
        </w:rPr>
      </w:pPr>
    </w:p>
    <w:p w14:paraId="347B2A3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E39BB0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DA3714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按照自治区党委“全疆一张网”的工作部署，新疆日报社承建了自治区级融媒体技术平台“石榴云”并负责日常运行维护工作。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音郭楞融媒体中心于2022年11月入驻石榴云融媒体技术平台开展融合生产传播业务，实现了网络媒体、广播、电视、报纸的新闻生产整合，采编审校的流程再造，一次采编审校流程即可实现网络及传统媒体的多平台发布。“石榴云-巴州融媒体技术平台”的正常运行将产生系统维护、功能优化、性能迭代升级、资源运行维护及安全等方面的成本，需按年度支付平台运行维护服务费才能确保“石榴云-巴州融媒体技术平台”的正常运行。经与“石榴云”运营方多次协商，最终达成一致，每年需支付149余万元（预算清单附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新疆石榴云巴州融媒体技术平台运行维护服务费项目计划开始日期：2024年01月01日，计划结束日期：2024年12月31日。具体工作内容：利用“石榴云-巴州融媒体技术平台”进行采访、编辑、审核校对、发布播出等流程的整合。项目实施后可达到的预期效益具体内容如下：①通过大数据辅助热点研判和新闻生成，帮助媒体在指挥报道层全局掌控，汇聚稿源素材、新闻线索、作为报题及选题的依据，为编采人员对报道新闻的事件进度、选题角度、报道层面提供稿源素材、数据支持及内容检索服务；②可以对新闻事件分布、应急管理、应急指挥等数据提供实时分析；③实时展示采编播各流程部门的运行数据，为当天的新闻统筹指挥提供详实依据；④提供PC端管理、移动端发布功能，提供各类模版资源，简单、高效创建各类活动；⑤对新闻稿件进行全流程监控，实时跟踪本地及全疆、全网的新闻线索热点变化，对原创稿件进行传播力分析，并聚合展示本媒体所属渠道产品稿件；⑥对客户端的非新闻类业务进行统筹管理，主要包括活动运营、广告管理、直播管理、评论管理、石榴号运营等；⑦为外部内容创作者提供开放平台，整合大数据分析能力，外部通讯员和媒体之间通过线上实现快速签约和身份认证审核，一键分发，覆盖多个内容渠道；⑧提供在线学习、在线考试、在线答疑等方式相结合的技术和应用培训服务，辅助媒体中心业务人员快速利用平台进行内容生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（3）资金投入情况：该项目年初预算数149万元，全年预算数149万元，实际总投入149万元，该项目资金已全部落实到位，资金来源为财政拨款。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资金使用情况：该项目年初预算数149万元，全年预算数149万元，全年执行数149万元，预算执行率为100%，用于：开展融合生产传播业务，实现了网络媒体、广播、电视、报纸的新闻生产整合，采编审校的流程再造，一次采编审校流程即可实现网络及传统媒体的多平台发布。平台运行维护服务费62万元 ,网络云存贮空间租用费30万元,新闻大数据模块租用费27万元,互动运营模块租用费30万元。</w:t>
      </w:r>
    </w:p>
    <w:p w14:paraId="4A7F042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EB175A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巴音郭楞融媒体中心于2022年11月入驻石榴云融媒体技术平台，并依托石榴云-巴州融媒体技术平台开展融合生产传播业务。石榴云-巴州融媒体技术平台的正常运行将产生系统维护、功能优化、性能迭代升级、资源运行维护及安全等方面成本，按年度支付平台运行维护服务费，确保石榴云-巴州融媒体技术平台能够安全稳定运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为项目的顺利进行，确保项目实施有效，提升基础设施建设和宣传业务水平。该项目2024年第一季度收取新疆石榴云巴州融媒体技术平台运维服务年费的函，并与新疆石榴云签订合同，开始对接项目实施工作；第二季度完成项目搭建平台工作，对项目宣传内容质量进行把控，并设置相关流程；第三季度对项目实施的进度及内容产生的效果进行监测；第四季度对项目宣传内容实施完成情况及新疆石榴云平台进行测试验收。</w:t>
      </w:r>
    </w:p>
    <w:p w14:paraId="1403E75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E50A3A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690672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2.绩效评价对象：2024年融媒体中心新疆石榴云巴州融媒体技术平台运行维护服务费项目所包含的全部项目内容。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本次评价从项目决策、项目管理、项目产出、项目效益四个维度进行2024年融媒体中心新疆石榴云巴州融媒体技术平台运行维护服务费项目评价，评价核心为资金的支出完成情况和效果。</w:t>
      </w:r>
    </w:p>
    <w:p w14:paraId="79F4EC3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E17F95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（一）科学公正。本次项目支出绩效评价运用科学合理的方法，按照规范的程序，对项目绩效进行客观、公正的反映。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（二）统筹兼顾。本次项目支出绩效评价由本单位自主实施，即“谁支出、谁自评”。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（三）激励约束。本次项目支出绩效评价结果与预算安排、政策调整、改进管理实质性挂钩，体现奖优罚劣和激励相容导向，有效要安排、低效要压减、无效要问责。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（四）公开透明。本次项目支出绩效评价结果已依法依规在巴州人民政府网公开，并自觉接受社会监督。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2.评价指标体系（附表说明）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本项目采用的是比较法，原因是：通过对绩效目标与实施效果、历史与当期情况，综合分析绩效目标实现程度，对项目最终验收情况与当年度绩效目标对比，预算资金执行情况等相关因素进行比较。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通过比较项目支出的实际结果与预先制定的目标、计划、预算、定额等，分析完成目标的因素，从而评价项目支出绩效。</w:t>
      </w:r>
    </w:p>
    <w:p w14:paraId="5FD9425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70A9E1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为保障2024年融媒体中心新疆石榴云巴州融媒体技术平台运行维护服务费项目工作的顺利进行，确保项目实施有效，提高宣传业务水平，满足全媒体宣传需求。该项目分以下三个阶段：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首先成立以沈建为组长的评价工作组，对项目开展前期工作进行调研；其次明确2024年融媒体中心新疆石榴云巴州融媒体技术平台运行维护服务费项目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2FEE9F92">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2C2E904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1.综合评价情况：项目总体组织规范，在项目实施过程做到认真履职，监督到位。按照相关制度的要求，项目负责人沈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科学公正、统筹兼顾、激励约束、公开透明的绩效评价原则，采用因素分析法，坚持严格的绩效评价标准对本项目的立项、绩效目标、资金投入、资金管理、组织实施、产出数量、产出质量、产出时效、产出成本、项目效益进行了综合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（二）相关评分表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2024年融媒体中心新疆石榴云巴州融媒体技术平台运行维护服务费项目评价得分情况：项目过程类指标权重为20分，得分为20分，得分率为100%。项目产出类指标权重为40分，得分为40分，得分率为 100%。项目效益类指标权重为20分，得分为20分，得分率为100%。</w:t>
      </w:r>
    </w:p>
    <w:p w14:paraId="2F483C05">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D10890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3184A6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依据《关于加快推进媒体深度融合发展的意见》、《关于加快推进广播电视媒体深度融合发展的意见》，符合《“十四五”规划》在思想上、政治上、行动上同以习近平同志为核心的党中央保持高度一致的要求，与宣传习近平新时代中国特色社会主义思想，宣传党的理论和路线方针政策部门职责范围相符，</w:t>
      </w:r>
      <w:r>
        <w:rPr>
          <w:rStyle w:val="19"/>
          <w:rFonts w:hint="eastAsia" w:ascii="楷体" w:hAnsi="楷体" w:eastAsia="楷体"/>
          <w:spacing w:val="-4"/>
          <w:sz w:val="32"/>
          <w:szCs w:val="32"/>
          <w:lang w:eastAsia="zh-CN"/>
        </w:rPr>
        <w:t>属于部门</w:t>
      </w:r>
      <w:bookmarkStart w:id="0" w:name="_GoBack"/>
      <w:bookmarkEnd w:id="0"/>
      <w:r>
        <w:rPr>
          <w:rStyle w:val="19"/>
          <w:rFonts w:hint="eastAsia" w:ascii="楷体" w:hAnsi="楷体" w:eastAsia="楷体"/>
          <w:spacing w:val="-4"/>
          <w:sz w:val="32"/>
          <w:szCs w:val="32"/>
        </w:rPr>
        <w:t>履职所需；本项目以国家战略发展规划、宏观调控政策为导向，属于文化润疆工程，体现资金统筹使用和优先保障重点支出要求，属于公共财政支持范围；符合中央、地方事权支出责任划分原则，该项目为2024年新增项目，没有与部门内部相关项目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2024年融媒体中心新疆石榴云巴州融媒体技术平台运行维护服务费项目》相关要求，严格按照审批流程准备符合要求的文件、材料；根据决算依据编制工作计划和经费预算，经过与部门项目分管领导沈建进行沟通、参照本年度业务需求，合理制定预算标准，筛选并确定经费预算计划。项目的审批文件、材料符合《巴音郭楞融媒体中心2024年度预算编制》相关要求，项目事前经过项目人员组织实施计划、投资与成本、效益及风险等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融媒体中心新疆石榴云巴州融媒体技术平台运行维护服务费项目设立了项目绩效目标，确保“石榴云-巴州融媒体技术平台”的正常运行将产生系统维护、功能优化、性能迭代升级、资源运行维护及安全等，提高宣传业务水平的工作内容具有相关性，项目的预期产出效益和效果均符合正常的业绩水平，并且与预算确定的项目投资额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融媒体中心新疆石榴云巴州融媒体技术平台运行维护服务费项目将项目绩效目标细化分解为具体的绩效指标，一级指标共4条，二级指标共6条，三级指标共11条，其中量化指标条数共11条，所有绩效指标均通过清晰、可衡量的指标值予以体现，并且做到了与项目目标任务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单位同财政部门共同梳理项目绩效目标，合理测算《2024年融媒体中心新疆石榴云巴州融媒体技术平台运行维护服务费项目》，预算编制经过科学论证，预算内容与项目设立的提升基础设施建设和宣传业务水平的工作内容相匹配，预算额度测算依据《巴音郭楞融媒体中心预算绩效管理制度》，分析出预算额度，依据充分并按照标准编制，预算确定的项目投资额与完成的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资金分配按照《巴音郭楞融媒体中心预算绩效管理制度》对项目的预期产出效果，服务对象或项目受益人满意程度的绩效指标进行合理的决策和评估，确保资金有效利用和项目的成功实施，依据充分；平台运行维护服务费62万元 ,网络云存贮空间租用费30万元,新闻大数据模块租用费27万元,互动运营模块租用费30万元，资金分配额度合理，与本单位相适应。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113C923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80CF56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预算资金149万元，实际到位资金149万元，资金到位率100%。此项权重分4分，得分4分。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年初预算数149万元，全年预算数149万元，全年执行数149万元，预算执行率为100%。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制定了《巴音郭楞融媒体中心预算绩效管理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2024年融媒体中心新疆石榴云巴州融媒体技术平台运行维护服务费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了《巴音郭楞融媒体中心项目资金管理办法》，对财政资金进行严格管理，做到专款专用，项目资金使用符合《中华人民共和国会计法》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遵守了《关于加快推进媒体深度融合发展的意见》、《关于加快推进广播电视媒体深度融合发展的意见》《中华人民共和国会计法》相关法律法规和相关管理规定；项目支出手续完备；项目合同书、验收报告等资料齐全并及时归档；项目实施的人员条件、场地设备等落实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0A534A8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36024E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1.数量指标完成情况：指标1：巴州融媒体租用石榴云平台系统维护数量 ，指标值：=1个，实际完成值1个，指标完成率100%。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2.质量指标完成情况：指标1：验收合格率，指标值：&gt;=95%，实际完成值100%，指标完成率100%；指标2：系统故障率，指标值：&lt;=10%，实际完成值0%，指标完成率100%。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3.时效指标完成情况：指标1：系统故障修复处理时间，指标值：&lt;=1天，实际完成值0天，指标完成率100%；指标2：系统运行维护响应时间，指标值：&lt;=2小时，实际完成值0小时，指标完成率100%。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经济成本指标完成情况：指标1：采购设备经费，指标值：&lt;=62万元，实际完成值为62万元，指标完成率100%。指标2：网络云存贮空间租用费，指标值：≤30万元，实际完成值为30万元，指标完成率100%。指标3：新闻大数据模块租用费，指标值：≤27万元，实际完成值为27万元，指标完成率100%。指标4：互动运营模块租用费，指标值：≤30万元，实际完成值为30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7E645CC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E4610A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1.社会效益指标完成情况：指标1： 融媒体平台服务人口比例，指标值：&gt;=40%，实际完成值为40%，指标完成率100%。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6C16429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2.满意度指标完成情况分析：指标1：使用人员满意度，指标值：≥90%，实际完成值为90%，指标完成率100%。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64EEB024">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04B4081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石榴云平台在使用过程中会遇到系统不稳定，可能会出现链接不上，信号弱等问题。维护和管理也需要一定的投入，设备成本高。  </w:t>
      </w:r>
    </w:p>
    <w:p w14:paraId="73DA74E2">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3535AB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1.定期对石榴云-巴州融媒体技术平台系统进行维护，如果发现系统故障,立即进行检查和维护，采取相应的对策，就能够保证其正常运行并提供高质量的宣传服务。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2.多进行有关系统维护管理工作方面的培训。积极组织第三方开展工作培训，进一步夯实业务基础，提高我单位人员业务水平。</w:t>
      </w:r>
    </w:p>
    <w:p w14:paraId="4CA5161E">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CAEEDC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本项目无其他需要说明的问题。</w:t>
      </w:r>
    </w:p>
    <w:p w14:paraId="037F76C3">
      <w:pPr>
        <w:spacing w:line="540" w:lineRule="exact"/>
        <w:ind w:firstLine="567"/>
        <w:rPr>
          <w:rStyle w:val="19"/>
          <w:rFonts w:ascii="仿宋" w:hAnsi="仿宋" w:eastAsia="仿宋"/>
          <w:b w:val="0"/>
          <w:spacing w:val="-4"/>
          <w:sz w:val="32"/>
          <w:szCs w:val="32"/>
        </w:rPr>
      </w:pPr>
    </w:p>
    <w:p w14:paraId="736D5AC6">
      <w:pPr>
        <w:spacing w:line="540" w:lineRule="exact"/>
        <w:ind w:firstLine="567"/>
        <w:rPr>
          <w:rStyle w:val="19"/>
          <w:rFonts w:ascii="仿宋" w:hAnsi="仿宋" w:eastAsia="仿宋"/>
          <w:b w:val="0"/>
          <w:spacing w:val="-4"/>
          <w:sz w:val="32"/>
          <w:szCs w:val="32"/>
        </w:rPr>
      </w:pPr>
    </w:p>
    <w:p w14:paraId="14D1ECCC">
      <w:pPr>
        <w:spacing w:line="540" w:lineRule="exact"/>
        <w:ind w:firstLine="567"/>
        <w:rPr>
          <w:rStyle w:val="19"/>
          <w:rFonts w:ascii="仿宋" w:hAnsi="仿宋" w:eastAsia="仿宋"/>
          <w:b w:val="0"/>
          <w:spacing w:val="-4"/>
          <w:sz w:val="32"/>
          <w:szCs w:val="32"/>
        </w:rPr>
      </w:pPr>
    </w:p>
    <w:p w14:paraId="773E9CA6">
      <w:pPr>
        <w:spacing w:line="540" w:lineRule="exact"/>
        <w:ind w:firstLine="567"/>
        <w:rPr>
          <w:rStyle w:val="19"/>
          <w:rFonts w:ascii="仿宋" w:hAnsi="仿宋" w:eastAsia="仿宋"/>
          <w:b w:val="0"/>
          <w:spacing w:val="-4"/>
          <w:sz w:val="32"/>
          <w:szCs w:val="32"/>
        </w:rPr>
      </w:pPr>
    </w:p>
    <w:p w14:paraId="15CA04A3">
      <w:pPr>
        <w:spacing w:line="540" w:lineRule="exact"/>
        <w:ind w:firstLine="567"/>
        <w:rPr>
          <w:rStyle w:val="19"/>
          <w:rFonts w:ascii="仿宋" w:hAnsi="仿宋" w:eastAsia="仿宋"/>
          <w:b w:val="0"/>
          <w:spacing w:val="-4"/>
          <w:sz w:val="32"/>
          <w:szCs w:val="32"/>
        </w:rPr>
      </w:pPr>
    </w:p>
    <w:p w14:paraId="40C19569">
      <w:pPr>
        <w:spacing w:line="540" w:lineRule="exact"/>
        <w:ind w:firstLine="567"/>
        <w:rPr>
          <w:rStyle w:val="19"/>
          <w:rFonts w:ascii="仿宋" w:hAnsi="仿宋" w:eastAsia="仿宋"/>
          <w:b w:val="0"/>
          <w:spacing w:val="-4"/>
          <w:sz w:val="32"/>
          <w:szCs w:val="32"/>
        </w:rPr>
      </w:pPr>
    </w:p>
    <w:p w14:paraId="76937D6C">
      <w:pPr>
        <w:spacing w:line="540" w:lineRule="exact"/>
        <w:ind w:firstLine="567"/>
        <w:rPr>
          <w:rStyle w:val="19"/>
          <w:rFonts w:ascii="仿宋" w:hAnsi="仿宋" w:eastAsia="仿宋"/>
          <w:b w:val="0"/>
          <w:spacing w:val="-4"/>
          <w:sz w:val="32"/>
          <w:szCs w:val="32"/>
        </w:rPr>
      </w:pPr>
    </w:p>
    <w:p w14:paraId="02BF104F">
      <w:pPr>
        <w:spacing w:line="540" w:lineRule="exact"/>
        <w:ind w:firstLine="567"/>
        <w:rPr>
          <w:rStyle w:val="19"/>
          <w:rFonts w:ascii="仿宋" w:hAnsi="仿宋" w:eastAsia="仿宋"/>
          <w:b w:val="0"/>
          <w:spacing w:val="-4"/>
          <w:sz w:val="32"/>
          <w:szCs w:val="32"/>
        </w:rPr>
      </w:pPr>
    </w:p>
    <w:p w14:paraId="7639A5DC">
      <w:pPr>
        <w:spacing w:line="540" w:lineRule="exact"/>
        <w:ind w:firstLine="567"/>
        <w:rPr>
          <w:rStyle w:val="19"/>
          <w:rFonts w:ascii="仿宋" w:hAnsi="仿宋" w:eastAsia="仿宋"/>
          <w:b w:val="0"/>
          <w:spacing w:val="-4"/>
          <w:sz w:val="32"/>
          <w:szCs w:val="32"/>
        </w:rPr>
      </w:pPr>
    </w:p>
    <w:p w14:paraId="4E60233A">
      <w:pPr>
        <w:spacing w:line="540" w:lineRule="exact"/>
        <w:ind w:firstLine="567"/>
        <w:rPr>
          <w:rStyle w:val="19"/>
          <w:rFonts w:ascii="仿宋" w:hAnsi="仿宋" w:eastAsia="仿宋"/>
          <w:b w:val="0"/>
          <w:spacing w:val="-4"/>
          <w:sz w:val="32"/>
          <w:szCs w:val="32"/>
        </w:rPr>
      </w:pPr>
    </w:p>
    <w:p w14:paraId="513BDF6A">
      <w:pPr>
        <w:spacing w:line="540" w:lineRule="exact"/>
        <w:ind w:firstLine="567"/>
        <w:rPr>
          <w:rStyle w:val="19"/>
          <w:rFonts w:ascii="仿宋" w:hAnsi="仿宋" w:eastAsia="仿宋"/>
          <w:b w:val="0"/>
          <w:spacing w:val="-4"/>
          <w:sz w:val="32"/>
          <w:szCs w:val="32"/>
        </w:rPr>
      </w:pPr>
    </w:p>
    <w:p w14:paraId="5E08B689">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E686896-26C6-40B4-9575-EE6ECA7E904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3D50DEB-D873-4F98-84D3-C97F3128F8A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F854AEB8-611E-4BCB-BD87-DC5FD23064F0}"/>
  </w:font>
  <w:font w:name="华文中宋">
    <w:panose1 w:val="02010600040101010101"/>
    <w:charset w:val="86"/>
    <w:family w:val="auto"/>
    <w:pitch w:val="default"/>
    <w:sig w:usb0="00000287" w:usb1="080F0000" w:usb2="00000000" w:usb3="00000000" w:csb0="0004009F" w:csb1="DFD70000"/>
    <w:embedRegular r:id="rId4" w:fontKey="{13586C8D-A222-4A71-BC0F-6A627E22CA2A}"/>
  </w:font>
  <w:font w:name="方正小标宋_GBK">
    <w:panose1 w:val="02000000000000000000"/>
    <w:charset w:val="86"/>
    <w:family w:val="script"/>
    <w:pitch w:val="default"/>
    <w:sig w:usb0="A00002BF" w:usb1="38CF7CFA" w:usb2="00082016" w:usb3="00000000" w:csb0="00040001" w:csb1="00000000"/>
    <w:embedRegular r:id="rId5" w:fontKey="{9BB2E2AE-9489-42AB-B789-9792C9FA0053}"/>
  </w:font>
  <w:font w:name="仿宋_GB2312">
    <w:altName w:val="仿宋"/>
    <w:panose1 w:val="02010609030101010101"/>
    <w:charset w:val="86"/>
    <w:family w:val="modern"/>
    <w:pitch w:val="default"/>
    <w:sig w:usb0="00000000" w:usb1="00000000" w:usb2="00000000" w:usb3="00000000" w:csb0="00040000" w:csb1="00000000"/>
    <w:embedRegular r:id="rId6" w:fontKey="{9BEBD193-64A4-4028-991F-58EB1E9C309E}"/>
  </w:font>
  <w:font w:name="楷体">
    <w:panose1 w:val="02010609060101010101"/>
    <w:charset w:val="86"/>
    <w:family w:val="modern"/>
    <w:pitch w:val="default"/>
    <w:sig w:usb0="800002BF" w:usb1="38CF7CFA" w:usb2="00000016" w:usb3="00000000" w:csb0="00040001" w:csb1="00000000"/>
    <w:embedRegular r:id="rId7" w:fontKey="{CB051150-FE5C-4A2F-A0A9-21ED1432DCB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223B291">
        <w:pPr>
          <w:pStyle w:val="12"/>
          <w:jc w:val="center"/>
        </w:pPr>
        <w:r>
          <w:fldChar w:fldCharType="begin"/>
        </w:r>
        <w:r>
          <w:instrText xml:space="preserve">PAGE   \* MERGEFORMAT</w:instrText>
        </w:r>
        <w:r>
          <w:fldChar w:fldCharType="separate"/>
        </w:r>
        <w:r>
          <w:rPr>
            <w:lang w:val="zh-CN"/>
          </w:rPr>
          <w:t>1</w:t>
        </w:r>
        <w:r>
          <w:fldChar w:fldCharType="end"/>
        </w:r>
      </w:p>
    </w:sdtContent>
  </w:sdt>
  <w:p w14:paraId="1A48202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35232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87e71585-0f6e-422b-bfcd-cde93b2253d8}">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6906</Words>
  <Characters>7176</Characters>
  <Lines>5</Lines>
  <Paragraphs>1</Paragraphs>
  <TotalTime>0</TotalTime>
  <ScaleCrop>false</ScaleCrop>
  <LinksUpToDate>false</LinksUpToDate>
  <CharactersWithSpaces>7197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2025-09-22T10:25:36Z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