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09E6D"/>
    <w:p w14:paraId="2A492DF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F18CAC0">
      <w:pPr>
        <w:spacing w:line="540" w:lineRule="exact"/>
        <w:jc w:val="center"/>
        <w:rPr>
          <w:rFonts w:ascii="华文中宋" w:hAnsi="华文中宋" w:eastAsia="华文中宋" w:cs="宋体"/>
          <w:b/>
          <w:kern w:val="0"/>
          <w:sz w:val="52"/>
          <w:szCs w:val="52"/>
        </w:rPr>
      </w:pPr>
    </w:p>
    <w:p w14:paraId="569F07EF">
      <w:pPr>
        <w:spacing w:line="540" w:lineRule="exact"/>
        <w:jc w:val="center"/>
        <w:rPr>
          <w:rFonts w:ascii="华文中宋" w:hAnsi="华文中宋" w:eastAsia="华文中宋" w:cs="宋体"/>
          <w:b/>
          <w:kern w:val="0"/>
          <w:sz w:val="52"/>
          <w:szCs w:val="52"/>
        </w:rPr>
      </w:pPr>
    </w:p>
    <w:p w14:paraId="1FF101CA">
      <w:pPr>
        <w:spacing w:line="540" w:lineRule="exact"/>
        <w:jc w:val="center"/>
        <w:rPr>
          <w:rFonts w:ascii="华文中宋" w:hAnsi="华文中宋" w:eastAsia="华文中宋" w:cs="宋体"/>
          <w:b/>
          <w:kern w:val="0"/>
          <w:sz w:val="52"/>
          <w:szCs w:val="52"/>
        </w:rPr>
      </w:pPr>
    </w:p>
    <w:p w14:paraId="1ECFD195">
      <w:pPr>
        <w:spacing w:line="540" w:lineRule="exact"/>
        <w:jc w:val="center"/>
        <w:rPr>
          <w:rFonts w:ascii="华文中宋" w:hAnsi="华文中宋" w:eastAsia="华文中宋" w:cs="宋体"/>
          <w:b/>
          <w:kern w:val="0"/>
          <w:sz w:val="52"/>
          <w:szCs w:val="52"/>
        </w:rPr>
      </w:pPr>
    </w:p>
    <w:p w14:paraId="4CA4F16B">
      <w:pPr>
        <w:spacing w:line="540" w:lineRule="exact"/>
        <w:jc w:val="center"/>
        <w:rPr>
          <w:rFonts w:ascii="华文中宋" w:hAnsi="华文中宋" w:eastAsia="华文中宋" w:cs="宋体"/>
          <w:b/>
          <w:kern w:val="0"/>
          <w:sz w:val="52"/>
          <w:szCs w:val="52"/>
        </w:rPr>
      </w:pPr>
    </w:p>
    <w:p w14:paraId="7B92D48B">
      <w:pPr>
        <w:spacing w:line="540" w:lineRule="exact"/>
        <w:jc w:val="center"/>
        <w:rPr>
          <w:rFonts w:ascii="华文中宋" w:hAnsi="华文中宋" w:eastAsia="华文中宋" w:cs="宋体"/>
          <w:b/>
          <w:kern w:val="0"/>
          <w:sz w:val="52"/>
          <w:szCs w:val="52"/>
        </w:rPr>
      </w:pPr>
    </w:p>
    <w:p w14:paraId="786F92C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BDD7AA8">
      <w:pPr>
        <w:spacing w:line="540" w:lineRule="exact"/>
        <w:jc w:val="center"/>
        <w:rPr>
          <w:rFonts w:ascii="华文中宋" w:hAnsi="华文中宋" w:eastAsia="华文中宋" w:cs="宋体"/>
          <w:b/>
          <w:kern w:val="0"/>
          <w:sz w:val="52"/>
          <w:szCs w:val="52"/>
        </w:rPr>
      </w:pPr>
    </w:p>
    <w:p w14:paraId="4FDE159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9C5F6BE">
      <w:pPr>
        <w:spacing w:line="540" w:lineRule="exact"/>
        <w:jc w:val="center"/>
        <w:rPr>
          <w:rFonts w:hAnsi="宋体" w:eastAsia="仿宋_GB2312" w:cs="宋体"/>
          <w:kern w:val="0"/>
          <w:sz w:val="30"/>
          <w:szCs w:val="30"/>
        </w:rPr>
      </w:pPr>
    </w:p>
    <w:p w14:paraId="69016FA6">
      <w:pPr>
        <w:spacing w:line="540" w:lineRule="exact"/>
        <w:jc w:val="center"/>
        <w:rPr>
          <w:rFonts w:hAnsi="宋体" w:eastAsia="仿宋_GB2312" w:cs="宋体"/>
          <w:kern w:val="0"/>
          <w:sz w:val="30"/>
          <w:szCs w:val="30"/>
        </w:rPr>
      </w:pPr>
    </w:p>
    <w:p w14:paraId="208C7F28">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6118DCE2">
      <w:pPr>
        <w:spacing w:line="540" w:lineRule="exact"/>
        <w:jc w:val="center"/>
        <w:rPr>
          <w:rFonts w:hAnsi="宋体" w:eastAsia="仿宋_GB2312" w:cs="宋体"/>
          <w:kern w:val="0"/>
          <w:sz w:val="30"/>
          <w:szCs w:val="30"/>
        </w:rPr>
      </w:pPr>
    </w:p>
    <w:p w14:paraId="4A963BDD">
      <w:pPr>
        <w:spacing w:line="540" w:lineRule="exact"/>
        <w:jc w:val="center"/>
        <w:rPr>
          <w:rFonts w:hAnsi="宋体" w:eastAsia="仿宋_GB2312" w:cs="宋体"/>
          <w:kern w:val="0"/>
          <w:sz w:val="30"/>
          <w:szCs w:val="30"/>
        </w:rPr>
      </w:pPr>
    </w:p>
    <w:p w14:paraId="0F9DB1F6">
      <w:pPr>
        <w:spacing w:line="540" w:lineRule="exact"/>
        <w:jc w:val="center"/>
        <w:rPr>
          <w:rFonts w:hAnsi="宋体" w:eastAsia="仿宋_GB2312" w:cs="宋体"/>
          <w:kern w:val="0"/>
          <w:sz w:val="30"/>
          <w:szCs w:val="30"/>
        </w:rPr>
      </w:pPr>
    </w:p>
    <w:p w14:paraId="6C84ABED">
      <w:pPr>
        <w:spacing w:line="540" w:lineRule="exact"/>
        <w:rPr>
          <w:rFonts w:hAnsi="宋体" w:eastAsia="仿宋_GB2312" w:cs="宋体"/>
          <w:kern w:val="0"/>
          <w:sz w:val="30"/>
          <w:szCs w:val="30"/>
        </w:rPr>
      </w:pPr>
    </w:p>
    <w:p w14:paraId="5ABE934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6025A5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2024年融媒体中心新华通讯社供稿服务费项目</w:t>
      </w:r>
    </w:p>
    <w:p w14:paraId="69AC1EF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巴音郭愣融媒体中心</w:t>
      </w:r>
    </w:p>
    <w:p w14:paraId="7398E6B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巴音郭楞融媒体中心</w:t>
      </w:r>
    </w:p>
    <w:p w14:paraId="22AEFFA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马骏</w:t>
      </w:r>
    </w:p>
    <w:p w14:paraId="1CB23DAB">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13A03BAD">
      <w:pPr>
        <w:spacing w:line="700" w:lineRule="exact"/>
        <w:ind w:firstLine="708" w:firstLineChars="236"/>
        <w:jc w:val="left"/>
        <w:rPr>
          <w:rFonts w:hAnsi="宋体" w:eastAsia="仿宋_GB2312" w:cs="宋体"/>
          <w:kern w:val="0"/>
          <w:sz w:val="30"/>
          <w:szCs w:val="30"/>
        </w:rPr>
      </w:pPr>
    </w:p>
    <w:p w14:paraId="4BD23AE4">
      <w:pPr>
        <w:spacing w:line="540" w:lineRule="exact"/>
        <w:rPr>
          <w:rStyle w:val="19"/>
          <w:rFonts w:ascii="黑体" w:hAnsi="黑体" w:eastAsia="黑体"/>
          <w:b w:val="0"/>
          <w:spacing w:val="-4"/>
          <w:sz w:val="32"/>
          <w:szCs w:val="32"/>
        </w:rPr>
      </w:pPr>
    </w:p>
    <w:p w14:paraId="7ACCB99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D2C09E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401786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党的二十大报告，丰富人民群众精神文化生活，培育和践行社会主义核心价值观，深化群众性精神文明创建及“十四五”规划纲要，为了推动““十四五”规划”目标的实现，全面准确贯彻《自治区文化润疆工程方案》战略方针，夯实铸牢中华民族共同体意识的文化基础，在中央和自治区、自治州各级部门的指导和支持下，结合《巴音郭楞日报》多年的安全出版工作经验，认真分析了发展的现状，就如何整改，保障安全，做了一些分析和思考，并结合实际需求，2024年计划同新华社签订供稿协议，需要新华社为巴音郭楞融媒体中心开通融媒体专线、短视频专线、图片通告线路、通稿新闻线路。新华通讯社充分考虑边疆媒体经费紧张等特殊情况，按照全国范围最低的供稿费标准，2024年按35万元标准收取供稿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新华通讯社供稿服务费项目计划开始日期：2024年01月01日，计划结束日期：2024年12月31日。具体工作内容：开通融媒体专线、短视频专线、图片通稿路线、通告新闻路线，规范使用新华社供稿平台时政、图片、表格等稿件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通过转载新华社稿件，宣传习近平新时代中国特色社会主义思想，宣传党的理论和路线方针政策，有益于巴州群众及时了解党的理论和路线方针政策，有益于提高民族素质、有益于经济发展和社会进步的科学技术和文化知识，弘扬民族优秀文化，促进国际文化交流；②开通融媒体专线、短视频专线、图片通稿路线、通告新闻路线，坚持正确的舆论导向和出版方向,坚持把社会效益放在首位、社会效益和经济效益相统一和贴近实际、贴近群众、贴近生活的原则，为建设中国特色社会主义营造良好氛围,丰富广大人民群众的精神文化生活；③实时跟踪国家、全疆、巴州及全网的新闻线索热点变化，对原创稿件进行传播力分析，并聚合展示本媒体所属渠道产品稿件；④引导群众、服务群众为目标，做好主流媒体引导舆论、巩固基层思想文化阵地的工作；⑤巴音郭楞日报依托新华社新疆分社平台,完成重大稿件刊发任务；⑥提高了我州新闻传播的时效性，增强舆论导向的可控性，促进提升巴州融媒体中心新闻公共服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（3）资金投入情况：该项目年初预算数35万元，全年预算数35万元，实际总投入35万元，该项目资金已全部落实到位，资金来源为财政拨款。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资金使用情况：该项目年初预算数35万元，全年预算数35万元，全年执行数35万元，预算执行率为100%，用于：《巴音郭楞日报》（汉文、蒙古文、维吾尔文版）、我的巴州APP和巴音郭楞零距离、巴州零距离微信公众号的每天24小时不间断向全州用户提供文字、图片、图表、音频、视频等各种新闻和信息产品。该项目计划平均每天用稿件数量15条,每天稿件成本956.28元/天，全年使用366天，共计35万元。</w:t>
      </w:r>
    </w:p>
    <w:p w14:paraId="26033B5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5A7AEE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巴音郭楞融媒体中心作为自治州党委权威媒体，肩负着在巴州地区把党的声音传递到千家万户的重任，责任重大，使命光荣，也迫切需要新华社为我们开通融媒体专线、短视频专线、图片通告线路、通稿新闻线路。该项目计划平均每天使用稿件条数不小于15条，全年共使用366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为项目的顺利进行，确保项目实施有效，提升基础设施建设和宣传业务水平。该项目2024年第一季度收取《关于同新华社签订供稿协议的函》，并与新华社签订《新华通讯社供稿服务协议》，开始对接项目实施工作；第二季度与新华社对接，并对转载的内容设置相关流程，进行质量把控；第三季度对项目实施的进度及内容产生的效果进行监测；第四季度对项目转载的宣传内容进行统计及总结宣传经验并验收。</w:t>
      </w:r>
    </w:p>
    <w:p w14:paraId="6C07275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9B737F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548A5B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关于同新华社签订供稿协议的函》、《新华通讯社供稿服务协议》、《中华人民共和国会计法》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通过对项目预算执行情况及各项绩效目标达成程度的系统性分析，清晰呈现项目在产出指标的数量、质量、时效等方面的完成状况，直观判断项目是否成功落地，为项目后续的改进与优化提供科学依据。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社会效益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部门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基于绩效评价发现的问题与不足，提出针对性的改进建议与措施，推动项目在实施过程中不断完善管理流程、提升产出质量，实现可持续发展。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融媒体中心新华通讯社供稿服务费项目所包含的全部项目及其预算执行情况。该项目由编辑部负责实施，旨在根据单位职能组织制定宣传计划；通过转载新华社稿件，宣传习近平新时代中国特色社会主义思想，宣传党的理论和路线方针政策，有益于巴州群众及时了解党的理论和路线方针政策。项目预算涵盖从2024年1月1日至12月31日的全部资金投入与支出，涉及资金总额为35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（2）资金管理：此项目资金拨付有完整的审批程序和手续，符合项目预算批复或合同规定的用途，确保资金使用的合规性、高效性和透明度。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（3）项目实施进度与产出：此项目按照年初制定计划顺利推进，各项任务按时完成，以及项目产出的数量、质量和时效性符合预期。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（4）社会影响：定期进行该项目主要指标完成情况，提高了我州新闻传播的时效性，增强舆论导向的可控性，促进提升巴州融媒体中心新闻公共服务水平。</w:t>
      </w:r>
    </w:p>
    <w:p w14:paraId="49DFAA3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3CC811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（一）科学公正。本次项目支出绩效评价运用科学合理的方法，按照规范的程序，对项目绩效进行客观、公正的反映。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（二）统筹兼顾。本次项目支出绩效评价由本单位自主实施，即“谁支出、谁自评”。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（三）激励约束。本次项目支出绩效评价结果与预算安排、政策调整、改进管理实质性挂钩，体现奖优罚劣和激励相容导向，有效要安排、低效要压减、无效要问责。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（四）公开透明。本次项目支出绩效评价结果已依法依规在巴州人民政府网公开，并自觉接受社会监督。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本项目采用的是比较法，原因是：通过对绩效目标与实施效果、历史与当期情况，综合分析绩效目标实现程度，对项目最终验收情况与当年度绩效目标对比，预算资金执行情况等相关因素进行比较。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通过比较项目支出的实际结果与预先制定的目标、计划、预算、定额等，分析完成目标的因素，从而评价项目支出绩效。</w:t>
      </w:r>
    </w:p>
    <w:p w14:paraId="5116553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12E005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为保障2024年融媒体中心新华通讯社供稿服务费项目工作的顺利进行，确保项目实施有效，提高宣传业务水平，满足全媒体宣传需求。该项目分以下三个阶段：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首先成立以沈建为组长的评价工作组，对项目开展前期工作进行调研；其次明确2024年融媒体中心新华通讯社供稿服务费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00B2D645">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B54AA2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（一）综合评价情况及评价结论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综合评价情况：项目总体组织规范，在项目实施过程做到认真履职，监督到位。按照相关制度的要求，项目负责人沈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科学公正、统筹兼顾、激励约束、公开透明的绩效评价原则，采用因素分析法，坚持严格的绩效评价标准对本项目的立项、绩效目标、资金投入、资金管理、组织实施、产出数量、产出质量、产出时效、产出成本、项目效益进行了综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2024年融媒体中心新华通讯社供稿服务费项目》（财预〔2020〕10号）文件的评分标准，通过数据采集、问卷调查及访谈等方式，对本项目进行客观评价，最终评分结果：总得分为100分，属于“优”。其中，项目决策类指标权重为20分，得分为 20分，得分率为100%。项目过程类指标权重为20分，得分为20分，得分率为100%。项目产出类指标权重为40分，得分为40分，得分率为 100%。项目效益类指标权重为20分，得分为20分，得分率为100%。</w:t>
      </w:r>
    </w:p>
    <w:p w14:paraId="5C5E26D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AD6767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374EFA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本项目依据《关于同新华社签订供稿协议的函》、《自治区文化润疆工程方案》，符合《</w:t>
      </w:r>
      <w:r>
        <w:rPr>
          <w:rStyle w:val="19"/>
          <w:rFonts w:hint="eastAsia" w:ascii="楷体" w:hAnsi="楷体" w:eastAsia="楷体"/>
          <w:spacing w:val="-4"/>
          <w:sz w:val="32"/>
          <w:szCs w:val="32"/>
          <w:lang w:eastAsia="zh-CN"/>
        </w:rPr>
        <w:t>“十四五”规划</w:t>
      </w:r>
      <w:bookmarkStart w:id="0" w:name="_GoBack"/>
      <w:bookmarkEnd w:id="0"/>
      <w:r>
        <w:rPr>
          <w:rStyle w:val="19"/>
          <w:rFonts w:hint="eastAsia" w:ascii="楷体" w:hAnsi="楷体" w:eastAsia="楷体"/>
          <w:spacing w:val="-4"/>
          <w:sz w:val="32"/>
          <w:szCs w:val="32"/>
        </w:rPr>
        <w:t>》在思想上、政治上、行动上同以习近平同志为核心的党中央保持高度一致的要求，与宣传习近平新时代中国特色社会主义思想，宣传党的理论和路线方针政策部门职责范围相符，</w:t>
      </w:r>
      <w:r>
        <w:rPr>
          <w:rStyle w:val="19"/>
          <w:rFonts w:hint="eastAsia" w:ascii="楷体" w:hAnsi="楷体" w:eastAsia="楷体"/>
          <w:spacing w:val="-4"/>
          <w:sz w:val="32"/>
          <w:szCs w:val="32"/>
          <w:lang w:eastAsia="zh-CN"/>
        </w:rPr>
        <w:t>属于部门</w:t>
      </w:r>
      <w:r>
        <w:rPr>
          <w:rStyle w:val="19"/>
          <w:rFonts w:hint="eastAsia" w:ascii="楷体" w:hAnsi="楷体" w:eastAsia="楷体"/>
          <w:spacing w:val="-4"/>
          <w:sz w:val="32"/>
          <w:szCs w:val="32"/>
        </w:rPr>
        <w:t>履职所需；本项目以国家战略发展规划、宏观调控政策为导向，属于文化润疆工程，体现资金统筹使用和优先保障重点支出要求，属于公共财政支持范围；符合中央、地方事权支出责任划分原则，该项目为2024年新增项目，没有与部门内部相关项目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2024年融媒体中心新华通讯社供稿服务费项目》相关要求，严格按照审批流程准备符合要求的文件、材料；根据决算依据编制工作计划和经费预算，经过与部门项目分管领导沈建进行沟通、参照本年度业务需求，合理制定预算标准，筛选并确定经费预算计划。项目的审批文件、材料符合《巴音郭楞融媒体中心2024年度预算编制》相关要求，项目事前经过项目人员组织实施计划、投资与成本、效益及风险等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新华通讯社供稿服务费项目目设立了项目绩效目标，通过《巴音郭楞日报》、我的巴州APP、巴州零距离、视频号转发新华社稿件，平均每天转发15条，把党和国家的政策传到千家万户，全方位、多角度做好宣传报道的工作内容具有相关性，项目的预期产出效益和效果均符合正常的业绩水平，并且与预算确定的项目投资额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新华通讯社供稿服务费项目将项目绩效目标细化分解为具体的绩效指标，一级指标共4条，二级指标共6条，三级指标共7条，其中量化指标条数共7条，所有绩效指标均通过清晰、可衡量的指标值予以体现，并且做到了与项目目标任务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单位同财政部门共同梳理项目绩效目标，合理测算《2024年融媒体中心新华通讯社供稿服务费项目》，预算编制经过科学论证，预算内容与项目设立的提升基础设施建设和宣传业务水平的工作内容相匹配，预算额度测算依据《巴音郭楞融媒体中心预算绩效管理制度》，分析出预算额度，依据充分并按照标准编制，预算确定的项目投资额与完成的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分配按照《巴音郭楞融媒体中心预算绩效管理制度》对项目的预期产出效果，服务对象或项目受益人满意程度的绩效指标进行合理的决策和评估，确保资金有效利用和项目的成功实施，依据充分；该项目平均每天转载稿件数量15条,每天稿件成本956.28元/天，全年使用366天，共计35万元，资金分配额度合理，与本单位相适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70C7285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D6B7E4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预算资金35万元，实际到位资金35万元，资金到位率100%。此项权重分4分，得分4分。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年初预算数35万元，全年预算数35万元，全年执行数35万元，预算执行率为100%。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制定了《巴音郭楞融媒体中心预算绩效管理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2024年融媒体中心新华通讯社供稿服务费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了《巴音郭楞融媒体中心项目资金管理办法》，对财政资金进行严格管理，做到专款专用，项目资金使用符合《中华人民共和国会计法》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遵守了《自治区文化润疆工程方案》、《关于同新华社签订供稿协议的函》、《新华通讯社供稿服务协议》、《中华人民共和国会计法》相关法律法规和相关管理规定；项目支出手续完备；项目合同书、验收报告等资料齐全并及时归档；项目实施的人员条件、场地设备等落实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1022784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D47A51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项目产出类指标包括产出数量、产出质量、产出时效、产出成本四方面的内容，由7个三级指标构成，权重分为40分，实际得分100分，得分率为100%。具体产出指标完成情况如下：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1.数量指标完成情况：指标1：平均每天发布稿件条数，指标值：&gt;=15条，实际完成值15条，指标完成率100%。使用稿件天数，指标值：=366天，实际完成值366天，指标完成率100%。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2.质量指标完成情况：指标1：稿件合格率，指标值：=100%，实际完成值100%，指标完成率100%。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3.时效指标完成情况：指标1：时政要闻时效，指标值：=24小时，实际完成值24小时，指标完成率100%。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4.经济成本指标完成情况：指标1：平均每天稿件成本，指标值：&lt;=956.28元/天，实际完成值为956.28元/天，指标完成率100%。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531835E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A55DC4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1.社会效益指标完成情况：指标1:政策宣传知晓率，指标值：&gt;=90%，实际完成值为90%，指标完成率100%。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31C6428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满意度指标完成情况分析：指标1：读者满意度，指标值：≥90%，实际完成值为90%，指标完成率100%。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728373CE">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C48BF5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稿件转发滞后，影响传播效果，转发后未跟踪阅读量，评估实际传播效果工作量大。  </w:t>
      </w:r>
    </w:p>
    <w:p w14:paraId="24DAF57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2A0B84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1.针对不同受众提炼核心信息，采用图文、短视频、问答等形式加工，增强传效果。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2.定期开展传播效果复盘，优化策略，对工作进行优化升级，提高宣传队伍的“翻译”能力。</w:t>
      </w:r>
    </w:p>
    <w:p w14:paraId="5D41DC4C">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95256E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本项目无其他需要说明的问题。</w:t>
      </w:r>
    </w:p>
    <w:p w14:paraId="743D252C">
      <w:pPr>
        <w:spacing w:line="540" w:lineRule="exact"/>
        <w:ind w:firstLine="567"/>
        <w:rPr>
          <w:rStyle w:val="19"/>
          <w:rFonts w:ascii="仿宋" w:hAnsi="仿宋" w:eastAsia="仿宋"/>
          <w:b w:val="0"/>
          <w:spacing w:val="-4"/>
          <w:sz w:val="32"/>
          <w:szCs w:val="32"/>
        </w:rPr>
      </w:pPr>
    </w:p>
    <w:p w14:paraId="767F00B9">
      <w:pPr>
        <w:spacing w:line="540" w:lineRule="exact"/>
        <w:ind w:firstLine="567"/>
        <w:rPr>
          <w:rStyle w:val="19"/>
          <w:rFonts w:ascii="仿宋" w:hAnsi="仿宋" w:eastAsia="仿宋"/>
          <w:b w:val="0"/>
          <w:spacing w:val="-4"/>
          <w:sz w:val="32"/>
          <w:szCs w:val="32"/>
        </w:rPr>
      </w:pPr>
    </w:p>
    <w:p w14:paraId="537FDA10">
      <w:pPr>
        <w:spacing w:line="540" w:lineRule="exact"/>
        <w:ind w:firstLine="567"/>
        <w:rPr>
          <w:rStyle w:val="19"/>
          <w:rFonts w:ascii="仿宋" w:hAnsi="仿宋" w:eastAsia="仿宋"/>
          <w:b w:val="0"/>
          <w:spacing w:val="-4"/>
          <w:sz w:val="32"/>
          <w:szCs w:val="32"/>
        </w:rPr>
      </w:pPr>
    </w:p>
    <w:p w14:paraId="22AEE6D7">
      <w:pPr>
        <w:spacing w:line="540" w:lineRule="exact"/>
        <w:ind w:firstLine="567"/>
        <w:rPr>
          <w:rStyle w:val="19"/>
          <w:rFonts w:ascii="仿宋" w:hAnsi="仿宋" w:eastAsia="仿宋"/>
          <w:b w:val="0"/>
          <w:spacing w:val="-4"/>
          <w:sz w:val="32"/>
          <w:szCs w:val="32"/>
        </w:rPr>
      </w:pPr>
    </w:p>
    <w:p w14:paraId="408D505F">
      <w:pPr>
        <w:spacing w:line="540" w:lineRule="exact"/>
        <w:ind w:firstLine="567"/>
        <w:rPr>
          <w:rStyle w:val="19"/>
          <w:rFonts w:ascii="仿宋" w:hAnsi="仿宋" w:eastAsia="仿宋"/>
          <w:b w:val="0"/>
          <w:spacing w:val="-4"/>
          <w:sz w:val="32"/>
          <w:szCs w:val="32"/>
        </w:rPr>
      </w:pPr>
    </w:p>
    <w:p w14:paraId="0AC046B7">
      <w:pPr>
        <w:spacing w:line="540" w:lineRule="exact"/>
        <w:ind w:firstLine="567"/>
        <w:rPr>
          <w:rStyle w:val="19"/>
          <w:rFonts w:ascii="仿宋" w:hAnsi="仿宋" w:eastAsia="仿宋"/>
          <w:b w:val="0"/>
          <w:spacing w:val="-4"/>
          <w:sz w:val="32"/>
          <w:szCs w:val="32"/>
        </w:rPr>
      </w:pPr>
    </w:p>
    <w:p w14:paraId="60B8F630">
      <w:pPr>
        <w:spacing w:line="540" w:lineRule="exact"/>
        <w:ind w:firstLine="567"/>
        <w:rPr>
          <w:rStyle w:val="19"/>
          <w:rFonts w:ascii="仿宋" w:hAnsi="仿宋" w:eastAsia="仿宋"/>
          <w:b w:val="0"/>
          <w:spacing w:val="-4"/>
          <w:sz w:val="32"/>
          <w:szCs w:val="32"/>
        </w:rPr>
      </w:pPr>
    </w:p>
    <w:p w14:paraId="061EB3F8">
      <w:pPr>
        <w:spacing w:line="540" w:lineRule="exact"/>
        <w:ind w:firstLine="567"/>
        <w:rPr>
          <w:rStyle w:val="19"/>
          <w:rFonts w:ascii="仿宋" w:hAnsi="仿宋" w:eastAsia="仿宋"/>
          <w:b w:val="0"/>
          <w:spacing w:val="-4"/>
          <w:sz w:val="32"/>
          <w:szCs w:val="32"/>
        </w:rPr>
      </w:pPr>
    </w:p>
    <w:p w14:paraId="26D1C2EA">
      <w:pPr>
        <w:spacing w:line="540" w:lineRule="exact"/>
        <w:ind w:firstLine="567"/>
        <w:rPr>
          <w:rStyle w:val="19"/>
          <w:rFonts w:ascii="仿宋" w:hAnsi="仿宋" w:eastAsia="仿宋"/>
          <w:b w:val="0"/>
          <w:spacing w:val="-4"/>
          <w:sz w:val="32"/>
          <w:szCs w:val="32"/>
        </w:rPr>
      </w:pPr>
    </w:p>
    <w:p w14:paraId="6F307E5D">
      <w:pPr>
        <w:spacing w:line="540" w:lineRule="exact"/>
        <w:ind w:firstLine="567"/>
        <w:rPr>
          <w:rStyle w:val="19"/>
          <w:rFonts w:ascii="仿宋" w:hAnsi="仿宋" w:eastAsia="仿宋"/>
          <w:b w:val="0"/>
          <w:spacing w:val="-4"/>
          <w:sz w:val="32"/>
          <w:szCs w:val="32"/>
        </w:rPr>
      </w:pPr>
    </w:p>
    <w:p w14:paraId="75818A7A">
      <w:pPr>
        <w:spacing w:line="540" w:lineRule="exact"/>
        <w:ind w:firstLine="567"/>
        <w:rPr>
          <w:rStyle w:val="19"/>
          <w:rFonts w:ascii="仿宋" w:hAnsi="仿宋" w:eastAsia="仿宋"/>
          <w:b w:val="0"/>
          <w:spacing w:val="-4"/>
          <w:sz w:val="32"/>
          <w:szCs w:val="32"/>
        </w:rPr>
      </w:pPr>
    </w:p>
    <w:p w14:paraId="3A5835E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0F6543-F946-4E11-A98B-F41276E3F9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CFAA00A-B2A4-4871-86E5-3010E38B464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EBC80C75-5545-4AD0-B13C-545997EC4DD8}"/>
  </w:font>
  <w:font w:name="华文中宋">
    <w:panose1 w:val="02010600040101010101"/>
    <w:charset w:val="86"/>
    <w:family w:val="auto"/>
    <w:pitch w:val="default"/>
    <w:sig w:usb0="00000287" w:usb1="080F0000" w:usb2="00000000" w:usb3="00000000" w:csb0="0004009F" w:csb1="DFD70000"/>
    <w:embedRegular r:id="rId4" w:fontKey="{7571908A-68FD-4E5C-B1C4-B8AB56959299}"/>
  </w:font>
  <w:font w:name="方正小标宋_GBK">
    <w:panose1 w:val="02000000000000000000"/>
    <w:charset w:val="86"/>
    <w:family w:val="script"/>
    <w:pitch w:val="default"/>
    <w:sig w:usb0="A00002BF" w:usb1="38CF7CFA" w:usb2="00082016" w:usb3="00000000" w:csb0="00040001" w:csb1="00000000"/>
    <w:embedRegular r:id="rId5" w:fontKey="{A5294E67-EE30-47BC-A4C6-171A81134E50}"/>
  </w:font>
  <w:font w:name="仿宋_GB2312">
    <w:altName w:val="仿宋"/>
    <w:panose1 w:val="02010609030101010101"/>
    <w:charset w:val="86"/>
    <w:family w:val="modern"/>
    <w:pitch w:val="default"/>
    <w:sig w:usb0="00000000" w:usb1="00000000" w:usb2="00000000" w:usb3="00000000" w:csb0="00040000" w:csb1="00000000"/>
    <w:embedRegular r:id="rId6" w:fontKey="{1CC4AD9C-3915-4332-87D4-641A90152CED}"/>
  </w:font>
  <w:font w:name="楷体">
    <w:panose1 w:val="02010609060101010101"/>
    <w:charset w:val="86"/>
    <w:family w:val="modern"/>
    <w:pitch w:val="default"/>
    <w:sig w:usb0="800002BF" w:usb1="38CF7CFA" w:usb2="00000016" w:usb3="00000000" w:csb0="00040001" w:csb1="00000000"/>
    <w:embedRegular r:id="rId7" w:fontKey="{CA8CAFDE-580B-46EB-851B-8AB7A8169A8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2C50B8F">
        <w:pPr>
          <w:pStyle w:val="12"/>
          <w:jc w:val="center"/>
        </w:pPr>
        <w:r>
          <w:fldChar w:fldCharType="begin"/>
        </w:r>
        <w:r>
          <w:instrText xml:space="preserve">PAGE   \* MERGEFORMAT</w:instrText>
        </w:r>
        <w:r>
          <w:fldChar w:fldCharType="separate"/>
        </w:r>
        <w:r>
          <w:rPr>
            <w:lang w:val="zh-CN"/>
          </w:rPr>
          <w:t>1</w:t>
        </w:r>
        <w:r>
          <w:fldChar w:fldCharType="end"/>
        </w:r>
      </w:p>
    </w:sdtContent>
  </w:sdt>
  <w:p w14:paraId="5C5C60F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FC4681"/>
    <w:rsid w:val="751055C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1be69a84-48c6-4949-af61-7c207c880e7b}">
  <ds:schemaRefs/>
</ds:datastoreItem>
</file>

<file path=docProps/app.xml><?xml version="1.0" encoding="utf-8"?>
<Properties xmlns="http://schemas.openxmlformats.org/officeDocument/2006/extended-properties" xmlns:vt="http://schemas.openxmlformats.org/officeDocument/2006/docPropsVTypes">
  <Template>Normal.dotm</Template>
  <Pages>17</Pages>
  <Words>8180</Words>
  <Characters>8454</Characters>
  <Lines>5</Lines>
  <Paragraphs>1</Paragraphs>
  <TotalTime>0</TotalTime>
  <ScaleCrop>false</ScaleCrop>
  <LinksUpToDate>false</LinksUpToDate>
  <CharactersWithSpaces>8471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2025-09-22T10:26:28Z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