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新疆巴州统战部（部门）2024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AD4E3CA">
      <w:r>
        <w:br w:type="page"/>
      </w:r>
    </w:p>
    <w:p w14:paraId="31B334FB">
      <w:pPr>
        <w:spacing w:line="640" w:lineRule="exact"/>
        <w:jc w:val="center"/>
        <w:outlineLvl w:val="1"/>
      </w:pPr>
      <w:r>
        <w:rPr>
          <w:rFonts w:ascii="黑体" w:hAnsi="黑体" w:eastAsia="黑体"/>
          <w:sz w:val="32"/>
        </w:rPr>
        <w:t>第一部分 部门概况</w:t>
      </w:r>
    </w:p>
    <w:p w14:paraId="51342E83">
      <w:pPr>
        <w:spacing w:line="640" w:lineRule="exact"/>
        <w:ind w:firstLine="640"/>
        <w:jc w:val="both"/>
        <w:outlineLvl w:val="2"/>
      </w:pPr>
      <w:r>
        <w:rPr>
          <w:rFonts w:ascii="黑体" w:hAnsi="黑体" w:eastAsia="黑体"/>
          <w:sz w:val="32"/>
        </w:rPr>
        <w:t>一、主要职能</w:t>
      </w:r>
    </w:p>
    <w:p w14:paraId="7EC576DA">
      <w:pPr>
        <w:spacing w:line="580" w:lineRule="exact"/>
        <w:ind w:firstLine="640"/>
        <w:jc w:val="both"/>
      </w:pPr>
      <w:r>
        <w:rPr>
          <w:rFonts w:ascii="仿宋_GB2312" w:hAnsi="仿宋_GB2312" w:eastAsia="仿宋_GB2312"/>
          <w:sz w:val="32"/>
        </w:rPr>
        <w:t>贯彻中央和自治区、自治州党委关于统一战线的方针、政策；掌握分析统一战线工作中的政治、思想动态；检查统战政策执行情况，协调统一战线各方面的关系；负责调查研究、协调检查有关民族和</w:t>
      </w:r>
      <w:r>
        <w:rPr>
          <w:rFonts w:hint="eastAsia" w:ascii="仿宋_GB2312" w:hAnsi="仿宋_GB2312" w:eastAsia="仿宋_GB2312"/>
          <w:sz w:val="32"/>
          <w:lang w:val="en-US" w:eastAsia="zh-CN"/>
        </w:rPr>
        <w:t>ZJ</w:t>
      </w:r>
      <w:r>
        <w:rPr>
          <w:rFonts w:ascii="仿宋_GB2312" w:hAnsi="仿宋_GB2312" w:eastAsia="仿宋_GB2312"/>
          <w:sz w:val="32"/>
        </w:rPr>
        <w:t>工作方针、政策贯彻执行情况；负责联系各民主党派和无党派代表人士，贯彻中国共产党领导的多党合作和政治协商制度；负责做好党外代表人士培训；负责开展以祖国统一为重点的海外统战工作，做好台港澳属的有关工作；指导工商联、侨联工作；领导州工商联党组、州社会主义学院党委；代管州统战理论研究会、留学人员联谊会；做好统战系统干部的培训工作；负责做好自治州党委统战工作领导小组办公室的各项工作。</w:t>
      </w:r>
    </w:p>
    <w:p w14:paraId="024879E0">
      <w:pPr>
        <w:spacing w:line="640" w:lineRule="exact"/>
        <w:ind w:firstLine="640"/>
        <w:jc w:val="both"/>
        <w:outlineLvl w:val="2"/>
      </w:pPr>
      <w:r>
        <w:rPr>
          <w:rFonts w:ascii="黑体" w:hAnsi="黑体" w:eastAsia="黑体"/>
          <w:sz w:val="32"/>
        </w:rPr>
        <w:t>二、机构设置及人员情况</w:t>
      </w:r>
    </w:p>
    <w:p w14:paraId="6911A6FC">
      <w:pPr>
        <w:spacing w:line="580" w:lineRule="exact"/>
        <w:ind w:firstLine="640"/>
        <w:jc w:val="both"/>
      </w:pPr>
      <w:r>
        <w:rPr>
          <w:rFonts w:ascii="仿宋_GB2312" w:hAnsi="仿宋_GB2312" w:eastAsia="仿宋_GB2312"/>
          <w:sz w:val="32"/>
        </w:rPr>
        <w:t>新疆巴州统战部（部门）2024年度，实有人数85人，其中：在职人员46人，增加8人；离休人员0人，增加0人；退休人员39人,减少1人。</w:t>
      </w:r>
    </w:p>
    <w:p w14:paraId="15FAAC94">
      <w:pPr>
        <w:spacing w:line="580" w:lineRule="exact"/>
        <w:ind w:firstLine="640"/>
        <w:jc w:val="both"/>
      </w:pPr>
      <w:r>
        <w:rPr>
          <w:rFonts w:ascii="仿宋_GB2312" w:hAnsi="仿宋_GB2312" w:eastAsia="仿宋_GB2312"/>
          <w:sz w:val="32"/>
        </w:rPr>
        <w:t>从部门决算单位构成看，新疆巴州统战部（部门）部门决算包括：新疆巴州统战部（本级）决算及所属单位决算。</w:t>
      </w:r>
    </w:p>
    <w:p w14:paraId="19D63662">
      <w:pPr>
        <w:spacing w:line="580" w:lineRule="exact"/>
        <w:ind w:firstLine="640"/>
        <w:jc w:val="both"/>
      </w:pPr>
      <w:r>
        <w:rPr>
          <w:rFonts w:ascii="仿宋_GB2312" w:hAnsi="仿宋_GB2312" w:eastAsia="仿宋_GB2312"/>
          <w:sz w:val="32"/>
        </w:rPr>
        <w:t>新疆巴州统战部本级下设5个科室，分别是：办公室、信息调研室、民族工作科、</w:t>
      </w:r>
      <w:r>
        <w:rPr>
          <w:rFonts w:hint="eastAsia" w:ascii="仿宋_GB2312" w:hAnsi="仿宋_GB2312" w:eastAsia="仿宋_GB2312"/>
          <w:sz w:val="32"/>
          <w:lang w:val="en-US" w:eastAsia="zh-CN"/>
        </w:rPr>
        <w:t>宗教</w:t>
      </w:r>
      <w:r>
        <w:rPr>
          <w:rFonts w:ascii="仿宋_GB2312" w:hAnsi="仿宋_GB2312" w:eastAsia="仿宋_GB2312"/>
          <w:sz w:val="32"/>
        </w:rPr>
        <w:t>工作科、统战工作科。</w:t>
      </w:r>
    </w:p>
    <w:p w14:paraId="2EFF4B26">
      <w:pPr>
        <w:spacing w:line="580" w:lineRule="exact"/>
        <w:ind w:firstLine="640"/>
        <w:jc w:val="both"/>
      </w:pPr>
      <w:r>
        <w:rPr>
          <w:rFonts w:ascii="仿宋_GB2312" w:hAnsi="仿宋_GB2312" w:eastAsia="仿宋_GB2312"/>
          <w:sz w:val="32"/>
        </w:rPr>
        <w:t>纳入新疆巴州统战部（部门）2024年度部门决算编制范围的下属预算单位包括：</w:t>
      </w:r>
    </w:p>
    <w:p w14:paraId="779E5120">
      <w:pPr>
        <w:spacing w:line="580" w:lineRule="exact"/>
        <w:ind w:firstLine="640"/>
        <w:jc w:val="both"/>
      </w:pPr>
      <w:r>
        <w:rPr>
          <w:rFonts w:ascii="仿宋_GB2312" w:hAnsi="仿宋_GB2312" w:eastAsia="仿宋_GB2312"/>
          <w:sz w:val="32"/>
        </w:rPr>
        <w:t>1.中共巴音郭楞蒙古自治州委员会统一战线工作部</w:t>
      </w:r>
    </w:p>
    <w:p w14:paraId="02C6B9D1">
      <w:pPr>
        <w:spacing w:line="580" w:lineRule="exact"/>
        <w:ind w:firstLine="640"/>
        <w:jc w:val="both"/>
      </w:pPr>
      <w:r>
        <w:rPr>
          <w:rFonts w:ascii="仿宋_GB2312" w:hAnsi="仿宋_GB2312" w:eastAsia="仿宋_GB2312"/>
          <w:sz w:val="32"/>
        </w:rPr>
        <w:t>2.新疆巴州社会主义学院</w:t>
      </w:r>
    </w:p>
    <w:p w14:paraId="435EE41D">
      <w:r>
        <w:br w:type="page"/>
      </w:r>
    </w:p>
    <w:p w14:paraId="198514D3">
      <w:pPr>
        <w:spacing w:line="240" w:lineRule="auto"/>
        <w:jc w:val="center"/>
        <w:outlineLvl w:val="1"/>
      </w:pPr>
      <w:r>
        <w:rPr>
          <w:rFonts w:ascii="黑体" w:hAnsi="黑体" w:eastAsia="黑体"/>
          <w:sz w:val="32"/>
        </w:rPr>
        <w:t>第二部分 部门决算情况说明</w:t>
      </w:r>
    </w:p>
    <w:p w14:paraId="230F2013">
      <w:pPr>
        <w:spacing w:line="640" w:lineRule="exact"/>
        <w:ind w:firstLine="640"/>
        <w:jc w:val="both"/>
        <w:outlineLvl w:val="2"/>
      </w:pPr>
      <w:r>
        <w:rPr>
          <w:rFonts w:ascii="黑体" w:hAnsi="黑体" w:eastAsia="黑体"/>
          <w:sz w:val="32"/>
        </w:rPr>
        <w:t>一、收入支出决算总体情况说明</w:t>
      </w:r>
    </w:p>
    <w:p w14:paraId="4D0AAD75">
      <w:pPr>
        <w:spacing w:line="580" w:lineRule="exact"/>
        <w:ind w:firstLine="640"/>
        <w:jc w:val="both"/>
      </w:pPr>
      <w:r>
        <w:rPr>
          <w:rFonts w:ascii="仿宋_GB2312" w:hAnsi="仿宋_GB2312" w:eastAsia="仿宋_GB2312"/>
          <w:b/>
          <w:sz w:val="32"/>
        </w:rPr>
        <w:t>2024年度收入总计2,062.22万元，</w:t>
      </w:r>
      <w:r>
        <w:rPr>
          <w:rFonts w:ascii="仿宋_GB2312" w:hAnsi="仿宋_GB2312" w:eastAsia="仿宋_GB2312"/>
          <w:b w:val="0"/>
          <w:sz w:val="32"/>
        </w:rPr>
        <w:t>其中：本年收入合计2,009.93万元，使用非财政拨款结余（含专用结余）0.00万元，年初结转和结余52.29万元。</w:t>
      </w:r>
    </w:p>
    <w:p w14:paraId="50795B5A">
      <w:pPr>
        <w:spacing w:line="580" w:lineRule="exact"/>
        <w:ind w:firstLine="640"/>
        <w:jc w:val="both"/>
      </w:pPr>
      <w:r>
        <w:rPr>
          <w:rFonts w:ascii="仿宋_GB2312" w:hAnsi="仿宋_GB2312" w:eastAsia="仿宋_GB2312"/>
          <w:b/>
          <w:sz w:val="32"/>
        </w:rPr>
        <w:t>2024年度支出总计2,062.22万元，</w:t>
      </w:r>
      <w:r>
        <w:rPr>
          <w:rFonts w:ascii="仿宋_GB2312" w:hAnsi="仿宋_GB2312" w:eastAsia="仿宋_GB2312"/>
          <w:b w:val="0"/>
          <w:sz w:val="32"/>
        </w:rPr>
        <w:t>其中：本年支出合计2,005.14万元，结余分配0.00万元，年末结转和结余57.08万元。</w:t>
      </w:r>
    </w:p>
    <w:p w14:paraId="439A6763">
      <w:pPr>
        <w:spacing w:line="580" w:lineRule="exact"/>
        <w:ind w:firstLine="640"/>
        <w:jc w:val="both"/>
      </w:pPr>
      <w:r>
        <w:rPr>
          <w:rFonts w:ascii="仿宋_GB2312" w:hAnsi="仿宋_GB2312" w:eastAsia="仿宋_GB2312"/>
          <w:b w:val="0"/>
          <w:sz w:val="32"/>
        </w:rPr>
        <w:t>收入支出总体与上年相比，增加679.47万元，增长49.14%，主要原因是：本年增加两地基层间交往交流交融项目；本年在职人员增加，在职人员工资调增、社保、公积金基数调增，人员经费增加。</w:t>
      </w:r>
    </w:p>
    <w:p w14:paraId="0F391B7E">
      <w:pPr>
        <w:spacing w:line="640" w:lineRule="exact"/>
        <w:ind w:firstLine="640"/>
        <w:jc w:val="both"/>
        <w:outlineLvl w:val="2"/>
      </w:pPr>
      <w:r>
        <w:rPr>
          <w:rFonts w:ascii="黑体" w:hAnsi="黑体" w:eastAsia="黑体"/>
          <w:sz w:val="32"/>
        </w:rPr>
        <w:t>二、收入决算情况说明</w:t>
      </w:r>
    </w:p>
    <w:p w14:paraId="1E325BC4">
      <w:pPr>
        <w:spacing w:line="580" w:lineRule="exact"/>
        <w:ind w:firstLine="640"/>
        <w:jc w:val="both"/>
      </w:pPr>
      <w:r>
        <w:rPr>
          <w:rFonts w:ascii="仿宋_GB2312" w:hAnsi="仿宋_GB2312" w:eastAsia="仿宋_GB2312"/>
          <w:b/>
          <w:sz w:val="32"/>
        </w:rPr>
        <w:t>本年收入2,009.93万元，</w:t>
      </w:r>
      <w:r>
        <w:rPr>
          <w:rFonts w:ascii="仿宋_GB2312" w:hAnsi="仿宋_GB2312" w:eastAsia="仿宋_GB2312"/>
          <w:b w:val="0"/>
          <w:sz w:val="32"/>
        </w:rPr>
        <w:t>其中：财政拨款收入1,283.30万元，占63.85%；上级补助收入0.00万元，占0.00%；事业收入0.00万元，占0.00%；经营收入0.00万元，占0.00%；附属单位上缴收入0.00万元，占0.00%；其他收入726.63万元，占36.15%。</w:t>
      </w:r>
    </w:p>
    <w:p w14:paraId="1765A951">
      <w:pPr>
        <w:spacing w:line="640" w:lineRule="exact"/>
        <w:ind w:firstLine="640"/>
        <w:jc w:val="both"/>
        <w:outlineLvl w:val="2"/>
      </w:pPr>
      <w:r>
        <w:rPr>
          <w:rFonts w:ascii="黑体" w:hAnsi="黑体" w:eastAsia="黑体"/>
          <w:sz w:val="32"/>
        </w:rPr>
        <w:t>三、支出决算情况说明</w:t>
      </w:r>
    </w:p>
    <w:p w14:paraId="63C5B813">
      <w:pPr>
        <w:spacing w:line="580" w:lineRule="exact"/>
        <w:ind w:firstLine="640"/>
        <w:jc w:val="both"/>
      </w:pPr>
      <w:r>
        <w:rPr>
          <w:rFonts w:ascii="仿宋_GB2312" w:hAnsi="仿宋_GB2312" w:eastAsia="仿宋_GB2312"/>
          <w:b/>
          <w:sz w:val="32"/>
        </w:rPr>
        <w:t>本年支出2,005.14万元，</w:t>
      </w:r>
      <w:r>
        <w:rPr>
          <w:rFonts w:ascii="仿宋_GB2312" w:hAnsi="仿宋_GB2312" w:eastAsia="仿宋_GB2312"/>
          <w:b w:val="0"/>
          <w:sz w:val="32"/>
        </w:rPr>
        <w:t>其中：基本支出883.47万元，占44.06%；项目支出1,121.66万元，占55.94%；上缴上级支出0.00万元，占0.00%；经营支出0.00万元，占0.00%；对附属单位补助支出0.00万元，占0.00%。</w:t>
      </w:r>
    </w:p>
    <w:p w14:paraId="6413F614">
      <w:pPr>
        <w:spacing w:line="640" w:lineRule="exact"/>
        <w:ind w:firstLine="640"/>
        <w:jc w:val="both"/>
        <w:outlineLvl w:val="2"/>
      </w:pPr>
      <w:r>
        <w:rPr>
          <w:rFonts w:ascii="黑体" w:hAnsi="黑体" w:eastAsia="黑体"/>
          <w:sz w:val="32"/>
        </w:rPr>
        <w:t>四、财政拨款收入支出决算总体情况说明</w:t>
      </w:r>
    </w:p>
    <w:p w14:paraId="3E0CF5FB">
      <w:pPr>
        <w:spacing w:line="580" w:lineRule="exact"/>
        <w:ind w:firstLine="640"/>
        <w:jc w:val="both"/>
      </w:pPr>
      <w:r>
        <w:rPr>
          <w:rFonts w:ascii="仿宋_GB2312" w:hAnsi="仿宋_GB2312" w:eastAsia="仿宋_GB2312"/>
          <w:b/>
          <w:sz w:val="32"/>
        </w:rPr>
        <w:t>2024年度财政拨款收入总计1,283.30万元，</w:t>
      </w:r>
      <w:r>
        <w:rPr>
          <w:rFonts w:ascii="仿宋_GB2312" w:hAnsi="仿宋_GB2312" w:eastAsia="仿宋_GB2312"/>
          <w:b w:val="0"/>
          <w:sz w:val="32"/>
        </w:rPr>
        <w:t>其中：年初财政拨款结转和结余0.00万元，本年财政拨款收入1,283.30万元。</w:t>
      </w:r>
      <w:r>
        <w:rPr>
          <w:rFonts w:ascii="仿宋_GB2312" w:hAnsi="仿宋_GB2312" w:eastAsia="仿宋_GB2312"/>
          <w:b/>
          <w:sz w:val="32"/>
        </w:rPr>
        <w:t>财政拨款支出总计1,283.30万元，</w:t>
      </w:r>
      <w:r>
        <w:rPr>
          <w:rFonts w:ascii="仿宋_GB2312" w:hAnsi="仿宋_GB2312" w:eastAsia="仿宋_GB2312"/>
          <w:b w:val="0"/>
          <w:sz w:val="32"/>
        </w:rPr>
        <w:t>其中：年末财政拨款结转和结余0.00万元，本年财政拨款支出1,283.30万元。</w:t>
      </w:r>
    </w:p>
    <w:p w14:paraId="70BB6AE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增加9.64万元，增长0.76%，主要原因是：本年在职人员增加，在职人员工资调增、社保、公积金基数调增，人员经费增加。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年初预算数1,898.75万元，决算数1,283.30万元，预决算差异率-32.41%，主要原因是：年中调减ZJ人士培训项目经费，导致预决算存在差异。</w:t>
      </w:r>
    </w:p>
    <w:p w14:paraId="56A20025">
      <w:pPr>
        <w:spacing w:line="640" w:lineRule="exact"/>
        <w:ind w:firstLine="640"/>
        <w:jc w:val="both"/>
        <w:outlineLvl w:val="2"/>
      </w:pPr>
      <w:r>
        <w:rPr>
          <w:rFonts w:ascii="黑体" w:hAnsi="黑体" w:eastAsia="黑体"/>
          <w:sz w:val="32"/>
        </w:rPr>
        <w:t>五、一般公共预算财政拨款支出决算情况说明</w:t>
      </w:r>
    </w:p>
    <w:p w14:paraId="288838F5">
      <w:pPr>
        <w:spacing w:line="640" w:lineRule="exact"/>
        <w:ind w:firstLine="640"/>
        <w:jc w:val="both"/>
        <w:outlineLvl w:val="3"/>
      </w:pPr>
      <w:r>
        <w:rPr>
          <w:rFonts w:ascii="楷体_GB2312" w:hAnsi="楷体_GB2312" w:eastAsia="楷体_GB2312"/>
          <w:b/>
          <w:sz w:val="32"/>
        </w:rPr>
        <w:t>（一）一般公共预算财政拨款支出决算总体情况</w:t>
      </w:r>
    </w:p>
    <w:p w14:paraId="1D738D4D">
      <w:pPr>
        <w:spacing w:line="580" w:lineRule="exact"/>
        <w:ind w:firstLine="640"/>
        <w:jc w:val="both"/>
      </w:pPr>
      <w:r>
        <w:rPr>
          <w:rFonts w:ascii="仿宋_GB2312" w:hAnsi="仿宋_GB2312" w:eastAsia="仿宋_GB2312"/>
          <w:b/>
          <w:sz w:val="32"/>
        </w:rPr>
        <w:t>2024年度一般公共预算财政拨款支出1,283.30万元，</w:t>
      </w:r>
      <w:r>
        <w:rPr>
          <w:rFonts w:ascii="仿宋_GB2312" w:hAnsi="仿宋_GB2312" w:eastAsia="仿宋_GB2312"/>
          <w:b w:val="0"/>
          <w:sz w:val="32"/>
        </w:rPr>
        <w:t>占本年支出合计的64.00%。</w:t>
      </w:r>
      <w:r>
        <w:rPr>
          <w:rFonts w:ascii="仿宋_GB2312" w:hAnsi="仿宋_GB2312" w:eastAsia="仿宋_GB2312"/>
          <w:b/>
          <w:sz w:val="32"/>
        </w:rPr>
        <w:t>与上年相比，</w:t>
      </w:r>
      <w:r>
        <w:rPr>
          <w:rFonts w:ascii="仿宋_GB2312" w:hAnsi="仿宋_GB2312" w:eastAsia="仿宋_GB2312"/>
          <w:b w:val="0"/>
          <w:sz w:val="32"/>
        </w:rPr>
        <w:t>增加9.64万元，增长0.76%，主要原因是：本年在职人员增加，在职人员工资调增、社保、公积金基数调增，人员经费增加。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年初预算数1,898.75万元，决算数1,283.30万元，预决算差异率-32.41%，主要原因是：年中调减ZJ人士培训项目经费，导致预决算存在差异。</w:t>
      </w:r>
    </w:p>
    <w:p w14:paraId="4AC6573B">
      <w:pPr>
        <w:spacing w:line="640" w:lineRule="exact"/>
        <w:ind w:firstLine="640"/>
        <w:jc w:val="both"/>
        <w:outlineLvl w:val="3"/>
      </w:pPr>
      <w:r>
        <w:rPr>
          <w:rFonts w:ascii="楷体_GB2312" w:hAnsi="楷体_GB2312" w:eastAsia="楷体_GB2312"/>
          <w:b/>
          <w:sz w:val="32"/>
        </w:rPr>
        <w:t>（二）一般公共预算财政拨款支出决算结构情况</w:t>
      </w:r>
    </w:p>
    <w:p w14:paraId="346E3A2A">
      <w:pPr>
        <w:spacing w:line="580" w:lineRule="exact"/>
        <w:ind w:firstLine="640"/>
        <w:jc w:val="both"/>
      </w:pPr>
      <w:r>
        <w:rPr>
          <w:rFonts w:ascii="仿宋_GB2312" w:hAnsi="仿宋_GB2312" w:eastAsia="仿宋_GB2312"/>
          <w:b w:val="0"/>
          <w:sz w:val="32"/>
        </w:rPr>
        <w:t>1.一般公共服务支出(类)496.52万元,占38.69%。</w:t>
      </w:r>
    </w:p>
    <w:p w14:paraId="1C870AA8">
      <w:pPr>
        <w:spacing w:line="580" w:lineRule="exact"/>
        <w:ind w:firstLine="640"/>
        <w:jc w:val="both"/>
      </w:pPr>
      <w:r>
        <w:rPr>
          <w:rFonts w:ascii="仿宋_GB2312" w:hAnsi="仿宋_GB2312" w:eastAsia="仿宋_GB2312"/>
          <w:b w:val="0"/>
          <w:sz w:val="32"/>
        </w:rPr>
        <w:t>2.教育支出(类)576.42万元,占44.92%。</w:t>
      </w:r>
    </w:p>
    <w:p w14:paraId="4D72D489">
      <w:pPr>
        <w:spacing w:line="580" w:lineRule="exact"/>
        <w:ind w:firstLine="640"/>
        <w:jc w:val="both"/>
      </w:pPr>
      <w:r>
        <w:rPr>
          <w:rFonts w:ascii="仿宋_GB2312" w:hAnsi="仿宋_GB2312" w:eastAsia="仿宋_GB2312"/>
          <w:b w:val="0"/>
          <w:sz w:val="32"/>
        </w:rPr>
        <w:t>3.社会保障和就业支出(类)119.31万元,占9.30%。</w:t>
      </w:r>
    </w:p>
    <w:p w14:paraId="42FD0875">
      <w:pPr>
        <w:spacing w:line="580" w:lineRule="exact"/>
        <w:ind w:firstLine="640"/>
        <w:jc w:val="both"/>
      </w:pPr>
      <w:r>
        <w:rPr>
          <w:rFonts w:ascii="仿宋_GB2312" w:hAnsi="仿宋_GB2312" w:eastAsia="仿宋_GB2312"/>
          <w:b w:val="0"/>
          <w:sz w:val="32"/>
        </w:rPr>
        <w:t>4.卫生健康支出(类)37.8万元,占2.95%。</w:t>
      </w:r>
    </w:p>
    <w:p w14:paraId="7BB0A83D">
      <w:pPr>
        <w:spacing w:line="580" w:lineRule="exact"/>
        <w:ind w:firstLine="640"/>
        <w:jc w:val="both"/>
      </w:pPr>
      <w:r>
        <w:rPr>
          <w:rFonts w:ascii="仿宋_GB2312" w:hAnsi="仿宋_GB2312" w:eastAsia="仿宋_GB2312"/>
          <w:b w:val="0"/>
          <w:sz w:val="32"/>
        </w:rPr>
        <w:t>5.住房保障支出(类)53.25万元,占4.15%。</w:t>
      </w:r>
    </w:p>
    <w:p w14:paraId="20A0B893">
      <w:pPr>
        <w:spacing w:line="640" w:lineRule="exact"/>
        <w:ind w:firstLine="640"/>
        <w:jc w:val="both"/>
        <w:outlineLvl w:val="3"/>
      </w:pPr>
      <w:r>
        <w:rPr>
          <w:rFonts w:ascii="楷体_GB2312" w:hAnsi="楷体_GB2312" w:eastAsia="楷体_GB2312"/>
          <w:b/>
          <w:sz w:val="32"/>
        </w:rPr>
        <w:t>（三）一般公共预算财政拨款支出决算具体情况</w:t>
      </w:r>
    </w:p>
    <w:p w14:paraId="42F05E8F">
      <w:pPr>
        <w:spacing w:line="580" w:lineRule="exact"/>
        <w:ind w:firstLine="640"/>
        <w:jc w:val="both"/>
      </w:pPr>
      <w:r>
        <w:rPr>
          <w:rFonts w:ascii="仿宋_GB2312" w:hAnsi="仿宋_GB2312" w:eastAsia="仿宋_GB2312"/>
          <w:b w:val="0"/>
          <w:sz w:val="32"/>
        </w:rPr>
        <w:t>1.一般公共服务支出(类)统战事务(款)行政运行(项):支出决算数为260.84万元，比上年决算减少37.14万元，下降12.46%,主要原因是：本年减少为民办实事生活补助。</w:t>
      </w:r>
    </w:p>
    <w:p w14:paraId="2816B2E9">
      <w:pPr>
        <w:spacing w:line="580" w:lineRule="exact"/>
        <w:ind w:firstLine="640"/>
        <w:jc w:val="both"/>
      </w:pPr>
      <w:r>
        <w:rPr>
          <w:rFonts w:ascii="仿宋_GB2312" w:hAnsi="仿宋_GB2312" w:eastAsia="仿宋_GB2312"/>
          <w:b w:val="0"/>
          <w:sz w:val="32"/>
        </w:rPr>
        <w:t>2.一般公共服务支出(类)统战事务(款)一般行政管理事务(项):支出决算数为78.35万元，比上年决算减少116.41万元，下降59.77%,主要原因是：本年减少民族团结创建工作经费。</w:t>
      </w:r>
    </w:p>
    <w:p w14:paraId="126F19D1">
      <w:pPr>
        <w:spacing w:line="580" w:lineRule="exact"/>
        <w:ind w:firstLine="640"/>
        <w:jc w:val="both"/>
      </w:pPr>
      <w:r>
        <w:rPr>
          <w:rFonts w:ascii="仿宋_GB2312" w:hAnsi="仿宋_GB2312" w:eastAsia="仿宋_GB2312"/>
          <w:b w:val="0"/>
          <w:sz w:val="32"/>
        </w:rPr>
        <w:t>3.一般公共服务支出(类)统战事务(款)</w:t>
      </w:r>
      <w:bookmarkStart w:id="0" w:name="_GoBack"/>
      <w:r>
        <w:rPr>
          <w:rFonts w:ascii="仿宋_GB2312" w:hAnsi="仿宋_GB2312" w:eastAsia="仿宋_GB2312"/>
          <w:b w:val="0"/>
          <w:sz w:val="32"/>
        </w:rPr>
        <w:t>宗教</w:t>
      </w:r>
      <w:bookmarkEnd w:id="0"/>
      <w:r>
        <w:rPr>
          <w:rFonts w:ascii="仿宋_GB2312" w:hAnsi="仿宋_GB2312" w:eastAsia="仿宋_GB2312"/>
          <w:b w:val="0"/>
          <w:sz w:val="32"/>
        </w:rPr>
        <w:t>事务(项):支出决算数为98.35万元，比上年决算增加98.35万元，增长100.00%,主要原因是：本年增加ZJ人士培训项目。</w:t>
      </w:r>
    </w:p>
    <w:p w14:paraId="4C1D42DB">
      <w:pPr>
        <w:spacing w:line="580" w:lineRule="exact"/>
        <w:ind w:firstLine="640"/>
        <w:jc w:val="both"/>
      </w:pPr>
      <w:r>
        <w:rPr>
          <w:rFonts w:ascii="仿宋_GB2312" w:hAnsi="仿宋_GB2312" w:eastAsia="仿宋_GB2312"/>
          <w:b w:val="0"/>
          <w:sz w:val="32"/>
        </w:rPr>
        <w:t>4.一般公共服务支出(类)统战事务(款)事业运行(项):支出决算数为58.98万元，比上年决算增加58.98万元，增长100.00%,主要原因是：本年新增事业编制人员，相关人员经费增加。</w:t>
      </w:r>
    </w:p>
    <w:p w14:paraId="7023B8F7">
      <w:pPr>
        <w:spacing w:line="580" w:lineRule="exact"/>
        <w:ind w:firstLine="640"/>
        <w:jc w:val="both"/>
      </w:pPr>
      <w:r>
        <w:rPr>
          <w:rFonts w:ascii="仿宋_GB2312" w:hAnsi="仿宋_GB2312" w:eastAsia="仿宋_GB2312"/>
          <w:b w:val="0"/>
          <w:sz w:val="32"/>
        </w:rPr>
        <w:t>5.教育支出(类)进修及培训(款)干部教育(项):支出决算数为574.34万元，比上年决算增加31.64万元，增长5.83%,主要原因是：本年培训班期数和培训学员增加，培训费较上年增加；本年增加巴州社会主义学院异地重建项目。</w:t>
      </w:r>
    </w:p>
    <w:p w14:paraId="24A31E6E">
      <w:pPr>
        <w:spacing w:line="580" w:lineRule="exact"/>
        <w:ind w:firstLine="640"/>
        <w:jc w:val="both"/>
      </w:pPr>
      <w:r>
        <w:rPr>
          <w:rFonts w:ascii="仿宋_GB2312" w:hAnsi="仿宋_GB2312" w:eastAsia="仿宋_GB2312"/>
          <w:b w:val="0"/>
          <w:sz w:val="32"/>
        </w:rPr>
        <w:t>6.教育支出(类)进修及培训(款)培训支出(项):支出决算数为2.08万元，比上年决算减少0.11万元，下降5.02%,主要原因是：本年度减少外出培训计划，导致培训经费较上年减少。</w:t>
      </w:r>
    </w:p>
    <w:p w14:paraId="666DBBB3">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7.社会保障和就业支出(类)行政事业单位养老支出(款)行政单位离退休(项):支出决算数为42.63万元，比上年决算增加6.66万元，增长18.52%,主要原因是：本年增加退休人员基础绩效奖，退休费支出增加。</w:t>
      </w:r>
    </w:p>
    <w:p w14:paraId="31A04B72">
      <w:pPr>
        <w:spacing w:line="580" w:lineRule="exact"/>
        <w:ind w:firstLine="640"/>
        <w:jc w:val="both"/>
      </w:pPr>
      <w:r>
        <w:rPr>
          <w:rFonts w:ascii="仿宋_GB2312" w:hAnsi="仿宋_GB2312" w:eastAsia="仿宋_GB2312"/>
          <w:b w:val="0"/>
          <w:sz w:val="32"/>
        </w:rPr>
        <w:t>8.社会保障和就业支出(类)行政事业单位养老支出(款)事业单位离退休(项):支出决算数为2.12万元，比上年决算增加2.12万元，增长100.00%,主要原因是：本年功能科目调整，事业单位离退休上年度在行政单位离退休科目列支，本年单独列支，导致经费较上年增加。</w:t>
      </w:r>
    </w:p>
    <w:p w14:paraId="70993EC0">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66.39万元，比上年决算增加6.00万元，增长9.94%,主要原因是：本年在职人员工资基数调增，养老缴费基数上涨，相应支出增加。</w:t>
      </w:r>
    </w:p>
    <w:p w14:paraId="6AB09130">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8.17万元，比上年决算减少24.59万元，下降75.06%,主要原因是：本年度调出人员较上年减少，职业年金缴费减少。</w:t>
      </w:r>
    </w:p>
    <w:p w14:paraId="261642BE">
      <w:pPr>
        <w:spacing w:line="580" w:lineRule="exact"/>
        <w:ind w:firstLine="640"/>
        <w:jc w:val="both"/>
      </w:pPr>
      <w:r>
        <w:rPr>
          <w:rFonts w:ascii="仿宋_GB2312" w:hAnsi="仿宋_GB2312" w:eastAsia="仿宋_GB2312"/>
          <w:b w:val="0"/>
          <w:sz w:val="32"/>
        </w:rPr>
        <w:t>11.社会保障和就业支出(类)抚恤(款)死亡抚恤(项):支出决算数为0.00万元，比上年决算减少24.24万元，下降100.00%,主要原因是：本年无新增死亡人员，无死亡抚恤支出。</w:t>
      </w:r>
    </w:p>
    <w:p w14:paraId="528ABDF5">
      <w:pPr>
        <w:spacing w:line="580" w:lineRule="exact"/>
        <w:ind w:firstLine="640"/>
        <w:jc w:val="both"/>
      </w:pPr>
      <w:r>
        <w:rPr>
          <w:rFonts w:ascii="仿宋_GB2312" w:hAnsi="仿宋_GB2312" w:eastAsia="仿宋_GB2312"/>
          <w:b w:val="0"/>
          <w:sz w:val="32"/>
        </w:rPr>
        <w:t>12.卫生健康支出(类)行政事业单位医疗(款)行政单位医疗(项):支出决算数为17.63万元，比上年决算减少0.46万元，下降2.54%,主要原因是：因退休人员医疗保险制度改革，退休人员基本医疗不再由单位缴纳，导致经费较上年减少。</w:t>
      </w:r>
    </w:p>
    <w:p w14:paraId="7957F86C">
      <w:pPr>
        <w:spacing w:line="580" w:lineRule="exact"/>
        <w:ind w:firstLine="640"/>
        <w:jc w:val="both"/>
      </w:pPr>
      <w:r>
        <w:rPr>
          <w:rFonts w:ascii="仿宋_GB2312" w:hAnsi="仿宋_GB2312" w:eastAsia="仿宋_GB2312"/>
          <w:b w:val="0"/>
          <w:sz w:val="32"/>
        </w:rPr>
        <w:t>13.卫生健康支出(类)行政事业单位医疗(款)事业单位医疗(项):支出决算数为11万元，比上年决算增加0.54万元，增长5.16%,主要原因是：本年新增事业编制人员，事业人员医疗支出增加。</w:t>
      </w:r>
    </w:p>
    <w:p w14:paraId="4CB1145B">
      <w:pPr>
        <w:spacing w:line="580" w:lineRule="exact"/>
        <w:ind w:firstLine="640"/>
        <w:jc w:val="both"/>
      </w:pPr>
      <w:r>
        <w:rPr>
          <w:rFonts w:ascii="仿宋_GB2312" w:hAnsi="仿宋_GB2312" w:eastAsia="仿宋_GB2312"/>
          <w:b w:val="0"/>
          <w:sz w:val="32"/>
        </w:rPr>
        <w:t>14.卫生健康支出(类)行政事业单位医疗(款)公务员医疗补助(项):支出决算数为8.24万元，比上年决算增加0.83万元，增长11.20%,主要原因是：本年在职人员增加，公务员医疗补助较上年增加。</w:t>
      </w:r>
    </w:p>
    <w:p w14:paraId="017BCEB2">
      <w:pPr>
        <w:spacing w:line="580" w:lineRule="exact"/>
        <w:ind w:firstLine="640"/>
        <w:jc w:val="both"/>
      </w:pPr>
      <w:r>
        <w:rPr>
          <w:rFonts w:ascii="仿宋_GB2312" w:hAnsi="仿宋_GB2312" w:eastAsia="仿宋_GB2312"/>
          <w:b w:val="0"/>
          <w:sz w:val="32"/>
        </w:rPr>
        <w:t>15.卫生健康支出(类)行政事业单位医疗(款)其他行政事业单位医疗支出(项):支出决算数为0.93万元，比上年决算减少0.97万元，下降51.05%,主要原因是：因退休人员医疗保险制度改革，退休人员基本医疗不再由单位缴纳，导致经费较上年减少。</w:t>
      </w:r>
    </w:p>
    <w:p w14:paraId="6CC8B35F">
      <w:pPr>
        <w:spacing w:line="580" w:lineRule="exact"/>
        <w:ind w:firstLine="640"/>
        <w:jc w:val="both"/>
      </w:pPr>
      <w:r>
        <w:rPr>
          <w:rFonts w:ascii="仿宋_GB2312" w:hAnsi="仿宋_GB2312" w:eastAsia="仿宋_GB2312"/>
          <w:b w:val="0"/>
          <w:sz w:val="32"/>
        </w:rPr>
        <w:t>16.住房保障支出(类)住房改革支出(款)住房公积金(项):支出决算数为53.25万元，比上年决算增加8.45万元，增长18.86%,主要原因是：本年在职人员增加，在职人员工资基数调增，公积金缴费基数上涨，相应支出增加。</w:t>
      </w:r>
    </w:p>
    <w:p w14:paraId="19CEDD54">
      <w:pPr>
        <w:spacing w:line="640" w:lineRule="exact"/>
        <w:ind w:firstLine="640"/>
        <w:jc w:val="both"/>
        <w:outlineLvl w:val="2"/>
      </w:pPr>
      <w:r>
        <w:rPr>
          <w:rFonts w:ascii="黑体" w:hAnsi="黑体" w:eastAsia="黑体"/>
          <w:sz w:val="32"/>
        </w:rPr>
        <w:t>六、一般公共预算财政拨款基本支出决算情况说明</w:t>
      </w:r>
    </w:p>
    <w:p w14:paraId="76C3489B">
      <w:pPr>
        <w:spacing w:line="580" w:lineRule="exact"/>
        <w:ind w:firstLine="640"/>
        <w:jc w:val="both"/>
      </w:pPr>
      <w:r>
        <w:rPr>
          <w:rFonts w:ascii="仿宋_GB2312" w:hAnsi="仿宋_GB2312" w:eastAsia="仿宋_GB2312"/>
          <w:b w:val="0"/>
          <w:sz w:val="32"/>
        </w:rPr>
        <w:t>2024年度一般公共预算财政拨款基本支出883.47万元，其中：</w:t>
      </w:r>
      <w:r>
        <w:rPr>
          <w:rFonts w:ascii="仿宋_GB2312" w:hAnsi="仿宋_GB2312" w:eastAsia="仿宋_GB2312"/>
          <w:b/>
          <w:sz w:val="32"/>
        </w:rPr>
        <w:t>人员经费774.05万元，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医疗费、退休费、生活补助、奖励金。</w:t>
      </w:r>
    </w:p>
    <w:p w14:paraId="67C370FF">
      <w:pPr>
        <w:spacing w:line="580" w:lineRule="exact"/>
        <w:ind w:firstLine="640"/>
        <w:jc w:val="both"/>
      </w:pPr>
      <w:r>
        <w:rPr>
          <w:rFonts w:ascii="仿宋_GB2312" w:hAnsi="仿宋_GB2312" w:eastAsia="仿宋_GB2312"/>
          <w:b/>
          <w:sz w:val="32"/>
        </w:rPr>
        <w:t>公用经费109.42万元，</w:t>
      </w:r>
      <w:r>
        <w:rPr>
          <w:rFonts w:ascii="仿宋_GB2312" w:hAnsi="仿宋_GB2312" w:eastAsia="仿宋_GB2312"/>
          <w:b w:val="0"/>
          <w:sz w:val="32"/>
        </w:rPr>
        <w:t>包括：办公费、水费、电费、邮电费、取暖费、物业管理费、差旅费、租赁费、培训费、劳务费、委托业务费、工会经费、福利费、公务用车运行维护费、其他商品和服务支出。</w:t>
      </w:r>
    </w:p>
    <w:p w14:paraId="040CA7A3">
      <w:pPr>
        <w:spacing w:line="640" w:lineRule="exact"/>
        <w:ind w:firstLine="640"/>
        <w:jc w:val="both"/>
        <w:outlineLvl w:val="2"/>
      </w:pPr>
      <w:r>
        <w:rPr>
          <w:rFonts w:ascii="黑体" w:hAnsi="黑体" w:eastAsia="黑体"/>
          <w:sz w:val="32"/>
        </w:rPr>
        <w:t>七、政府性基金预算财政拨款收入支出决算情况说明</w:t>
      </w:r>
    </w:p>
    <w:p w14:paraId="7AACC03C">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1D6C8B71">
      <w:pPr>
        <w:spacing w:line="640" w:lineRule="exact"/>
        <w:ind w:firstLine="640"/>
        <w:jc w:val="both"/>
        <w:outlineLvl w:val="2"/>
      </w:pPr>
      <w:r>
        <w:rPr>
          <w:rFonts w:ascii="黑体" w:hAnsi="黑体" w:eastAsia="黑体"/>
          <w:sz w:val="32"/>
        </w:rPr>
        <w:t>八、国有资本经营预算财政拨款收入支出决算情况说明</w:t>
      </w:r>
    </w:p>
    <w:p w14:paraId="2581504F">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7AF80E0B">
      <w:pPr>
        <w:spacing w:line="640" w:lineRule="exact"/>
        <w:ind w:firstLine="640"/>
        <w:jc w:val="both"/>
        <w:outlineLvl w:val="2"/>
      </w:pPr>
      <w:r>
        <w:rPr>
          <w:rFonts w:ascii="黑体" w:hAnsi="黑体" w:eastAsia="黑体"/>
          <w:sz w:val="32"/>
        </w:rPr>
        <w:t>九、财政拨款“三公”经费支出决算情况说明</w:t>
      </w:r>
    </w:p>
    <w:p w14:paraId="2BA89A2A">
      <w:pPr>
        <w:spacing w:line="580" w:lineRule="exact"/>
        <w:ind w:firstLine="640"/>
        <w:jc w:val="both"/>
      </w:pPr>
      <w:r>
        <w:rPr>
          <w:rFonts w:ascii="仿宋_GB2312" w:hAnsi="仿宋_GB2312" w:eastAsia="仿宋_GB2312"/>
          <w:b/>
          <w:sz w:val="32"/>
        </w:rPr>
        <w:t>2024年度财政拨款“三公”经费支出17.06万元，</w:t>
      </w:r>
      <w:r>
        <w:rPr>
          <w:rFonts w:ascii="仿宋_GB2312" w:hAnsi="仿宋_GB2312" w:eastAsia="仿宋_GB2312"/>
          <w:b w:val="0"/>
          <w:sz w:val="32"/>
        </w:rPr>
        <w:t>比上年减少0.33万元，下降1.90%，主要原因是：严格落实中央八项规定精神，厉行节约，减少财政拨款“三公”经费支出。其中：因公出国（境）费支出0.00万元，占0.00%，比上年增加0.00万元，增长0.00%，主要原因是：2023年与2024年均未安排因公出国（境）费支出。公务用车购置及运行维护费支出17.06万元，占100.00%，比上年减少0.33万元，下降1.90%，主要原因是：严格落实中央八项规定精神，厉行节约，减少公务用车运行维护费。公务接待费支出0.00万元，占0.00%，比上年增加0.00万元，增长0.00%，主要原因是：2023年与2024年均未安排公务接待费支出。</w:t>
      </w:r>
    </w:p>
    <w:p w14:paraId="250F5A40">
      <w:pPr>
        <w:spacing w:line="580" w:lineRule="exact"/>
        <w:ind w:firstLine="640"/>
        <w:jc w:val="both"/>
      </w:pPr>
      <w:r>
        <w:rPr>
          <w:rFonts w:ascii="仿宋_GB2312" w:hAnsi="仿宋_GB2312" w:eastAsia="仿宋_GB2312"/>
          <w:b/>
          <w:sz w:val="32"/>
        </w:rPr>
        <w:t>具体情况如下：</w:t>
      </w:r>
    </w:p>
    <w:p w14:paraId="59007BA7">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55A3596A">
      <w:pPr>
        <w:spacing w:line="580" w:lineRule="exact"/>
        <w:ind w:firstLine="640"/>
        <w:jc w:val="both"/>
      </w:pPr>
      <w:r>
        <w:rPr>
          <w:rFonts w:ascii="仿宋_GB2312" w:hAnsi="仿宋_GB2312" w:eastAsia="仿宋_GB2312"/>
          <w:b w:val="0"/>
          <w:sz w:val="32"/>
        </w:rPr>
        <w:t>公务用车购置及运行维护费17.06万元，其中：公务用车购置费0.00万元，公务用车运行维护费17.06万元。公务用车运行维护费开支内容包括车辆加油费、保险费、过路费、维修费。公务用车购置数0辆，公务用车保有量5辆。国有资产占用情况中固定资产车辆5辆，与公务用车保有量差异原因是：本部门固定资产车辆与公务用车保有量一致无差异。</w:t>
      </w:r>
    </w:p>
    <w:p w14:paraId="74982502">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2EE17FF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17.06万元，决算数17.06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17.06万元，决算数17.06万元，预决算差异率0.00%，主要原因是：严格按照预算执行，预决算无差异。公务接待费全年预算数0.00万元，决算数0.00万元，预决算差异率0.00%，主要原因是：本部门无公务接待费。</w:t>
      </w:r>
    </w:p>
    <w:p w14:paraId="3CD31235">
      <w:pPr>
        <w:spacing w:line="640" w:lineRule="exact"/>
        <w:ind w:firstLine="640"/>
        <w:jc w:val="both"/>
        <w:outlineLvl w:val="2"/>
      </w:pPr>
      <w:r>
        <w:rPr>
          <w:rFonts w:ascii="黑体" w:hAnsi="黑体" w:eastAsia="黑体"/>
          <w:sz w:val="32"/>
        </w:rPr>
        <w:t>十、其他重要事项的情况说明</w:t>
      </w:r>
    </w:p>
    <w:p w14:paraId="41D21E84">
      <w:pPr>
        <w:spacing w:line="640" w:lineRule="exact"/>
        <w:ind w:firstLine="640"/>
        <w:jc w:val="both"/>
        <w:outlineLvl w:val="3"/>
      </w:pPr>
      <w:r>
        <w:rPr>
          <w:rFonts w:ascii="楷体_GB2312" w:hAnsi="楷体_GB2312" w:eastAsia="楷体_GB2312"/>
          <w:b/>
          <w:sz w:val="32"/>
        </w:rPr>
        <w:t>（一）机关运行经费及公用经费支出情况</w:t>
      </w:r>
    </w:p>
    <w:p w14:paraId="5CC76A3A">
      <w:pPr>
        <w:spacing w:line="580" w:lineRule="exact"/>
        <w:ind w:firstLine="640"/>
        <w:jc w:val="both"/>
      </w:pPr>
      <w:r>
        <w:rPr>
          <w:rFonts w:ascii="仿宋_GB2312" w:hAnsi="仿宋_GB2312" w:eastAsia="仿宋_GB2312"/>
          <w:b w:val="0"/>
          <w:sz w:val="32"/>
        </w:rPr>
        <w:t>2024年度新疆巴州统战部（部门）（行政单位和参照公务员法管理事业单位）机关运行经费支出27.79万元，比上年增加0.39万元，增长1.42%，主要原因是：本年增加劳务派遣人员相关经费，导致机关运行经费较上年增加。</w:t>
      </w:r>
    </w:p>
    <w:p w14:paraId="1E32106D">
      <w:pPr>
        <w:spacing w:line="580" w:lineRule="exact"/>
        <w:ind w:firstLine="640"/>
        <w:jc w:val="both"/>
      </w:pPr>
      <w:r>
        <w:rPr>
          <w:rFonts w:ascii="仿宋_GB2312" w:hAnsi="仿宋_GB2312" w:eastAsia="仿宋_GB2312"/>
          <w:b w:val="0"/>
          <w:sz w:val="32"/>
        </w:rPr>
        <w:t>2024年度新疆巴州统战部（部门）（事业单位）公用经费支出81.63万元，比上年增加27.49万元，增长50.78%，主要原因是：本年增加办公费、取暖费，相应公用经费增加。</w:t>
      </w:r>
    </w:p>
    <w:p w14:paraId="087D96EC">
      <w:pPr>
        <w:spacing w:line="640" w:lineRule="exact"/>
        <w:ind w:firstLine="640"/>
        <w:jc w:val="both"/>
        <w:outlineLvl w:val="3"/>
      </w:pPr>
      <w:r>
        <w:rPr>
          <w:rFonts w:ascii="楷体_GB2312" w:hAnsi="楷体_GB2312" w:eastAsia="楷体_GB2312"/>
          <w:b/>
          <w:sz w:val="32"/>
        </w:rPr>
        <w:t>（二）政府采购情况</w:t>
      </w:r>
    </w:p>
    <w:p w14:paraId="2ABFAE58">
      <w:pPr>
        <w:spacing w:line="580" w:lineRule="exact"/>
        <w:ind w:firstLine="640"/>
        <w:jc w:val="both"/>
      </w:pPr>
      <w:r>
        <w:rPr>
          <w:rFonts w:ascii="仿宋_GB2312" w:hAnsi="仿宋_GB2312" w:eastAsia="仿宋_GB2312"/>
          <w:b w:val="0"/>
          <w:sz w:val="32"/>
        </w:rPr>
        <w:t>2024年度政府采购支出总额736.59万元，其中：政府采购货物支出4.33万元、政府采购工程支出0.00万元、政府采购服务支出732.27万元。</w:t>
      </w:r>
    </w:p>
    <w:p w14:paraId="26DF7B62">
      <w:pPr>
        <w:spacing w:line="580" w:lineRule="exact"/>
        <w:ind w:firstLine="640"/>
        <w:jc w:val="both"/>
      </w:pPr>
      <w:r>
        <w:rPr>
          <w:rFonts w:ascii="仿宋_GB2312" w:hAnsi="仿宋_GB2312" w:eastAsia="仿宋_GB2312"/>
          <w:b w:val="0"/>
          <w:sz w:val="32"/>
        </w:rPr>
        <w:t>授予中小企业合同金额710.04万元，占政府采购支出总额的96.40%，其中：授予小微企业合同金额709.93万元，占政府采购支出总额的96.38%。</w:t>
      </w:r>
    </w:p>
    <w:p w14:paraId="2809497C">
      <w:pPr>
        <w:spacing w:line="640" w:lineRule="exact"/>
        <w:ind w:firstLine="640"/>
        <w:jc w:val="both"/>
        <w:outlineLvl w:val="3"/>
      </w:pPr>
      <w:r>
        <w:rPr>
          <w:rFonts w:ascii="楷体_GB2312" w:hAnsi="楷体_GB2312" w:eastAsia="楷体_GB2312"/>
          <w:b/>
          <w:sz w:val="32"/>
        </w:rPr>
        <w:t>（三）国有资产占用情况说明</w:t>
      </w:r>
    </w:p>
    <w:p w14:paraId="55DB2D51">
      <w:pPr>
        <w:spacing w:line="580" w:lineRule="exact"/>
        <w:ind w:firstLine="640"/>
        <w:jc w:val="both"/>
      </w:pPr>
      <w:r>
        <w:rPr>
          <w:rFonts w:ascii="仿宋_GB2312" w:hAnsi="仿宋_GB2312" w:eastAsia="仿宋_GB2312"/>
          <w:b w:val="0"/>
          <w:sz w:val="32"/>
        </w:rPr>
        <w:t>截至2024年12月31日，房屋8,190.94平方米，价值2,667.62万元。车辆5辆，价值108.27万元，其中：副部（省）级及以上领导用车0辆、主要负责人用车2辆、机要通信用车0辆、应急保障用车0辆、执法执勤用车0辆、特种专业技术用车0辆、离退休干部服务用车0辆、其他用车3辆，其他用车主要是：一般公务用车。单价100万元（含）以上设备（不含车辆）0台（套）。</w:t>
      </w:r>
    </w:p>
    <w:p w14:paraId="54A8F20F">
      <w:pPr>
        <w:spacing w:line="640" w:lineRule="exact"/>
        <w:ind w:firstLine="640"/>
        <w:jc w:val="both"/>
        <w:outlineLvl w:val="2"/>
      </w:pPr>
      <w:r>
        <w:rPr>
          <w:rFonts w:ascii="黑体" w:hAnsi="黑体" w:eastAsia="黑体"/>
          <w:sz w:val="32"/>
        </w:rPr>
        <w:t>十一、预算绩效的情况说明</w:t>
      </w:r>
    </w:p>
    <w:p w14:paraId="6762E82F">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根据预算绩效管理要求，本部门2024年度预算绩效管理形成整体支出绩效自评表1个，全年预算总额2,074.31万元，实际执行总额2,005.14万元；预算绩效评价项目</w:t>
      </w:r>
      <w:r>
        <w:rPr>
          <w:rFonts w:hint="eastAsia" w:ascii="仿宋_GB2312" w:hAnsi="仿宋_GB2312" w:eastAsia="仿宋_GB2312"/>
          <w:b w:val="0"/>
          <w:sz w:val="32"/>
          <w:lang w:val="en-US" w:eastAsia="zh-CN"/>
        </w:rPr>
        <w:t>10</w:t>
      </w:r>
      <w:r>
        <w:rPr>
          <w:rFonts w:ascii="仿宋_GB2312" w:hAnsi="仿宋_GB2312" w:eastAsia="仿宋_GB2312"/>
          <w:b w:val="0"/>
          <w:sz w:val="32"/>
        </w:rPr>
        <w:t>个，全年预算数</w:t>
      </w:r>
      <w:r>
        <w:rPr>
          <w:rFonts w:hint="eastAsia" w:ascii="仿宋_GB2312" w:hAnsi="仿宋_GB2312" w:eastAsia="仿宋_GB2312"/>
          <w:b w:val="0"/>
          <w:sz w:val="32"/>
        </w:rPr>
        <w:t>406.45</w:t>
      </w:r>
      <w:r>
        <w:rPr>
          <w:rFonts w:ascii="仿宋_GB2312" w:hAnsi="仿宋_GB2312" w:eastAsia="仿宋_GB2312"/>
          <w:b w:val="0"/>
          <w:sz w:val="32"/>
        </w:rPr>
        <w:t>万元，全年执行数</w:t>
      </w:r>
      <w:r>
        <w:rPr>
          <w:rFonts w:hint="eastAsia" w:ascii="仿宋_GB2312" w:hAnsi="仿宋_GB2312" w:eastAsia="仿宋_GB2312"/>
          <w:b w:val="0"/>
          <w:sz w:val="32"/>
        </w:rPr>
        <w:t>399.08</w:t>
      </w:r>
      <w:r>
        <w:rPr>
          <w:rFonts w:ascii="仿宋_GB2312" w:hAnsi="仿宋_GB2312" w:eastAsia="仿宋_GB2312"/>
          <w:b w:val="0"/>
          <w:sz w:val="32"/>
        </w:rPr>
        <w:t>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部门整体支出绩效自评表，项目支出绩效自评表和部门评价报告。</w:t>
      </w:r>
    </w:p>
    <w:p w14:paraId="1DC0468A">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92623A2">
        <w:tblPrEx>
          <w:tblCellMar>
            <w:top w:w="0" w:type="dxa"/>
            <w:left w:w="108" w:type="dxa"/>
            <w:bottom w:w="0" w:type="dxa"/>
            <w:right w:w="108" w:type="dxa"/>
          </w:tblCellMar>
        </w:tblPrEx>
        <w:tc>
          <w:tcPr>
            <w:tcW w:w="8840" w:type="dxa"/>
            <w:gridSpan w:val="8"/>
            <w:vAlign w:val="center"/>
          </w:tcPr>
          <w:p w14:paraId="308CC84C">
            <w:pPr>
              <w:jc w:val="center"/>
            </w:pPr>
            <w:r>
              <w:rPr>
                <w:rFonts w:ascii="宋体" w:hAnsi="宋体" w:eastAsia="宋体"/>
                <w:sz w:val="24"/>
              </w:rPr>
              <w:t>部门整体支出绩效自评表</w:t>
            </w:r>
          </w:p>
        </w:tc>
      </w:tr>
      <w:tr w14:paraId="1BA2FF62">
        <w:tblPrEx>
          <w:tblCellMar>
            <w:top w:w="0" w:type="dxa"/>
            <w:left w:w="108" w:type="dxa"/>
            <w:bottom w:w="0" w:type="dxa"/>
            <w:right w:w="108" w:type="dxa"/>
          </w:tblCellMar>
        </w:tblPrEx>
        <w:tc>
          <w:tcPr>
            <w:tcW w:w="8840" w:type="dxa"/>
            <w:gridSpan w:val="8"/>
            <w:vAlign w:val="center"/>
          </w:tcPr>
          <w:p w14:paraId="0E4F9A5E">
            <w:pPr>
              <w:jc w:val="center"/>
            </w:pPr>
            <w:r>
              <w:rPr>
                <w:rFonts w:ascii="宋体" w:hAnsi="宋体" w:eastAsia="宋体"/>
                <w:sz w:val="24"/>
              </w:rPr>
              <w:t>（2024年度）</w:t>
            </w:r>
          </w:p>
        </w:tc>
      </w:tr>
      <w:tr w14:paraId="1CC1A3E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5DAB15">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6E5BDB">
            <w:pPr>
              <w:jc w:val="center"/>
            </w:pPr>
            <w:r>
              <w:rPr>
                <w:rFonts w:ascii="宋体" w:hAnsi="宋体" w:eastAsia="宋体"/>
                <w:sz w:val="16"/>
              </w:rPr>
              <w:t>新疆巴州统战部（部门）</w:t>
            </w:r>
          </w:p>
        </w:tc>
      </w:tr>
      <w:tr w14:paraId="39AAE5D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F2C0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FD2F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BB22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46741C">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5E11E">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5501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991B6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7D9A34">
            <w:pPr>
              <w:jc w:val="center"/>
            </w:pPr>
            <w:r>
              <w:rPr>
                <w:rFonts w:ascii="宋体" w:hAnsi="宋体" w:eastAsia="宋体"/>
                <w:sz w:val="16"/>
              </w:rPr>
              <w:t>得分</w:t>
            </w:r>
          </w:p>
        </w:tc>
      </w:tr>
      <w:tr w14:paraId="7F8552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3E399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55D8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B6F23">
            <w:pPr>
              <w:jc w:val="center"/>
            </w:pPr>
            <w:r>
              <w:rPr>
                <w:rFonts w:ascii="宋体" w:hAnsi="宋体" w:eastAsia="宋体"/>
                <w:sz w:val="16"/>
              </w:rPr>
              <w:t>1,243.51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EDE70">
            <w:pPr>
              <w:jc w:val="center"/>
            </w:pPr>
            <w:r>
              <w:rPr>
                <w:rFonts w:ascii="宋体" w:hAnsi="宋体" w:eastAsia="宋体"/>
                <w:sz w:val="16"/>
              </w:rPr>
              <w:t>2,074.31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76F12">
            <w:pPr>
              <w:jc w:val="center"/>
            </w:pPr>
            <w:r>
              <w:rPr>
                <w:rFonts w:ascii="宋体" w:hAnsi="宋体" w:eastAsia="宋体"/>
                <w:sz w:val="16"/>
              </w:rPr>
              <w:t>2,005.14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778D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26B63">
            <w:pPr>
              <w:jc w:val="center"/>
            </w:pPr>
            <w:r>
              <w:rPr>
                <w:rFonts w:ascii="宋体" w:hAnsi="宋体" w:eastAsia="宋体"/>
                <w:sz w:val="16"/>
              </w:rPr>
              <w:t>96.67%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25F4C8">
            <w:pPr>
              <w:jc w:val="center"/>
            </w:pPr>
            <w:r>
              <w:rPr>
                <w:rFonts w:ascii="宋体" w:hAnsi="宋体" w:eastAsia="宋体"/>
                <w:sz w:val="16"/>
              </w:rPr>
              <w:t>9.67</w:t>
            </w:r>
          </w:p>
        </w:tc>
      </w:tr>
      <w:tr w14:paraId="4518646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DF96A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3CB550">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85E81">
            <w:pPr>
              <w:jc w:val="center"/>
            </w:pPr>
            <w:r>
              <w:rPr>
                <w:rFonts w:ascii="宋体" w:hAnsi="宋体" w:eastAsia="宋体"/>
                <w:sz w:val="16"/>
              </w:rPr>
              <w:t>105.00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9C24D">
            <w:pPr>
              <w:jc w:val="center"/>
            </w:pPr>
            <w:r>
              <w:rPr>
                <w:rFonts w:ascii="宋体" w:hAnsi="宋体" w:eastAsia="宋体"/>
                <w:sz w:val="16"/>
              </w:rPr>
              <w:t>98.35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DDE69">
            <w:pPr>
              <w:jc w:val="center"/>
            </w:pPr>
            <w:r>
              <w:rPr>
                <w:rFonts w:ascii="宋体" w:hAnsi="宋体" w:eastAsia="宋体"/>
                <w:sz w:val="16"/>
              </w:rPr>
              <w:t>98.35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778F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559EF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AB855E">
            <w:pPr>
              <w:jc w:val="center"/>
            </w:pPr>
            <w:r>
              <w:rPr>
                <w:rFonts w:ascii="宋体" w:hAnsi="宋体" w:eastAsia="宋体"/>
                <w:sz w:val="16"/>
              </w:rPr>
              <w:t>-</w:t>
            </w:r>
          </w:p>
        </w:tc>
      </w:tr>
      <w:tr w14:paraId="3AD8FF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DB6D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CE12B">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5FA98">
            <w:pPr>
              <w:jc w:val="center"/>
            </w:pPr>
            <w:r>
              <w:rPr>
                <w:rFonts w:ascii="宋体" w:hAnsi="宋体" w:eastAsia="宋体"/>
                <w:sz w:val="16"/>
              </w:rPr>
              <w:t>1,118.51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CBC42">
            <w:pPr>
              <w:jc w:val="center"/>
            </w:pPr>
            <w:r>
              <w:rPr>
                <w:rFonts w:ascii="宋体" w:hAnsi="宋体" w:eastAsia="宋体"/>
                <w:sz w:val="16"/>
              </w:rPr>
              <w:t>1,197.04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B75A1">
            <w:pPr>
              <w:jc w:val="center"/>
            </w:pPr>
            <w:r>
              <w:rPr>
                <w:rFonts w:ascii="宋体" w:hAnsi="宋体" w:eastAsia="宋体"/>
                <w:sz w:val="16"/>
              </w:rPr>
              <w:t>1,184.95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BAE90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B62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07E6CD">
            <w:pPr>
              <w:jc w:val="center"/>
            </w:pPr>
            <w:r>
              <w:rPr>
                <w:rFonts w:ascii="宋体" w:hAnsi="宋体" w:eastAsia="宋体"/>
                <w:sz w:val="16"/>
              </w:rPr>
              <w:t>-</w:t>
            </w:r>
          </w:p>
        </w:tc>
      </w:tr>
      <w:tr w14:paraId="6FF975E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EA9EF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00CAB">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84150">
            <w:pPr>
              <w:jc w:val="center"/>
            </w:pPr>
            <w:r>
              <w:rPr>
                <w:rFonts w:ascii="宋体" w:hAnsi="宋体" w:eastAsia="宋体"/>
                <w:sz w:val="16"/>
              </w:rPr>
              <w:t>20.00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833DF">
            <w:pPr>
              <w:jc w:val="center"/>
            </w:pPr>
            <w:r>
              <w:rPr>
                <w:rFonts w:ascii="宋体" w:hAnsi="宋体" w:eastAsia="宋体"/>
                <w:sz w:val="16"/>
              </w:rPr>
              <w:t>778.92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386D12">
            <w:pPr>
              <w:jc w:val="center"/>
            </w:pPr>
            <w:r>
              <w:rPr>
                <w:rFonts w:ascii="宋体" w:hAnsi="宋体" w:eastAsia="宋体"/>
                <w:sz w:val="16"/>
              </w:rPr>
              <w:t>721.84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7046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CEE25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D9AF76">
            <w:pPr>
              <w:jc w:val="center"/>
            </w:pPr>
            <w:r>
              <w:rPr>
                <w:rFonts w:ascii="宋体" w:hAnsi="宋体" w:eastAsia="宋体"/>
                <w:sz w:val="16"/>
              </w:rPr>
              <w:t>-</w:t>
            </w:r>
          </w:p>
        </w:tc>
      </w:tr>
      <w:tr w14:paraId="0080102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BEEE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994A66">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AEF189">
            <w:pPr>
              <w:jc w:val="center"/>
            </w:pPr>
            <w:r>
              <w:rPr>
                <w:rFonts w:ascii="宋体" w:hAnsi="宋体" w:eastAsia="宋体"/>
                <w:sz w:val="16"/>
              </w:rPr>
              <w:t>实际完成情况</w:t>
            </w:r>
          </w:p>
        </w:tc>
      </w:tr>
      <w:tr w14:paraId="6B59F5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40AB41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6B7A84">
            <w:pPr>
              <w:jc w:val="both"/>
            </w:pPr>
            <w:r>
              <w:rPr>
                <w:rFonts w:ascii="宋体" w:hAnsi="宋体" w:eastAsia="宋体"/>
                <w:sz w:val="16"/>
              </w:rPr>
              <w:t>深入学习贯彻习近平新时代中国特色社会主义思想，牢牢把握做好新时代新征程上统战工作的根本遵循，以铸牢中华民族共同体意识为主线，凝心聚力、主动担当作为，为建设美丽新疆、美丽巴州贡献统战力量。强化思想政治引领，进一步夯实团结奋斗的共同思想政治基础。有形有感有效铸牢中华民族共同体意识，持续增强各族群众“五个认同”。坚持我国</w:t>
            </w:r>
            <w:r>
              <w:rPr>
                <w:rFonts w:hint="eastAsia" w:ascii="宋体" w:hAnsi="宋体"/>
                <w:sz w:val="16"/>
                <w:lang w:val="en-US" w:eastAsia="zh-CN"/>
              </w:rPr>
              <w:t>ZJ</w:t>
            </w:r>
            <w:r>
              <w:rPr>
                <w:rFonts w:ascii="宋体" w:hAnsi="宋体" w:eastAsia="宋体"/>
                <w:sz w:val="16"/>
              </w:rPr>
              <w:t>中国化方向，深入推进新疆伊斯兰教中国化。坚持大团结大联合，巩固最广泛的爱国统一战线。防范化解风险隐患，切实维护社会和谐稳定。不断巩固拓展大统战工作格局，为全面建设社会主义现代化巴州凝聚人心和力量。</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4526EF">
            <w:pPr>
              <w:jc w:val="both"/>
            </w:pPr>
            <w:r>
              <w:rPr>
                <w:rFonts w:ascii="宋体" w:hAnsi="宋体" w:eastAsia="宋体"/>
                <w:sz w:val="16"/>
              </w:rPr>
              <w:t>2024年巴州党委统战部认真贯彻落实全国民族团结进步表彰大会和自治区党委十届十一次会议精神，坚持把有形有感有效铸牢中华民族共同体意识贯穿始终。一是指导验收自治州铸牢中华民族共同体意识示范基地10个，二是组织和硕、博湖、轮台、且末4个县市实施全国、自治区民族团结进步示范区的创建，三是积极开展统战对象活动5次，通过各项工作完成有效促进了以铸牢中华民族共同体意识为主线推进各民族广泛交往全面交流深度交融，稳步推进新疆伊斯兰教中国化，精心做好统一战线其他领域工作</w:t>
            </w:r>
            <w:r>
              <w:rPr>
                <w:rFonts w:hint="eastAsia" w:ascii="宋体" w:hAnsi="宋体"/>
                <w:sz w:val="16"/>
                <w:lang w:eastAsia="zh-CN"/>
              </w:rPr>
              <w:t>，</w:t>
            </w:r>
            <w:r>
              <w:rPr>
                <w:rFonts w:ascii="宋体" w:hAnsi="宋体" w:eastAsia="宋体"/>
                <w:sz w:val="16"/>
              </w:rPr>
              <w:t>着力解决统战工作重点难点问题，牢牢守住不发生重大风险的底线，进一步巩固和发展爱国统一战线，为全面建设社会主义现代化巴州凝聚了人心、汇聚了力量。</w:t>
            </w:r>
          </w:p>
        </w:tc>
      </w:tr>
      <w:tr w14:paraId="246635D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7F781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8B43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050D6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6ED83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B494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91AB9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21EFF">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CFB780">
            <w:pPr>
              <w:jc w:val="center"/>
            </w:pPr>
            <w:r>
              <w:rPr>
                <w:rFonts w:ascii="宋体" w:hAnsi="宋体" w:eastAsia="宋体"/>
                <w:sz w:val="16"/>
              </w:rPr>
              <w:t>得分</w:t>
            </w:r>
          </w:p>
        </w:tc>
      </w:tr>
      <w:tr w14:paraId="35817D61">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413A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5875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09DDF">
            <w:pPr>
              <w:jc w:val="center"/>
            </w:pPr>
            <w:r>
              <w:rPr>
                <w:rFonts w:ascii="宋体" w:hAnsi="宋体" w:eastAsia="宋体"/>
                <w:sz w:val="16"/>
              </w:rPr>
              <w:t>指导创建自治州铸牢中华民族共同体意识示范基地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A5286F">
            <w:pPr>
              <w:jc w:val="center"/>
            </w:pPr>
            <w:r>
              <w:rPr>
                <w:rFonts w:ascii="宋体" w:hAnsi="宋体" w:eastAsia="宋体"/>
                <w:sz w:val="16"/>
              </w:rPr>
              <w:t>&gt;=10个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D6EF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D729B5">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4A139">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83D1E7">
            <w:pPr>
              <w:jc w:val="center"/>
            </w:pPr>
            <w:r>
              <w:rPr>
                <w:rFonts w:ascii="宋体" w:hAnsi="宋体" w:eastAsia="宋体"/>
                <w:sz w:val="16"/>
              </w:rPr>
              <w:t>30</w:t>
            </w:r>
          </w:p>
        </w:tc>
      </w:tr>
      <w:tr w14:paraId="135267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5E4BA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ACD19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ADF7D5">
            <w:pPr>
              <w:jc w:val="center"/>
            </w:pPr>
            <w:r>
              <w:rPr>
                <w:rFonts w:ascii="宋体" w:hAnsi="宋体" w:eastAsia="宋体"/>
                <w:sz w:val="16"/>
              </w:rPr>
              <w:t>组织和硕、博湖、轮台、且末实施全国、自治区民族团结进步示范区创建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71D2C4">
            <w:pPr>
              <w:jc w:val="center"/>
            </w:pPr>
            <w:r>
              <w:rPr>
                <w:rFonts w:ascii="宋体" w:hAnsi="宋体" w:eastAsia="宋体"/>
                <w:sz w:val="16"/>
              </w:rPr>
              <w:t>&gt;=4个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95C66">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F613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040F53">
            <w:pPr>
              <w:jc w:val="center"/>
            </w:pPr>
            <w:r>
              <w:rPr>
                <w:rFonts w:ascii="宋体" w:hAnsi="宋体" w:eastAsia="宋体"/>
                <w:sz w:val="16"/>
              </w:rPr>
              <w:t>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4F18C9">
            <w:pPr>
              <w:jc w:val="center"/>
            </w:pPr>
            <w:r>
              <w:rPr>
                <w:rFonts w:ascii="宋体" w:hAnsi="宋体" w:eastAsia="宋体"/>
                <w:sz w:val="16"/>
              </w:rPr>
              <w:t>30</w:t>
            </w:r>
          </w:p>
        </w:tc>
      </w:tr>
      <w:tr w14:paraId="325465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58B8A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181A9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C890A">
            <w:pPr>
              <w:jc w:val="center"/>
            </w:pPr>
            <w:r>
              <w:rPr>
                <w:rFonts w:ascii="宋体" w:hAnsi="宋体" w:eastAsia="宋体"/>
                <w:sz w:val="16"/>
              </w:rPr>
              <w:t>开展统战对象座谈会或宣讲活动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9790A8">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33018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CE488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EEA59">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74230">
            <w:pPr>
              <w:jc w:val="center"/>
            </w:pPr>
            <w:r>
              <w:rPr>
                <w:rFonts w:ascii="宋体" w:hAnsi="宋体" w:eastAsia="宋体"/>
                <w:sz w:val="16"/>
              </w:rPr>
              <w:t>30</w:t>
            </w:r>
          </w:p>
        </w:tc>
      </w:tr>
    </w:tbl>
    <w:p w14:paraId="239E0F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864769D">
        <w:tblPrEx>
          <w:tblCellMar>
            <w:top w:w="0" w:type="dxa"/>
            <w:left w:w="108" w:type="dxa"/>
            <w:bottom w:w="0" w:type="dxa"/>
            <w:right w:w="108" w:type="dxa"/>
          </w:tblCellMar>
        </w:tblPrEx>
        <w:tc>
          <w:tcPr>
            <w:tcW w:w="8848" w:type="dxa"/>
            <w:gridSpan w:val="14"/>
            <w:vAlign w:val="center"/>
          </w:tcPr>
          <w:p w14:paraId="2C2E4873">
            <w:pPr>
              <w:jc w:val="center"/>
            </w:pPr>
            <w:r>
              <w:rPr>
                <w:rFonts w:ascii="宋体" w:hAnsi="宋体" w:eastAsia="宋体"/>
                <w:sz w:val="24"/>
              </w:rPr>
              <w:t>项目支出绩效自评表</w:t>
            </w:r>
          </w:p>
        </w:tc>
      </w:tr>
      <w:tr w14:paraId="33E451BC">
        <w:tblPrEx>
          <w:tblCellMar>
            <w:top w:w="0" w:type="dxa"/>
            <w:left w:w="108" w:type="dxa"/>
            <w:bottom w:w="0" w:type="dxa"/>
            <w:right w:w="108" w:type="dxa"/>
          </w:tblCellMar>
        </w:tblPrEx>
        <w:tc>
          <w:tcPr>
            <w:tcW w:w="8848" w:type="dxa"/>
            <w:gridSpan w:val="14"/>
            <w:vAlign w:val="center"/>
          </w:tcPr>
          <w:p w14:paraId="20EF1A7B">
            <w:pPr>
              <w:jc w:val="center"/>
            </w:pPr>
            <w:r>
              <w:rPr>
                <w:rFonts w:ascii="宋体" w:hAnsi="宋体" w:eastAsia="宋体"/>
                <w:sz w:val="24"/>
              </w:rPr>
              <w:t>(2024年度)</w:t>
            </w:r>
          </w:p>
        </w:tc>
      </w:tr>
      <w:tr w14:paraId="74FD9D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D4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DCCF27">
            <w:pPr>
              <w:jc w:val="center"/>
            </w:pPr>
            <w:r>
              <w:rPr>
                <w:rFonts w:ascii="宋体" w:hAnsi="宋体" w:eastAsia="宋体"/>
                <w:sz w:val="16"/>
              </w:rPr>
              <w:t>2024年慰问</w:t>
            </w:r>
          </w:p>
        </w:tc>
      </w:tr>
      <w:tr w14:paraId="61ED8A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42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558D98">
            <w:pPr>
              <w:jc w:val="center"/>
            </w:pPr>
            <w:r>
              <w:rPr>
                <w:rFonts w:ascii="宋体" w:hAnsi="宋体" w:eastAsia="宋体"/>
                <w:sz w:val="16"/>
              </w:rPr>
              <w:t>中共巴音郭楞蒙古自治州委员会统一战线工作部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1A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6BF53">
            <w:pPr>
              <w:jc w:val="center"/>
            </w:pPr>
            <w:r>
              <w:rPr>
                <w:rFonts w:ascii="宋体" w:hAnsi="宋体" w:eastAsia="宋体"/>
                <w:sz w:val="16"/>
              </w:rPr>
              <w:t>中共巴音郭楞蒙古自治州委员会统一战线工作部</w:t>
            </w:r>
          </w:p>
        </w:tc>
      </w:tr>
      <w:tr w14:paraId="279E17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6A2A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0F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369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757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0FE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FBA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137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DDE1">
            <w:pPr>
              <w:jc w:val="center"/>
            </w:pPr>
            <w:r>
              <w:rPr>
                <w:rFonts w:ascii="宋体" w:hAnsi="宋体" w:eastAsia="宋体"/>
                <w:sz w:val="16"/>
              </w:rPr>
              <w:t>得分</w:t>
            </w:r>
          </w:p>
        </w:tc>
      </w:tr>
      <w:tr w14:paraId="714B20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2E0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99D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2BFC6">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4FF6">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0CF77">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A8C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CD9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A86D">
            <w:pPr>
              <w:jc w:val="center"/>
            </w:pPr>
            <w:r>
              <w:rPr>
                <w:rFonts w:ascii="宋体" w:hAnsi="宋体" w:eastAsia="宋体"/>
                <w:sz w:val="16"/>
              </w:rPr>
              <w:t>10.00</w:t>
            </w:r>
          </w:p>
        </w:tc>
      </w:tr>
      <w:tr w14:paraId="35F8A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D7F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0CC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F2996">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C40D">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51101">
            <w:pPr>
              <w:jc w:val="center"/>
            </w:pPr>
            <w:r>
              <w:rPr>
                <w:rFonts w:ascii="宋体" w:hAnsi="宋体" w:eastAsia="宋体"/>
                <w:sz w:val="16"/>
              </w:rPr>
              <w:t>1.30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9E6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EC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0064">
            <w:pPr>
              <w:jc w:val="center"/>
            </w:pPr>
            <w:r>
              <w:rPr>
                <w:rFonts w:ascii="宋体" w:hAnsi="宋体" w:eastAsia="宋体"/>
                <w:sz w:val="16"/>
              </w:rPr>
              <w:t>-</w:t>
            </w:r>
          </w:p>
        </w:tc>
      </w:tr>
      <w:tr w14:paraId="77287C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F3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0B0EE">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649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A2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ECD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91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C1C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0E63">
            <w:pPr>
              <w:jc w:val="center"/>
            </w:pPr>
            <w:r>
              <w:rPr>
                <w:rFonts w:ascii="宋体" w:hAnsi="宋体" w:eastAsia="宋体"/>
                <w:sz w:val="16"/>
              </w:rPr>
              <w:t>-</w:t>
            </w:r>
          </w:p>
        </w:tc>
      </w:tr>
      <w:tr w14:paraId="6EE55C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D1E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A5DBD1">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4F81B0">
            <w:pPr>
              <w:jc w:val="center"/>
            </w:pPr>
            <w:r>
              <w:rPr>
                <w:rFonts w:ascii="宋体" w:hAnsi="宋体" w:eastAsia="宋体"/>
                <w:sz w:val="16"/>
              </w:rPr>
              <w:t>总体目标完成情况</w:t>
            </w:r>
          </w:p>
        </w:tc>
      </w:tr>
      <w:tr w14:paraId="6BC26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94C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AD79B">
            <w:pPr>
              <w:jc w:val="both"/>
            </w:pPr>
            <w:r>
              <w:rPr>
                <w:rFonts w:ascii="宋体" w:hAnsi="宋体" w:eastAsia="宋体"/>
                <w:sz w:val="16"/>
              </w:rPr>
              <w:t>按照州党委、政府相关要求，通过扎实做好古尔邦节慰问走访工作，慰问统战对象、爱国</w:t>
            </w:r>
            <w:r>
              <w:rPr>
                <w:rFonts w:hint="eastAsia" w:ascii="宋体" w:hAnsi="宋体"/>
                <w:sz w:val="16"/>
                <w:lang w:val="en-US" w:eastAsia="zh-CN"/>
              </w:rPr>
              <w:t>ZJ</w:t>
            </w:r>
            <w:r>
              <w:rPr>
                <w:rFonts w:ascii="宋体" w:hAnsi="宋体" w:eastAsia="宋体"/>
                <w:sz w:val="16"/>
              </w:rPr>
              <w:t>人士和民族团结进步模范共26人，每人慰问金额为500元，让统战对象、爱国</w:t>
            </w:r>
            <w:r>
              <w:rPr>
                <w:rFonts w:hint="eastAsia" w:ascii="宋体" w:hAnsi="宋体"/>
                <w:sz w:val="16"/>
                <w:lang w:val="en-US" w:eastAsia="zh-CN"/>
              </w:rPr>
              <w:t>ZJ</w:t>
            </w:r>
            <w:r>
              <w:rPr>
                <w:rFonts w:ascii="宋体" w:hAnsi="宋体" w:eastAsia="宋体"/>
                <w:sz w:val="16"/>
              </w:rPr>
              <w:t>人士和民族团结进步模范深切感受到以习近平同志为核心的党中央的关怀和温暖，达到推动群众团结一心，聚焦聚力社会稳定和长治久安的强大合力的效果。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73E2ED">
            <w:pPr>
              <w:jc w:val="both"/>
            </w:pPr>
            <w:r>
              <w:rPr>
                <w:rFonts w:ascii="宋体" w:hAnsi="宋体" w:eastAsia="宋体"/>
                <w:sz w:val="16"/>
              </w:rPr>
              <w:t>深入贯彻习近平新时代中国特色社会主义思想和</w:t>
            </w:r>
            <w:r>
              <w:rPr>
                <w:rFonts w:hint="eastAsia" w:ascii="宋体" w:hAnsi="宋体"/>
                <w:sz w:val="16"/>
                <w:lang w:eastAsia="zh-CN"/>
              </w:rPr>
              <w:t>党的二十大</w:t>
            </w:r>
            <w:r>
              <w:rPr>
                <w:rFonts w:ascii="宋体" w:hAnsi="宋体" w:eastAsia="宋体"/>
                <w:sz w:val="16"/>
              </w:rPr>
              <w:t>精神，完整准确贯彻新时代治疆方略，按照州党委、政府相关要求，通过扎实做好古尔邦节慰问走访工作，慰问统战对象、爱国</w:t>
            </w:r>
            <w:r>
              <w:rPr>
                <w:rFonts w:hint="eastAsia" w:ascii="宋体" w:hAnsi="宋体"/>
                <w:sz w:val="16"/>
                <w:lang w:val="en-US" w:eastAsia="zh-CN"/>
              </w:rPr>
              <w:t>ZJ</w:t>
            </w:r>
            <w:r>
              <w:rPr>
                <w:rFonts w:ascii="宋体" w:hAnsi="宋体" w:eastAsia="宋体"/>
                <w:sz w:val="16"/>
              </w:rPr>
              <w:t>人士和民族团结进步模范共26人，每人慰问金额为500元，让统战对象、爱国</w:t>
            </w:r>
            <w:r>
              <w:rPr>
                <w:rFonts w:hint="eastAsia" w:ascii="宋体" w:hAnsi="宋体"/>
                <w:sz w:val="16"/>
                <w:lang w:val="en-US" w:eastAsia="zh-CN"/>
              </w:rPr>
              <w:t>ZJ</w:t>
            </w:r>
            <w:r>
              <w:rPr>
                <w:rFonts w:ascii="宋体" w:hAnsi="宋体" w:eastAsia="宋体"/>
                <w:sz w:val="16"/>
              </w:rPr>
              <w:t>人士和民族团结进步模范深切感受到以习近平同志为核心的党中央的关怀和温暖，达到推动群众团结一心，聚焦聚力社会稳定和长治久安的强大合力的效果。</w:t>
            </w:r>
          </w:p>
        </w:tc>
      </w:tr>
      <w:tr w14:paraId="30F4DA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8F1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6A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D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01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143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9B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89F7">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F5A0">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B2A1">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93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E62F">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EC9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797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D832">
            <w:pPr>
              <w:jc w:val="center"/>
            </w:pPr>
            <w:r>
              <w:rPr>
                <w:rFonts w:ascii="宋体" w:hAnsi="宋体" w:eastAsia="宋体"/>
                <w:sz w:val="16"/>
              </w:rPr>
              <w:t>偏差原因分析及改进措施</w:t>
            </w:r>
          </w:p>
        </w:tc>
      </w:tr>
      <w:tr w14:paraId="2B70EC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1D6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311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B6F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7047">
            <w:pPr>
              <w:jc w:val="center"/>
            </w:pPr>
            <w:r>
              <w:rPr>
                <w:rFonts w:ascii="宋体" w:hAnsi="宋体" w:eastAsia="宋体"/>
                <w:sz w:val="16"/>
              </w:rPr>
              <w:t>发放慰问金人数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361B">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2E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5A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5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6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9E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F030">
            <w:pPr>
              <w:jc w:val="center"/>
            </w:pPr>
            <w:r>
              <w:rPr>
                <w:rFonts w:ascii="宋体" w:hAnsi="宋体" w:eastAsia="宋体"/>
                <w:sz w:val="16"/>
              </w:rPr>
              <w:t>=26人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CB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D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5B86">
            <w:pPr>
              <w:jc w:val="center"/>
            </w:pPr>
          </w:p>
        </w:tc>
      </w:tr>
      <w:tr w14:paraId="7624B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44A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E86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C3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558B">
            <w:pPr>
              <w:jc w:val="center"/>
            </w:pPr>
            <w:r>
              <w:rPr>
                <w:rFonts w:ascii="宋体" w:hAnsi="宋体" w:eastAsia="宋体"/>
                <w:sz w:val="16"/>
              </w:rPr>
              <w:t>发放慰问金次数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44E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7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7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6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39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5A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5A2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A0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4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B971">
            <w:pPr>
              <w:jc w:val="center"/>
            </w:pPr>
          </w:p>
        </w:tc>
      </w:tr>
      <w:tr w14:paraId="58641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96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802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13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10DB">
            <w:pPr>
              <w:jc w:val="center"/>
            </w:pPr>
            <w:r>
              <w:rPr>
                <w:rFonts w:ascii="宋体" w:hAnsi="宋体" w:eastAsia="宋体"/>
                <w:sz w:val="16"/>
              </w:rPr>
              <w:t>慰问金发放保障率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9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14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F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8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B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E0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AC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5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EA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DD9A">
            <w:pPr>
              <w:jc w:val="center"/>
            </w:pPr>
          </w:p>
        </w:tc>
      </w:tr>
      <w:tr w14:paraId="428DC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82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01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07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90F0">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BF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2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49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5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9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D3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3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E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C4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2E79">
            <w:pPr>
              <w:jc w:val="center"/>
            </w:pPr>
          </w:p>
        </w:tc>
      </w:tr>
      <w:tr w14:paraId="4E3A6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CB7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C1A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9F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DAEA">
            <w:pPr>
              <w:jc w:val="center"/>
            </w:pPr>
            <w:r>
              <w:rPr>
                <w:rFonts w:ascii="宋体" w:hAnsi="宋体" w:eastAsia="宋体"/>
                <w:sz w:val="16"/>
              </w:rPr>
              <w:t>每次慰问金额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0EB3">
            <w:pPr>
              <w:jc w:val="center"/>
            </w:pPr>
            <w:r>
              <w:rPr>
                <w:rFonts w:ascii="宋体" w:hAnsi="宋体" w:eastAsia="宋体"/>
                <w:sz w:val="16"/>
              </w:rPr>
              <w:t>&lt;=500元/人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E5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BC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E0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02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516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9FC1">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B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55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8406">
            <w:pPr>
              <w:jc w:val="center"/>
            </w:pPr>
          </w:p>
        </w:tc>
      </w:tr>
      <w:tr w14:paraId="0B77A6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54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3D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11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65B8">
            <w:pPr>
              <w:jc w:val="center"/>
            </w:pPr>
            <w:r>
              <w:rPr>
                <w:rFonts w:ascii="宋体" w:hAnsi="宋体" w:eastAsia="宋体"/>
                <w:sz w:val="16"/>
              </w:rPr>
              <w:t>提高群众生活水平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6A5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8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5A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2F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CC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D7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19C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55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16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3683">
            <w:pPr>
              <w:jc w:val="center"/>
            </w:pPr>
          </w:p>
        </w:tc>
      </w:tr>
      <w:tr w14:paraId="088B3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BB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AE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07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CE61">
            <w:pPr>
              <w:jc w:val="center"/>
            </w:pPr>
            <w:r>
              <w:rPr>
                <w:rFonts w:ascii="宋体" w:hAnsi="宋体" w:eastAsia="宋体"/>
                <w:sz w:val="16"/>
              </w:rPr>
              <w:t>慰问人员满意度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6F8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A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11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1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09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9A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D95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1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A2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E6AA">
            <w:pPr>
              <w:jc w:val="center"/>
            </w:pPr>
            <w:r>
              <w:rPr>
                <w:rFonts w:ascii="宋体" w:hAnsi="宋体" w:eastAsia="宋体"/>
                <w:sz w:val="16"/>
              </w:rPr>
              <w:t>项目指标设置有所保留，超额完成。</w:t>
            </w:r>
          </w:p>
        </w:tc>
      </w:tr>
      <w:tr w14:paraId="62E172C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14E63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716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A347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8D3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0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061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81C2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6BB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65E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2F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EEC349"/>
        </w:tc>
      </w:tr>
    </w:tbl>
    <w:p w14:paraId="6E0132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60A5CF2E">
        <w:tc>
          <w:tcPr>
            <w:tcW w:w="8848" w:type="dxa"/>
            <w:gridSpan w:val="14"/>
            <w:vAlign w:val="center"/>
          </w:tcPr>
          <w:p w14:paraId="2736ECCC">
            <w:pPr>
              <w:jc w:val="center"/>
            </w:pPr>
            <w:r>
              <w:rPr>
                <w:rFonts w:ascii="宋体" w:hAnsi="宋体" w:eastAsia="宋体"/>
                <w:sz w:val="24"/>
              </w:rPr>
              <w:t>项目支出绩效自评表</w:t>
            </w:r>
          </w:p>
        </w:tc>
      </w:tr>
      <w:tr w14:paraId="4AED9E3D">
        <w:tblPrEx>
          <w:tblCellMar>
            <w:top w:w="0" w:type="dxa"/>
            <w:left w:w="108" w:type="dxa"/>
            <w:bottom w:w="0" w:type="dxa"/>
            <w:right w:w="108" w:type="dxa"/>
          </w:tblCellMar>
        </w:tblPrEx>
        <w:tc>
          <w:tcPr>
            <w:tcW w:w="8848" w:type="dxa"/>
            <w:gridSpan w:val="14"/>
            <w:vAlign w:val="center"/>
          </w:tcPr>
          <w:p w14:paraId="7D61B78C">
            <w:pPr>
              <w:jc w:val="center"/>
            </w:pPr>
            <w:r>
              <w:rPr>
                <w:rFonts w:ascii="宋体" w:hAnsi="宋体" w:eastAsia="宋体"/>
                <w:sz w:val="24"/>
              </w:rPr>
              <w:t>(2024年度)</w:t>
            </w:r>
          </w:p>
        </w:tc>
      </w:tr>
      <w:tr w14:paraId="146D55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53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8BCAD5">
            <w:pPr>
              <w:jc w:val="center"/>
            </w:pPr>
            <w:r>
              <w:rPr>
                <w:rFonts w:ascii="宋体" w:hAnsi="宋体" w:eastAsia="宋体"/>
                <w:sz w:val="16"/>
              </w:rPr>
              <w:t>2024年春节慰问</w:t>
            </w:r>
          </w:p>
        </w:tc>
      </w:tr>
      <w:tr w14:paraId="6B23BA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D1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00A97">
            <w:pPr>
              <w:jc w:val="center"/>
            </w:pPr>
            <w:r>
              <w:rPr>
                <w:rFonts w:ascii="宋体" w:hAnsi="宋体" w:eastAsia="宋体"/>
                <w:sz w:val="16"/>
              </w:rPr>
              <w:t>中共巴音郭楞蒙古自治州委员会统一战线工作部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90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B0250B">
            <w:pPr>
              <w:jc w:val="center"/>
            </w:pPr>
            <w:r>
              <w:rPr>
                <w:rFonts w:ascii="宋体" w:hAnsi="宋体" w:eastAsia="宋体"/>
                <w:sz w:val="16"/>
              </w:rPr>
              <w:t>中共巴音郭楞蒙古自治州委员会统一战线工作部</w:t>
            </w:r>
          </w:p>
        </w:tc>
      </w:tr>
      <w:tr w14:paraId="509031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0F4C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586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AAC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E20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71E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14874">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73B3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C743">
            <w:pPr>
              <w:jc w:val="center"/>
            </w:pPr>
            <w:r>
              <w:rPr>
                <w:rFonts w:ascii="宋体" w:hAnsi="宋体" w:eastAsia="宋体"/>
                <w:sz w:val="16"/>
              </w:rPr>
              <w:t>得分</w:t>
            </w:r>
          </w:p>
        </w:tc>
      </w:tr>
      <w:tr w14:paraId="0DB010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F8B0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62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A4C32">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D35EF">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73578">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7E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038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7D99">
            <w:pPr>
              <w:jc w:val="center"/>
            </w:pPr>
            <w:r>
              <w:rPr>
                <w:rFonts w:ascii="宋体" w:hAnsi="宋体" w:eastAsia="宋体"/>
                <w:sz w:val="16"/>
              </w:rPr>
              <w:t>10.00</w:t>
            </w:r>
          </w:p>
        </w:tc>
      </w:tr>
      <w:tr w14:paraId="229EE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8A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65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8FFB6">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AE77">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B4D16">
            <w:pPr>
              <w:jc w:val="center"/>
            </w:pPr>
            <w:r>
              <w:rPr>
                <w:rFonts w:ascii="宋体" w:hAnsi="宋体" w:eastAsia="宋体"/>
                <w:sz w:val="16"/>
              </w:rPr>
              <w:t>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31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13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D3E1">
            <w:pPr>
              <w:jc w:val="center"/>
            </w:pPr>
            <w:r>
              <w:rPr>
                <w:rFonts w:ascii="宋体" w:hAnsi="宋体" w:eastAsia="宋体"/>
                <w:sz w:val="16"/>
              </w:rPr>
              <w:t>-</w:t>
            </w:r>
          </w:p>
        </w:tc>
      </w:tr>
      <w:tr w14:paraId="7D006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20F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6590B">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EF8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7F7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3C6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EA0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F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51A8">
            <w:pPr>
              <w:jc w:val="center"/>
            </w:pPr>
            <w:r>
              <w:rPr>
                <w:rFonts w:ascii="宋体" w:hAnsi="宋体" w:eastAsia="宋体"/>
                <w:sz w:val="16"/>
              </w:rPr>
              <w:t>-</w:t>
            </w:r>
          </w:p>
        </w:tc>
      </w:tr>
      <w:tr w14:paraId="4EEC6C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817B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AC23B">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91A737">
            <w:pPr>
              <w:jc w:val="center"/>
            </w:pPr>
            <w:r>
              <w:rPr>
                <w:rFonts w:ascii="宋体" w:hAnsi="宋体" w:eastAsia="宋体"/>
                <w:sz w:val="16"/>
              </w:rPr>
              <w:t>总体目标完成情况</w:t>
            </w:r>
          </w:p>
        </w:tc>
      </w:tr>
      <w:tr w14:paraId="1E7F6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CC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57961">
            <w:pPr>
              <w:jc w:val="both"/>
            </w:pPr>
            <w:r>
              <w:rPr>
                <w:rFonts w:ascii="宋体" w:hAnsi="宋体" w:eastAsia="宋体"/>
                <w:sz w:val="16"/>
              </w:rPr>
              <w:t>按照州党委、政府相关要求，扎实做好春节慰问走访工作，慰问统一战线成员和爱国</w:t>
            </w:r>
            <w:r>
              <w:rPr>
                <w:rFonts w:hint="eastAsia" w:ascii="宋体" w:hAnsi="宋体"/>
                <w:sz w:val="16"/>
                <w:lang w:val="en-US" w:eastAsia="zh-CN"/>
              </w:rPr>
              <w:t>ZJ</w:t>
            </w:r>
            <w:r>
              <w:rPr>
                <w:rFonts w:ascii="宋体" w:hAnsi="宋体" w:eastAsia="宋体"/>
                <w:sz w:val="16"/>
              </w:rPr>
              <w:t>人士共13人次，让统战对象和爱国</w:t>
            </w:r>
            <w:r>
              <w:rPr>
                <w:rFonts w:hint="eastAsia" w:ascii="宋体" w:hAnsi="宋体"/>
                <w:sz w:val="16"/>
                <w:lang w:val="en-US" w:eastAsia="zh-CN"/>
              </w:rPr>
              <w:t>ZJ</w:t>
            </w:r>
            <w:r>
              <w:rPr>
                <w:rFonts w:ascii="宋体" w:hAnsi="宋体" w:eastAsia="宋体"/>
                <w:sz w:val="16"/>
              </w:rPr>
              <w:t>人士深切感受到以习近平同志为核心的党中央的关怀和温暖，推动群众团结一心，聚焦聚力社会稳定和长治久安的强大合力。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D6FC71">
            <w:pPr>
              <w:jc w:val="both"/>
            </w:pPr>
            <w:r>
              <w:rPr>
                <w:rFonts w:ascii="宋体" w:hAnsi="宋体" w:eastAsia="宋体"/>
                <w:sz w:val="16"/>
              </w:rPr>
              <w:t>深入贯彻习近平新时代中国特色社会主义思想和</w:t>
            </w:r>
            <w:r>
              <w:rPr>
                <w:rFonts w:hint="eastAsia" w:ascii="宋体" w:hAnsi="宋体"/>
                <w:sz w:val="16"/>
                <w:lang w:eastAsia="zh-CN"/>
              </w:rPr>
              <w:t>党的二十大</w:t>
            </w:r>
            <w:r>
              <w:rPr>
                <w:rFonts w:ascii="宋体" w:hAnsi="宋体" w:eastAsia="宋体"/>
                <w:sz w:val="16"/>
              </w:rPr>
              <w:t>精神，完整准确贯彻新时代治疆方略，按照州党委、政府相关要求，扎实做好春节慰问走访工作，让统战对象和爱国人士深切感受到以习近平同志为核心的党中央的关怀和温暖，推动群众团结一心，已慰问统战对象13人次，慰问金额每人500元，群众生活水平有所提高。</w:t>
            </w:r>
          </w:p>
        </w:tc>
      </w:tr>
      <w:tr w14:paraId="259D2A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353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0B5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36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54C5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80BA">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ED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25D6">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980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7A45">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31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E894">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484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8BC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2A88">
            <w:pPr>
              <w:jc w:val="center"/>
            </w:pPr>
            <w:r>
              <w:rPr>
                <w:rFonts w:ascii="宋体" w:hAnsi="宋体" w:eastAsia="宋体"/>
                <w:sz w:val="16"/>
              </w:rPr>
              <w:t>偏差原因分析及改进措施</w:t>
            </w:r>
          </w:p>
        </w:tc>
      </w:tr>
      <w:tr w14:paraId="10162A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471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88D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C1F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211A">
            <w:pPr>
              <w:jc w:val="center"/>
            </w:pPr>
            <w:r>
              <w:rPr>
                <w:rFonts w:ascii="宋体" w:hAnsi="宋体" w:eastAsia="宋体"/>
                <w:sz w:val="16"/>
              </w:rPr>
              <w:t>发放慰问金人数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8328">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0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5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27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E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26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1176">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C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1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1F5C">
            <w:pPr>
              <w:jc w:val="center"/>
            </w:pPr>
          </w:p>
        </w:tc>
      </w:tr>
      <w:tr w14:paraId="36B9C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72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E4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C4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9E4A">
            <w:pPr>
              <w:jc w:val="center"/>
            </w:pPr>
            <w:r>
              <w:rPr>
                <w:rFonts w:ascii="宋体" w:hAnsi="宋体" w:eastAsia="宋体"/>
                <w:sz w:val="16"/>
              </w:rPr>
              <w:t>发放慰问金次数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A93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B1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A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E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7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85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B3B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4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84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DFA6">
            <w:pPr>
              <w:jc w:val="center"/>
            </w:pPr>
          </w:p>
        </w:tc>
      </w:tr>
      <w:tr w14:paraId="1E5EC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D6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D11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CC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CE3B">
            <w:pPr>
              <w:jc w:val="center"/>
            </w:pPr>
            <w:r>
              <w:rPr>
                <w:rFonts w:ascii="宋体" w:hAnsi="宋体" w:eastAsia="宋体"/>
                <w:sz w:val="16"/>
              </w:rPr>
              <w:t>慰问金发放保障率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B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0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00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1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6C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82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CD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A4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1E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8053">
            <w:pPr>
              <w:jc w:val="center"/>
            </w:pPr>
          </w:p>
        </w:tc>
      </w:tr>
      <w:tr w14:paraId="4CD8D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80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AC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07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AA34">
            <w:pPr>
              <w:jc w:val="center"/>
            </w:pPr>
            <w:r>
              <w:rPr>
                <w:rFonts w:ascii="宋体" w:hAnsi="宋体" w:eastAsia="宋体"/>
                <w:sz w:val="16"/>
              </w:rPr>
              <w:t>慰问金发放及时率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D0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B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08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E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EB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C0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ED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C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2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44C4">
            <w:pPr>
              <w:jc w:val="center"/>
            </w:pPr>
          </w:p>
        </w:tc>
      </w:tr>
      <w:tr w14:paraId="58A00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07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EF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E9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1DAE">
            <w:pPr>
              <w:jc w:val="center"/>
            </w:pPr>
            <w:r>
              <w:rPr>
                <w:rFonts w:ascii="宋体" w:hAnsi="宋体" w:eastAsia="宋体"/>
                <w:sz w:val="16"/>
              </w:rPr>
              <w:t>每次慰问金额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0CFB">
            <w:pPr>
              <w:jc w:val="center"/>
            </w:pPr>
            <w:r>
              <w:rPr>
                <w:rFonts w:ascii="宋体" w:hAnsi="宋体" w:eastAsia="宋体"/>
                <w:sz w:val="16"/>
              </w:rPr>
              <w:t>&lt;=500元/人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AE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07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9D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3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31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9945">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A7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A5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F7334">
            <w:pPr>
              <w:jc w:val="center"/>
            </w:pPr>
          </w:p>
        </w:tc>
      </w:tr>
      <w:tr w14:paraId="71611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D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95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E1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06B7">
            <w:pPr>
              <w:jc w:val="center"/>
            </w:pPr>
            <w:r>
              <w:rPr>
                <w:rFonts w:ascii="宋体" w:hAnsi="宋体" w:eastAsia="宋体"/>
                <w:sz w:val="16"/>
              </w:rPr>
              <w:t>提高群众生活水平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CD9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9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12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D4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5F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F1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D1AA">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5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45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07FF">
            <w:pPr>
              <w:jc w:val="center"/>
            </w:pPr>
          </w:p>
        </w:tc>
      </w:tr>
      <w:tr w14:paraId="4389C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2A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0B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EC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1832">
            <w:pPr>
              <w:jc w:val="center"/>
            </w:pPr>
            <w:r>
              <w:rPr>
                <w:rFonts w:ascii="宋体" w:hAnsi="宋体" w:eastAsia="宋体"/>
                <w:sz w:val="16"/>
              </w:rPr>
              <w:t>慰问人员满意度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D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5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D8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4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F1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B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4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2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7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3B88">
            <w:pPr>
              <w:jc w:val="center"/>
            </w:pPr>
          </w:p>
        </w:tc>
      </w:tr>
      <w:tr w14:paraId="05445B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146E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FA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1015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7A3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9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5928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C17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71D0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4D8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A44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27730"/>
        </w:tc>
      </w:tr>
    </w:tbl>
    <w:p w14:paraId="489E2F4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96"/>
        <w:gridCol w:w="632"/>
        <w:gridCol w:w="632"/>
      </w:tblGrid>
      <w:tr w14:paraId="030F1809">
        <w:tblPrEx>
          <w:tblCellMar>
            <w:top w:w="0" w:type="dxa"/>
            <w:left w:w="108" w:type="dxa"/>
            <w:bottom w:w="0" w:type="dxa"/>
            <w:right w:w="108" w:type="dxa"/>
          </w:tblCellMar>
        </w:tblPrEx>
        <w:tc>
          <w:tcPr>
            <w:tcW w:w="8848" w:type="dxa"/>
            <w:gridSpan w:val="14"/>
            <w:vAlign w:val="center"/>
          </w:tcPr>
          <w:p w14:paraId="707CDC27">
            <w:pPr>
              <w:jc w:val="center"/>
            </w:pPr>
            <w:r>
              <w:rPr>
                <w:rFonts w:ascii="宋体" w:hAnsi="宋体" w:eastAsia="宋体"/>
                <w:sz w:val="24"/>
              </w:rPr>
              <w:t>项目支出绩效自评表</w:t>
            </w:r>
          </w:p>
        </w:tc>
      </w:tr>
      <w:tr w14:paraId="2D44664F">
        <w:tblPrEx>
          <w:tblCellMar>
            <w:top w:w="0" w:type="dxa"/>
            <w:left w:w="108" w:type="dxa"/>
            <w:bottom w:w="0" w:type="dxa"/>
            <w:right w:w="108" w:type="dxa"/>
          </w:tblCellMar>
        </w:tblPrEx>
        <w:tc>
          <w:tcPr>
            <w:tcW w:w="8848" w:type="dxa"/>
            <w:gridSpan w:val="14"/>
            <w:vAlign w:val="center"/>
          </w:tcPr>
          <w:p w14:paraId="05DC6026">
            <w:pPr>
              <w:jc w:val="center"/>
            </w:pPr>
            <w:r>
              <w:rPr>
                <w:rFonts w:ascii="宋体" w:hAnsi="宋体" w:eastAsia="宋体"/>
                <w:sz w:val="24"/>
              </w:rPr>
              <w:t>(2024年度)</w:t>
            </w:r>
          </w:p>
        </w:tc>
      </w:tr>
      <w:tr w14:paraId="1A5E2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2B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2F48E2">
            <w:pPr>
              <w:jc w:val="center"/>
            </w:pPr>
            <w:r>
              <w:rPr>
                <w:rFonts w:ascii="宋体" w:hAnsi="宋体" w:eastAsia="宋体"/>
                <w:sz w:val="16"/>
              </w:rPr>
              <w:t>统战部民族团结一家亲</w:t>
            </w:r>
          </w:p>
        </w:tc>
      </w:tr>
      <w:tr w14:paraId="48AD07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12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BCE2F8">
            <w:pPr>
              <w:jc w:val="center"/>
            </w:pPr>
            <w:r>
              <w:rPr>
                <w:rFonts w:ascii="宋体" w:hAnsi="宋体" w:eastAsia="宋体"/>
                <w:sz w:val="16"/>
              </w:rPr>
              <w:t>中共巴音郭楞蒙古自治州委员会统一战线工作部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62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2EA6D">
            <w:pPr>
              <w:jc w:val="center"/>
            </w:pPr>
            <w:r>
              <w:rPr>
                <w:rFonts w:ascii="宋体" w:hAnsi="宋体" w:eastAsia="宋体"/>
                <w:sz w:val="16"/>
              </w:rPr>
              <w:t>中共巴音郭楞蒙古自治州委员会统一战线工作部</w:t>
            </w:r>
          </w:p>
        </w:tc>
      </w:tr>
      <w:tr w14:paraId="1365A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3175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41D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AF7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F8E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5AE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47B92">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801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BDD4">
            <w:pPr>
              <w:jc w:val="center"/>
            </w:pPr>
            <w:r>
              <w:rPr>
                <w:rFonts w:ascii="宋体" w:hAnsi="宋体" w:eastAsia="宋体"/>
                <w:sz w:val="16"/>
              </w:rPr>
              <w:t>得分</w:t>
            </w:r>
          </w:p>
        </w:tc>
      </w:tr>
      <w:tr w14:paraId="036925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1241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09C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02886">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4009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B2729">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65C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48C28">
            <w:pPr>
              <w:jc w:val="center"/>
            </w:pPr>
            <w:r>
              <w:rPr>
                <w:rFonts w:ascii="宋体" w:hAnsi="宋体" w:eastAsia="宋体"/>
                <w:sz w:val="16"/>
              </w:rPr>
              <w:t>95.50%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1AEA">
            <w:pPr>
              <w:jc w:val="center"/>
            </w:pPr>
            <w:r>
              <w:rPr>
                <w:rFonts w:ascii="宋体" w:hAnsi="宋体" w:eastAsia="宋体"/>
                <w:sz w:val="16"/>
              </w:rPr>
              <w:t>8.88</w:t>
            </w:r>
          </w:p>
        </w:tc>
      </w:tr>
      <w:tr w14:paraId="46CB7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806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6EF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27CF2">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988DA">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8F330">
            <w:pPr>
              <w:jc w:val="center"/>
            </w:pPr>
            <w:r>
              <w:rPr>
                <w:rFonts w:ascii="宋体" w:hAnsi="宋体" w:eastAsia="宋体"/>
                <w:sz w:val="16"/>
              </w:rPr>
              <w:t>13.37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0DB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7F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EC79">
            <w:pPr>
              <w:jc w:val="center"/>
            </w:pPr>
            <w:r>
              <w:rPr>
                <w:rFonts w:ascii="宋体" w:hAnsi="宋体" w:eastAsia="宋体"/>
                <w:sz w:val="16"/>
              </w:rPr>
              <w:t>-</w:t>
            </w:r>
          </w:p>
        </w:tc>
      </w:tr>
      <w:tr w14:paraId="33ECC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A64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E5D83">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17E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B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53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20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F1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971E">
            <w:pPr>
              <w:jc w:val="center"/>
            </w:pPr>
            <w:r>
              <w:rPr>
                <w:rFonts w:ascii="宋体" w:hAnsi="宋体" w:eastAsia="宋体"/>
                <w:sz w:val="16"/>
              </w:rPr>
              <w:t>-</w:t>
            </w:r>
          </w:p>
        </w:tc>
      </w:tr>
      <w:tr w14:paraId="156840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03A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88AC25">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210EC">
            <w:pPr>
              <w:jc w:val="center"/>
            </w:pPr>
            <w:r>
              <w:rPr>
                <w:rFonts w:ascii="宋体" w:hAnsi="宋体" w:eastAsia="宋体"/>
                <w:sz w:val="16"/>
              </w:rPr>
              <w:t>总体目标完成情况</w:t>
            </w:r>
          </w:p>
        </w:tc>
      </w:tr>
      <w:tr w14:paraId="1337F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540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CE69B">
            <w:pPr>
              <w:jc w:val="both"/>
            </w:pPr>
            <w:r>
              <w:rPr>
                <w:rFonts w:ascii="宋体" w:hAnsi="宋体" w:eastAsia="宋体"/>
                <w:sz w:val="16"/>
              </w:rPr>
              <w:t>为深入贯彻落实中央民族工作会议和习近平总书记听取自治区和兵团工作汇报的重要讲话精神，巩固全国民族团结进步示范州创建成果，开展好自治州民族团结进步教育月活动，更加有形有感有效铸牢中华民族共同体意识，召开自治州民族团结进步教育月动员大会1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93298">
            <w:pPr>
              <w:jc w:val="both"/>
            </w:pPr>
            <w:r>
              <w:rPr>
                <w:rFonts w:ascii="宋体" w:hAnsi="宋体" w:eastAsia="宋体"/>
                <w:sz w:val="16"/>
              </w:rPr>
              <w:t>深入贯彻习近平新时代中国特色社会主义思想和</w:t>
            </w:r>
            <w:r>
              <w:rPr>
                <w:rFonts w:hint="eastAsia" w:ascii="宋体" w:hAnsi="宋体"/>
                <w:sz w:val="16"/>
                <w:lang w:eastAsia="zh-CN"/>
              </w:rPr>
              <w:t>党的二十大</w:t>
            </w:r>
            <w:r>
              <w:rPr>
                <w:rFonts w:ascii="宋体" w:hAnsi="宋体" w:eastAsia="宋体"/>
                <w:sz w:val="16"/>
              </w:rPr>
              <w:t>精神，完整准确贯彻新时代治疆方略，落实中央民族工作会议和习近平总书记听取自治区和兵团工作汇报的重要讲话精神，巩固全国民族团结进步示范州创建成果，开展好自治州民族团结进步教育月活动，更加有形有感有效铸牢中华民族共同体意识，在4月26日成功召开自治州民族团结进步教育月动员大会1次。</w:t>
            </w:r>
          </w:p>
        </w:tc>
      </w:tr>
      <w:tr w14:paraId="3168FD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70F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C7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1D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7C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D548E">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9B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250E">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A0DC">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72DF">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94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EBE53">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2D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463A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5168">
            <w:pPr>
              <w:jc w:val="center"/>
            </w:pPr>
            <w:r>
              <w:rPr>
                <w:rFonts w:ascii="宋体" w:hAnsi="宋体" w:eastAsia="宋体"/>
                <w:sz w:val="16"/>
              </w:rPr>
              <w:t>偏差原因分析及改进措施</w:t>
            </w:r>
          </w:p>
        </w:tc>
      </w:tr>
      <w:tr w14:paraId="46E4E1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646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97F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E4B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4A40">
            <w:pPr>
              <w:jc w:val="center"/>
            </w:pPr>
            <w:r>
              <w:rPr>
                <w:rFonts w:ascii="宋体" w:hAnsi="宋体" w:eastAsia="宋体"/>
                <w:sz w:val="16"/>
              </w:rPr>
              <w:t>会议次数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384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38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3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FD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C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6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963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3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11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AC39">
            <w:pPr>
              <w:jc w:val="center"/>
            </w:pPr>
          </w:p>
        </w:tc>
      </w:tr>
      <w:tr w14:paraId="70055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ED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10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5E8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472B">
            <w:pPr>
              <w:jc w:val="center"/>
            </w:pPr>
            <w:r>
              <w:rPr>
                <w:rFonts w:ascii="宋体" w:hAnsi="宋体" w:eastAsia="宋体"/>
                <w:sz w:val="16"/>
              </w:rPr>
              <w:t>参会人数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4035">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D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C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B3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7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3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25D7">
            <w:pPr>
              <w:jc w:val="center"/>
            </w:pPr>
            <w:r>
              <w:rPr>
                <w:rFonts w:ascii="宋体" w:hAnsi="宋体" w:eastAsia="宋体"/>
                <w:sz w:val="16"/>
              </w:rPr>
              <w:t>=167人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4B64">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1862">
            <w:pPr>
              <w:jc w:val="center"/>
            </w:pPr>
            <w:r>
              <w:rPr>
                <w:rFonts w:ascii="宋体" w:hAnsi="宋体" w:eastAsia="宋体"/>
                <w:sz w:val="16"/>
              </w:rPr>
              <w:t>2.35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084A">
            <w:pPr>
              <w:jc w:val="center"/>
            </w:pPr>
            <w:r>
              <w:rPr>
                <w:rFonts w:ascii="宋体" w:hAnsi="宋体" w:eastAsia="宋体"/>
                <w:sz w:val="16"/>
              </w:rPr>
              <w:t>原因：由于工作原因部分人员未到现场参会</w:t>
            </w:r>
            <w:r>
              <w:rPr>
                <w:rFonts w:hint="eastAsia" w:ascii="宋体" w:hAnsi="宋体"/>
                <w:sz w:val="16"/>
                <w:lang w:eastAsia="zh-CN"/>
              </w:rPr>
              <w:t>。</w:t>
            </w:r>
            <w:r>
              <w:rPr>
                <w:rFonts w:ascii="宋体" w:hAnsi="宋体" w:eastAsia="宋体"/>
                <w:sz w:val="16"/>
              </w:rPr>
              <w:t>措施：及时</w:t>
            </w:r>
            <w:r>
              <w:rPr>
                <w:rFonts w:hint="eastAsia" w:ascii="宋体" w:hAnsi="宋体"/>
                <w:sz w:val="16"/>
                <w:lang w:eastAsia="zh-CN"/>
              </w:rPr>
              <w:t>通知</w:t>
            </w:r>
            <w:r>
              <w:rPr>
                <w:rFonts w:ascii="宋体" w:hAnsi="宋体" w:eastAsia="宋体"/>
                <w:sz w:val="16"/>
              </w:rPr>
              <w:t>参会人员，会前准备更加到位</w:t>
            </w:r>
          </w:p>
        </w:tc>
      </w:tr>
      <w:tr w14:paraId="5FFEC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C7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89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5A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1A3D">
            <w:pPr>
              <w:jc w:val="center"/>
            </w:pPr>
            <w:r>
              <w:rPr>
                <w:rFonts w:ascii="宋体" w:hAnsi="宋体" w:eastAsia="宋体"/>
                <w:sz w:val="16"/>
              </w:rPr>
              <w:t>会议天数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4AF4">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C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F7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1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8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5E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3F62F">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47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A4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3630">
            <w:pPr>
              <w:jc w:val="center"/>
            </w:pPr>
          </w:p>
        </w:tc>
      </w:tr>
      <w:tr w14:paraId="024E7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0B8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6C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5B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BC9B">
            <w:pPr>
              <w:jc w:val="center"/>
            </w:pPr>
            <w:r>
              <w:rPr>
                <w:rFonts w:ascii="宋体" w:hAnsi="宋体" w:eastAsia="宋体"/>
                <w:sz w:val="16"/>
              </w:rPr>
              <w:t>会议出勤率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A2B7B">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D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6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843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7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5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BB62">
            <w:pPr>
              <w:jc w:val="center"/>
            </w:pPr>
            <w:r>
              <w:rPr>
                <w:rFonts w:ascii="宋体" w:hAnsi="宋体" w:eastAsia="宋体"/>
                <w:sz w:val="16"/>
              </w:rPr>
              <w:t>=83.5%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DF57">
            <w:pPr>
              <w:jc w:val="center"/>
            </w:pPr>
            <w:r>
              <w:rPr>
                <w:rFonts w:ascii="宋体" w:hAnsi="宋体" w:eastAsia="宋体"/>
                <w:sz w:val="16"/>
              </w:rPr>
              <w:t>98.23%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CE22">
            <w:pPr>
              <w:jc w:val="center"/>
            </w:pPr>
            <w:r>
              <w:rPr>
                <w:rFonts w:ascii="宋体" w:hAnsi="宋体" w:eastAsia="宋体"/>
                <w:sz w:val="16"/>
              </w:rPr>
              <w:t>5.73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662B">
            <w:pPr>
              <w:jc w:val="center"/>
            </w:pPr>
            <w:r>
              <w:rPr>
                <w:rFonts w:ascii="宋体" w:hAnsi="宋体" w:eastAsia="宋体"/>
                <w:sz w:val="16"/>
              </w:rPr>
              <w:t>原因：由于工作原因部分人员未到现场参会。措施：及时</w:t>
            </w:r>
            <w:r>
              <w:rPr>
                <w:rFonts w:hint="eastAsia" w:ascii="宋体" w:hAnsi="宋体"/>
                <w:sz w:val="16"/>
                <w:lang w:eastAsia="zh-CN"/>
              </w:rPr>
              <w:t>通知</w:t>
            </w:r>
            <w:r>
              <w:rPr>
                <w:rFonts w:ascii="宋体" w:hAnsi="宋体" w:eastAsia="宋体"/>
                <w:sz w:val="16"/>
              </w:rPr>
              <w:t>参会人员，会前准备更加到位</w:t>
            </w:r>
          </w:p>
        </w:tc>
      </w:tr>
      <w:tr w14:paraId="083BA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C9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D2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B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86D5">
            <w:pPr>
              <w:jc w:val="center"/>
            </w:pPr>
            <w:r>
              <w:rPr>
                <w:rFonts w:ascii="宋体" w:hAnsi="宋体" w:eastAsia="宋体"/>
                <w:sz w:val="16"/>
              </w:rPr>
              <w:t>会议按期完成率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41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97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90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08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E7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E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0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7A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33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C2DC">
            <w:pPr>
              <w:jc w:val="center"/>
            </w:pPr>
          </w:p>
        </w:tc>
      </w:tr>
      <w:tr w14:paraId="1AA88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F4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05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A2D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5D6C">
            <w:pPr>
              <w:jc w:val="center"/>
            </w:pPr>
            <w:r>
              <w:rPr>
                <w:rFonts w:ascii="宋体" w:hAnsi="宋体" w:eastAsia="宋体"/>
                <w:sz w:val="16"/>
              </w:rPr>
              <w:t>会议人均支出标准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107F">
            <w:pPr>
              <w:jc w:val="center"/>
            </w:pPr>
            <w:r>
              <w:rPr>
                <w:rFonts w:ascii="宋体" w:hAnsi="宋体" w:eastAsia="宋体"/>
                <w:sz w:val="16"/>
              </w:rPr>
              <w:t>&lt;=700元/人</w:t>
            </w:r>
            <w:r>
              <w:rPr>
                <w:rFonts w:hint="eastAsia" w:ascii="宋体" w:hAnsi="宋体"/>
                <w:sz w:val="16"/>
                <w:lang w:eastAsia="zh-CN"/>
              </w:rPr>
              <w:t>。</w:t>
            </w:r>
            <w:r>
              <w:rPr>
                <w:rFonts w:ascii="宋体" w:hAnsi="宋体" w:eastAsia="宋体"/>
                <w:sz w:val="16"/>
              </w:rPr>
              <w:t>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1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AF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E8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96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7B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B044">
            <w:pPr>
              <w:jc w:val="center"/>
            </w:pPr>
            <w:r>
              <w:rPr>
                <w:rFonts w:ascii="宋体" w:hAnsi="宋体" w:eastAsia="宋体"/>
                <w:sz w:val="16"/>
              </w:rPr>
              <w:t>800.59元/人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B40A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177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CB44">
            <w:pPr>
              <w:jc w:val="center"/>
            </w:pPr>
            <w:r>
              <w:rPr>
                <w:rFonts w:ascii="宋体" w:hAnsi="宋体" w:eastAsia="宋体"/>
                <w:sz w:val="16"/>
              </w:rPr>
              <w:t>原因：由于工作原因部分人员未到现场参会，人均支出标准增高。措施：及时</w:t>
            </w:r>
            <w:r>
              <w:rPr>
                <w:rFonts w:hint="eastAsia" w:ascii="宋体" w:hAnsi="宋体"/>
                <w:sz w:val="16"/>
                <w:lang w:eastAsia="zh-CN"/>
              </w:rPr>
              <w:t>通知</w:t>
            </w:r>
            <w:r>
              <w:rPr>
                <w:rFonts w:ascii="宋体" w:hAnsi="宋体" w:eastAsia="宋体"/>
                <w:sz w:val="16"/>
              </w:rPr>
              <w:t>参会人员，会前准备更加到位，预算管理更加严格</w:t>
            </w:r>
          </w:p>
        </w:tc>
      </w:tr>
      <w:tr w14:paraId="4B865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7E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2D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49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DF33">
            <w:pPr>
              <w:jc w:val="center"/>
            </w:pPr>
            <w:r>
              <w:rPr>
                <w:rFonts w:ascii="宋体" w:hAnsi="宋体" w:eastAsia="宋体"/>
                <w:sz w:val="16"/>
              </w:rPr>
              <w:t>获奖人数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91CC">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2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A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54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02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E4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FF2D">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6B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19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FCAA">
            <w:pPr>
              <w:jc w:val="center"/>
            </w:pPr>
          </w:p>
        </w:tc>
      </w:tr>
      <w:tr w14:paraId="5C2CA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E55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B4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45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FB6B">
            <w:pPr>
              <w:jc w:val="center"/>
            </w:pPr>
            <w:r>
              <w:rPr>
                <w:rFonts w:ascii="宋体" w:hAnsi="宋体" w:eastAsia="宋体"/>
                <w:sz w:val="16"/>
              </w:rPr>
              <w:t>会议人员满意度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8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68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9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35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16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0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85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F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E4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BCF6">
            <w:pPr>
              <w:jc w:val="center"/>
            </w:pPr>
          </w:p>
        </w:tc>
      </w:tr>
      <w:tr w14:paraId="61DCE6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F953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4DB9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84B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5A73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2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D2D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9DE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E32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0A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8443B">
            <w:pPr>
              <w:jc w:val="center"/>
            </w:pPr>
            <w:r>
              <w:rPr>
                <w:rFonts w:ascii="宋体" w:hAnsi="宋体" w:eastAsia="宋体"/>
                <w:sz w:val="16"/>
              </w:rPr>
              <w:t>76.96分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92738B"/>
        </w:tc>
      </w:tr>
    </w:tbl>
    <w:p w14:paraId="6E5804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96"/>
        <w:gridCol w:w="632"/>
      </w:tblGrid>
      <w:tr w14:paraId="01246AE5">
        <w:tblPrEx>
          <w:tblCellMar>
            <w:top w:w="0" w:type="dxa"/>
            <w:left w:w="108" w:type="dxa"/>
            <w:bottom w:w="0" w:type="dxa"/>
            <w:right w:w="108" w:type="dxa"/>
          </w:tblCellMar>
        </w:tblPrEx>
        <w:tc>
          <w:tcPr>
            <w:tcW w:w="8848" w:type="dxa"/>
            <w:gridSpan w:val="14"/>
            <w:vAlign w:val="center"/>
          </w:tcPr>
          <w:p w14:paraId="742DFCBA">
            <w:pPr>
              <w:jc w:val="center"/>
            </w:pPr>
            <w:r>
              <w:rPr>
                <w:rFonts w:ascii="宋体" w:hAnsi="宋体" w:eastAsia="宋体"/>
                <w:sz w:val="24"/>
              </w:rPr>
              <w:t>项目支出绩效自评表</w:t>
            </w:r>
          </w:p>
        </w:tc>
      </w:tr>
      <w:tr w14:paraId="78C9ADC2">
        <w:tblPrEx>
          <w:tblCellMar>
            <w:top w:w="0" w:type="dxa"/>
            <w:left w:w="108" w:type="dxa"/>
            <w:bottom w:w="0" w:type="dxa"/>
            <w:right w:w="108" w:type="dxa"/>
          </w:tblCellMar>
        </w:tblPrEx>
        <w:tc>
          <w:tcPr>
            <w:tcW w:w="8848" w:type="dxa"/>
            <w:gridSpan w:val="14"/>
            <w:vAlign w:val="center"/>
          </w:tcPr>
          <w:p w14:paraId="3A4BBA46">
            <w:pPr>
              <w:jc w:val="center"/>
            </w:pPr>
            <w:r>
              <w:rPr>
                <w:rFonts w:ascii="宋体" w:hAnsi="宋体" w:eastAsia="宋体"/>
                <w:sz w:val="24"/>
              </w:rPr>
              <w:t>(2024年度)</w:t>
            </w:r>
          </w:p>
        </w:tc>
      </w:tr>
      <w:tr w14:paraId="4FF0F3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765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ADD497">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w:t>
            </w:r>
          </w:p>
        </w:tc>
      </w:tr>
      <w:tr w14:paraId="1D1C1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EB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AAC42A">
            <w:pPr>
              <w:jc w:val="center"/>
            </w:pPr>
            <w:r>
              <w:rPr>
                <w:rFonts w:ascii="宋体" w:hAnsi="宋体" w:eastAsia="宋体"/>
                <w:sz w:val="16"/>
              </w:rPr>
              <w:t>新疆巴州社会主义学院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27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9B4578">
            <w:pPr>
              <w:jc w:val="center"/>
            </w:pPr>
            <w:r>
              <w:rPr>
                <w:rFonts w:ascii="宋体" w:hAnsi="宋体" w:eastAsia="宋体"/>
                <w:sz w:val="16"/>
              </w:rPr>
              <w:t>新疆巴州社会主义学院</w:t>
            </w:r>
          </w:p>
        </w:tc>
      </w:tr>
      <w:tr w14:paraId="7D55DC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77C9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6E2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F51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261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336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7CB5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1D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6697">
            <w:pPr>
              <w:jc w:val="center"/>
            </w:pPr>
            <w:r>
              <w:rPr>
                <w:rFonts w:ascii="宋体" w:hAnsi="宋体" w:eastAsia="宋体"/>
                <w:sz w:val="16"/>
              </w:rPr>
              <w:t>得分</w:t>
            </w:r>
          </w:p>
        </w:tc>
      </w:tr>
      <w:tr w14:paraId="0ADF03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F5C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14A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5C79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A1E3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B889D">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D09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B8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AC4DE">
            <w:pPr>
              <w:jc w:val="center"/>
            </w:pPr>
            <w:r>
              <w:rPr>
                <w:rFonts w:ascii="宋体" w:hAnsi="宋体" w:eastAsia="宋体"/>
                <w:sz w:val="16"/>
              </w:rPr>
              <w:t>10.00</w:t>
            </w:r>
          </w:p>
        </w:tc>
      </w:tr>
      <w:tr w14:paraId="0E670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0FF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905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7A6C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DAF9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814A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8F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8E0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F84C">
            <w:pPr>
              <w:jc w:val="center"/>
            </w:pPr>
            <w:r>
              <w:rPr>
                <w:rFonts w:ascii="宋体" w:hAnsi="宋体" w:eastAsia="宋体"/>
                <w:sz w:val="16"/>
              </w:rPr>
              <w:t>-</w:t>
            </w:r>
          </w:p>
        </w:tc>
      </w:tr>
      <w:tr w14:paraId="26655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AA2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D2414">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1C7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74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D5E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62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89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43E8">
            <w:pPr>
              <w:jc w:val="center"/>
            </w:pPr>
            <w:r>
              <w:rPr>
                <w:rFonts w:ascii="宋体" w:hAnsi="宋体" w:eastAsia="宋体"/>
                <w:sz w:val="16"/>
              </w:rPr>
              <w:t>-</w:t>
            </w:r>
          </w:p>
        </w:tc>
      </w:tr>
      <w:tr w14:paraId="72789C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2AEC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4BA56">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EAB0F">
            <w:pPr>
              <w:jc w:val="center"/>
            </w:pPr>
            <w:r>
              <w:rPr>
                <w:rFonts w:ascii="宋体" w:hAnsi="宋体" w:eastAsia="宋体"/>
                <w:sz w:val="16"/>
              </w:rPr>
              <w:t>总体目标完成情况</w:t>
            </w:r>
          </w:p>
        </w:tc>
      </w:tr>
      <w:tr w14:paraId="4BBB7C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9F2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1DAB2">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通过派驻轮台县阳霞镇乌尊布拉克村工作队1个，第一书记1人，派驻工作队4人，合理合规使用为民办实事经费，确保为民办实事经费使用的安全性、规范性和实效性，确保为民办实事工作经费落实到实处，达到提高居民文化生活水平，有效提升群众获得感和满意度。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D9BD63">
            <w:pPr>
              <w:jc w:val="both"/>
            </w:pPr>
            <w:r>
              <w:rPr>
                <w:rFonts w:ascii="宋体" w:hAnsi="宋体" w:eastAsia="宋体"/>
                <w:sz w:val="16"/>
              </w:rPr>
              <w:t>根据巴财预</w:t>
            </w:r>
            <w:r>
              <w:rPr>
                <w:rFonts w:hint="eastAsia" w:ascii="宋体" w:hAnsi="宋体"/>
                <w:sz w:val="16"/>
                <w:lang w:eastAsia="zh-CN"/>
              </w:rPr>
              <w:t>〔2024〕16号</w:t>
            </w:r>
            <w:r>
              <w:rPr>
                <w:rFonts w:ascii="宋体" w:hAnsi="宋体" w:eastAsia="宋体"/>
                <w:sz w:val="16"/>
              </w:rPr>
              <w:t>，通过派驻轮台县阳霞镇乌尊布拉克村工作队1个，第一书记1人，派驻工作队4人，已完成工作队本年度慰问困难群众煤炭、米面油及生活用品，确保为民办实事工作经费落实到实处，达到提高居民文化生活水平，有效提升群众获得感和满意度。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r>
      <w:tr w14:paraId="294EC4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52B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4F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5E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92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64AF">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7A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6D6B">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F327">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F69C">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22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CAF5">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B4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BD1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758B">
            <w:pPr>
              <w:jc w:val="center"/>
            </w:pPr>
            <w:r>
              <w:rPr>
                <w:rFonts w:ascii="宋体" w:hAnsi="宋体" w:eastAsia="宋体"/>
                <w:sz w:val="16"/>
              </w:rPr>
              <w:t>偏差原因分析及改进措施</w:t>
            </w:r>
          </w:p>
        </w:tc>
      </w:tr>
      <w:tr w14:paraId="517B94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FF6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3F2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230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4CD8">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0F5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6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96A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B62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8B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B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6E1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2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A0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35CB">
            <w:pPr>
              <w:jc w:val="center"/>
            </w:pPr>
          </w:p>
        </w:tc>
      </w:tr>
      <w:tr w14:paraId="68E08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CB6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D9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69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FD35">
            <w:pPr>
              <w:jc w:val="center"/>
            </w:pPr>
            <w:r>
              <w:rPr>
                <w:rFonts w:ascii="宋体" w:hAnsi="宋体" w:eastAsia="宋体"/>
                <w:sz w:val="16"/>
              </w:rPr>
              <w:t>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43D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D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AEC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EB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4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4E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41D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69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08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27CC">
            <w:pPr>
              <w:jc w:val="center"/>
            </w:pPr>
          </w:p>
        </w:tc>
      </w:tr>
      <w:tr w14:paraId="595FC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7BA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7F3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DDB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AE6C">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B483">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0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C5C1">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F6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58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E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E79E">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3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4F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2FCB">
            <w:pPr>
              <w:jc w:val="center"/>
            </w:pPr>
          </w:p>
        </w:tc>
      </w:tr>
      <w:tr w14:paraId="55347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4EA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90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CC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EE00">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9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F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E9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F3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5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9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7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02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4C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8FEA">
            <w:pPr>
              <w:jc w:val="center"/>
            </w:pPr>
          </w:p>
        </w:tc>
      </w:tr>
      <w:tr w14:paraId="52871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BC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BE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785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F9F9">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F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6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9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CA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EB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F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C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0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4A2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554C9">
            <w:pPr>
              <w:jc w:val="center"/>
            </w:pPr>
          </w:p>
        </w:tc>
      </w:tr>
      <w:tr w14:paraId="47248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571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135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50F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4FE1">
            <w:pPr>
              <w:jc w:val="center"/>
            </w:pPr>
            <w:r>
              <w:rPr>
                <w:rFonts w:ascii="宋体" w:hAnsi="宋体" w:eastAsia="宋体"/>
                <w:sz w:val="16"/>
              </w:rPr>
              <w:t>阳霞镇乌尊布拉克村为民办事经费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4FD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DD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C93A">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AA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5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4E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66D7">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FA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92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DE2D">
            <w:pPr>
              <w:jc w:val="center"/>
            </w:pPr>
          </w:p>
        </w:tc>
      </w:tr>
      <w:tr w14:paraId="49D8D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79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19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4C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2E1FD">
            <w:pPr>
              <w:jc w:val="center"/>
            </w:pPr>
            <w:r>
              <w:rPr>
                <w:rFonts w:ascii="宋体" w:hAnsi="宋体" w:eastAsia="宋体"/>
                <w:sz w:val="16"/>
              </w:rPr>
              <w:t>第一书记为民办实事经费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D1E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2B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8812">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7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B1E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AB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D0D8">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1D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5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C817C">
            <w:pPr>
              <w:jc w:val="center"/>
            </w:pPr>
          </w:p>
        </w:tc>
      </w:tr>
      <w:tr w14:paraId="569E3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E79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18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1D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A2B6">
            <w:pPr>
              <w:jc w:val="center"/>
            </w:pPr>
            <w:r>
              <w:rPr>
                <w:rFonts w:ascii="宋体" w:hAnsi="宋体" w:eastAsia="宋体"/>
                <w:sz w:val="16"/>
              </w:rPr>
              <w:t>提升村民生活质量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284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4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73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7F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C4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F5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EDCB">
            <w:pPr>
              <w:jc w:val="center"/>
            </w:pPr>
            <w:r>
              <w:rPr>
                <w:rFonts w:ascii="宋体" w:hAnsi="宋体" w:eastAsia="宋体"/>
                <w:sz w:val="16"/>
              </w:rPr>
              <w:t>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87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C8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41A5">
            <w:pPr>
              <w:jc w:val="center"/>
            </w:pPr>
          </w:p>
        </w:tc>
      </w:tr>
      <w:tr w14:paraId="229D5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BB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3B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37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ACDEA">
            <w:pPr>
              <w:jc w:val="center"/>
            </w:pPr>
            <w:r>
              <w:rPr>
                <w:rFonts w:ascii="宋体" w:hAnsi="宋体" w:eastAsia="宋体"/>
                <w:sz w:val="16"/>
              </w:rPr>
              <w:t>帮扶村民满意度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CF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B9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41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AC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1A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C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0CD6">
            <w:pPr>
              <w:jc w:val="center"/>
            </w:pPr>
            <w:r>
              <w:rPr>
                <w:rFonts w:ascii="宋体" w:hAnsi="宋体" w:eastAsia="宋体"/>
                <w:sz w:val="16"/>
              </w:rPr>
              <w:t>=95.77%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F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D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9909">
            <w:pPr>
              <w:jc w:val="center"/>
            </w:pPr>
          </w:p>
        </w:tc>
      </w:tr>
      <w:tr w14:paraId="02B492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A3B4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C75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EEF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59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7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2D5B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7A25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C89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A81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D668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8E42D"/>
        </w:tc>
      </w:tr>
    </w:tbl>
    <w:p w14:paraId="1630F67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96"/>
        <w:gridCol w:w="632"/>
      </w:tblGrid>
      <w:tr w14:paraId="22B9438E">
        <w:tblPrEx>
          <w:tblCellMar>
            <w:top w:w="0" w:type="dxa"/>
            <w:left w:w="108" w:type="dxa"/>
            <w:bottom w:w="0" w:type="dxa"/>
            <w:right w:w="108" w:type="dxa"/>
          </w:tblCellMar>
        </w:tblPrEx>
        <w:tc>
          <w:tcPr>
            <w:tcW w:w="8848" w:type="dxa"/>
            <w:gridSpan w:val="14"/>
            <w:vAlign w:val="center"/>
          </w:tcPr>
          <w:p w14:paraId="017B2475">
            <w:pPr>
              <w:jc w:val="center"/>
            </w:pPr>
            <w:r>
              <w:rPr>
                <w:rFonts w:ascii="宋体" w:hAnsi="宋体" w:eastAsia="宋体"/>
                <w:sz w:val="24"/>
              </w:rPr>
              <w:t>项目支出绩效自评表</w:t>
            </w:r>
          </w:p>
        </w:tc>
      </w:tr>
      <w:tr w14:paraId="78B774E2">
        <w:tblPrEx>
          <w:tblCellMar>
            <w:top w:w="0" w:type="dxa"/>
            <w:left w:w="108" w:type="dxa"/>
            <w:bottom w:w="0" w:type="dxa"/>
            <w:right w:w="108" w:type="dxa"/>
          </w:tblCellMar>
        </w:tblPrEx>
        <w:tc>
          <w:tcPr>
            <w:tcW w:w="8848" w:type="dxa"/>
            <w:gridSpan w:val="14"/>
            <w:vAlign w:val="center"/>
          </w:tcPr>
          <w:p w14:paraId="6DBFA8CC">
            <w:pPr>
              <w:jc w:val="center"/>
            </w:pPr>
            <w:r>
              <w:rPr>
                <w:rFonts w:ascii="宋体" w:hAnsi="宋体" w:eastAsia="宋体"/>
                <w:sz w:val="24"/>
              </w:rPr>
              <w:t>(2024年度)</w:t>
            </w:r>
          </w:p>
        </w:tc>
      </w:tr>
      <w:tr w14:paraId="4107A6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BD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B8994E">
            <w:pPr>
              <w:jc w:val="center"/>
            </w:pPr>
            <w:r>
              <w:rPr>
                <w:rFonts w:ascii="宋体" w:hAnsi="宋体" w:eastAsia="宋体"/>
                <w:sz w:val="16"/>
              </w:rPr>
              <w:t>巴州社会主义学院异地重建项目</w:t>
            </w:r>
          </w:p>
        </w:tc>
      </w:tr>
      <w:tr w14:paraId="0568F6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76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84032">
            <w:pPr>
              <w:jc w:val="center"/>
            </w:pPr>
            <w:r>
              <w:rPr>
                <w:rFonts w:ascii="宋体" w:hAnsi="宋体" w:eastAsia="宋体"/>
                <w:sz w:val="16"/>
              </w:rPr>
              <w:t>新疆巴州社会主义学院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B2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2B7E0D">
            <w:pPr>
              <w:jc w:val="center"/>
            </w:pPr>
            <w:r>
              <w:rPr>
                <w:rFonts w:ascii="宋体" w:hAnsi="宋体" w:eastAsia="宋体"/>
                <w:sz w:val="16"/>
              </w:rPr>
              <w:t>新疆巴州社会主义学院</w:t>
            </w:r>
          </w:p>
        </w:tc>
      </w:tr>
      <w:tr w14:paraId="177C88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43A2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CCA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DEA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3BBE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997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FA8FC">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5BD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CBE4">
            <w:pPr>
              <w:jc w:val="center"/>
            </w:pPr>
            <w:r>
              <w:rPr>
                <w:rFonts w:ascii="宋体" w:hAnsi="宋体" w:eastAsia="宋体"/>
                <w:sz w:val="16"/>
              </w:rPr>
              <w:t>得分</w:t>
            </w:r>
          </w:p>
        </w:tc>
      </w:tr>
      <w:tr w14:paraId="233B41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2CC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831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3F15E">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2DF6">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EEA36">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24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DDE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EFD8">
            <w:pPr>
              <w:jc w:val="center"/>
            </w:pPr>
            <w:r>
              <w:rPr>
                <w:rFonts w:ascii="宋体" w:hAnsi="宋体" w:eastAsia="宋体"/>
                <w:sz w:val="16"/>
              </w:rPr>
              <w:t>10.00</w:t>
            </w:r>
          </w:p>
        </w:tc>
      </w:tr>
      <w:tr w14:paraId="212F0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4C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FCF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E23EA">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6D37E">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15DC">
            <w:pPr>
              <w:jc w:val="center"/>
            </w:pPr>
            <w:r>
              <w:rPr>
                <w:rFonts w:ascii="宋体" w:hAnsi="宋体" w:eastAsia="宋体"/>
                <w:sz w:val="16"/>
              </w:rPr>
              <w:t>82.63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CE7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73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DC4F">
            <w:pPr>
              <w:jc w:val="center"/>
            </w:pPr>
            <w:r>
              <w:rPr>
                <w:rFonts w:ascii="宋体" w:hAnsi="宋体" w:eastAsia="宋体"/>
                <w:sz w:val="16"/>
              </w:rPr>
              <w:t>-</w:t>
            </w:r>
          </w:p>
        </w:tc>
      </w:tr>
      <w:tr w14:paraId="1E956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A2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C6CA8">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FCD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F46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C12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02C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2A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3226">
            <w:pPr>
              <w:jc w:val="center"/>
            </w:pPr>
            <w:r>
              <w:rPr>
                <w:rFonts w:ascii="宋体" w:hAnsi="宋体" w:eastAsia="宋体"/>
                <w:sz w:val="16"/>
              </w:rPr>
              <w:t>-</w:t>
            </w:r>
          </w:p>
        </w:tc>
      </w:tr>
      <w:tr w14:paraId="7CA788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CD1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6A9488">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10877">
            <w:pPr>
              <w:jc w:val="center"/>
            </w:pPr>
            <w:r>
              <w:rPr>
                <w:rFonts w:ascii="宋体" w:hAnsi="宋体" w:eastAsia="宋体"/>
                <w:sz w:val="16"/>
              </w:rPr>
              <w:t>总体目标完成情况</w:t>
            </w:r>
          </w:p>
        </w:tc>
      </w:tr>
      <w:tr w14:paraId="674D3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EE9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E0450">
            <w:pPr>
              <w:jc w:val="both"/>
            </w:pPr>
            <w:r>
              <w:rPr>
                <w:rFonts w:ascii="宋体" w:hAnsi="宋体" w:eastAsia="宋体"/>
                <w:sz w:val="16"/>
              </w:rPr>
              <w:t>为贯彻落实自治区党委组织部《2013-2017年自治区干部教育培训规划》有关精神，新建巴州社会主义教学楼。巴州社会主义学院异地重建项目及其附属工程总投资3000万元，该工程于2019年6月竣工验收，2019年10月工程结算，已付新疆双雄集团公司2563.02万元，本次共支付巴州社会主义学院异地重建项目部分工程款82.63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84FF8">
            <w:pPr>
              <w:jc w:val="both"/>
            </w:pPr>
            <w:r>
              <w:rPr>
                <w:rFonts w:ascii="宋体" w:hAnsi="宋体" w:eastAsia="宋体"/>
                <w:sz w:val="16"/>
              </w:rPr>
              <w:t>为贯彻落实自治区党委组织部《2013-2017年自治区干部教育培训规划》有关精神，新建巴州社会主义教学楼，本次共支付异地重建项目部分工程款82.63万元，教学楼建设为教师提供了更好的教学环境，有利于提高教学质量。</w:t>
            </w:r>
          </w:p>
        </w:tc>
      </w:tr>
      <w:tr w14:paraId="3C9DE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200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75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5F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D3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FA3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1E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C9C8">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EB8A">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325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ED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5AC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8EA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BA5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F261">
            <w:pPr>
              <w:jc w:val="center"/>
            </w:pPr>
            <w:r>
              <w:rPr>
                <w:rFonts w:ascii="宋体" w:hAnsi="宋体" w:eastAsia="宋体"/>
                <w:sz w:val="16"/>
              </w:rPr>
              <w:t>偏差原因分析及改进措施</w:t>
            </w:r>
          </w:p>
        </w:tc>
      </w:tr>
      <w:tr w14:paraId="7FE660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6AA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420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971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D199">
            <w:pPr>
              <w:jc w:val="center"/>
            </w:pPr>
            <w:r>
              <w:rPr>
                <w:rFonts w:ascii="宋体" w:hAnsi="宋体" w:eastAsia="宋体"/>
                <w:sz w:val="16"/>
              </w:rPr>
              <w:t>资金支付企业数量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9107">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AE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5ED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7B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23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90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DB4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A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81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7FE5">
            <w:pPr>
              <w:jc w:val="center"/>
            </w:pPr>
          </w:p>
        </w:tc>
      </w:tr>
      <w:tr w14:paraId="6DC26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72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2A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AE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D47D">
            <w:pPr>
              <w:jc w:val="center"/>
            </w:pPr>
            <w:r>
              <w:rPr>
                <w:rFonts w:ascii="宋体" w:hAnsi="宋体" w:eastAsia="宋体"/>
                <w:sz w:val="16"/>
              </w:rPr>
              <w:t>资金支付工程欠款次数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F0B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9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8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2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9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D8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E02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E8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1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9DA7">
            <w:pPr>
              <w:jc w:val="center"/>
            </w:pPr>
          </w:p>
        </w:tc>
      </w:tr>
      <w:tr w14:paraId="2ED63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BD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7B1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B6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4279">
            <w:pPr>
              <w:jc w:val="center"/>
            </w:pPr>
            <w:r>
              <w:rPr>
                <w:rFonts w:ascii="宋体" w:hAnsi="宋体" w:eastAsia="宋体"/>
                <w:sz w:val="16"/>
              </w:rPr>
              <w:t>项目资金支付准确率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5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1E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0A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17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9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0A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D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1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88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21EA">
            <w:pPr>
              <w:jc w:val="center"/>
            </w:pPr>
          </w:p>
        </w:tc>
      </w:tr>
      <w:tr w14:paraId="2960E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39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EA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1B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948E">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C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68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E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B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B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6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DE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8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67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9846">
            <w:pPr>
              <w:jc w:val="center"/>
            </w:pPr>
          </w:p>
        </w:tc>
      </w:tr>
      <w:tr w14:paraId="73416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DB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8E6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09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12E9">
            <w:pPr>
              <w:jc w:val="center"/>
            </w:pPr>
            <w:r>
              <w:rPr>
                <w:rFonts w:ascii="宋体" w:hAnsi="宋体" w:eastAsia="宋体"/>
                <w:sz w:val="16"/>
              </w:rPr>
              <w:t>项目资金使用控制误差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E23C">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5D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3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C60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76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32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F3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8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2B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1F6B">
            <w:pPr>
              <w:jc w:val="center"/>
            </w:pPr>
          </w:p>
        </w:tc>
      </w:tr>
      <w:tr w14:paraId="50F35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797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02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51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03F4">
            <w:pPr>
              <w:jc w:val="center"/>
            </w:pPr>
            <w:r>
              <w:rPr>
                <w:rFonts w:ascii="宋体" w:hAnsi="宋体" w:eastAsia="宋体"/>
                <w:sz w:val="16"/>
              </w:rPr>
              <w:t>项目受益人数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4A61">
            <w:pPr>
              <w:jc w:val="center"/>
            </w:pPr>
            <w:r>
              <w:rPr>
                <w:rFonts w:ascii="宋体" w:hAnsi="宋体" w:eastAsia="宋体"/>
                <w:sz w:val="16"/>
              </w:rPr>
              <w:t>&gt;=23人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E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96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6C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BF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FA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CBE8">
            <w:pPr>
              <w:jc w:val="center"/>
            </w:pPr>
            <w:r>
              <w:rPr>
                <w:rFonts w:ascii="宋体" w:hAnsi="宋体" w:eastAsia="宋体"/>
                <w:sz w:val="16"/>
              </w:rPr>
              <w:t>=23人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74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1B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9240D">
            <w:pPr>
              <w:jc w:val="center"/>
            </w:pPr>
          </w:p>
        </w:tc>
      </w:tr>
      <w:tr w14:paraId="75C07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8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01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B9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ECE2">
            <w:pPr>
              <w:jc w:val="center"/>
            </w:pPr>
            <w:r>
              <w:rPr>
                <w:rFonts w:ascii="宋体" w:hAnsi="宋体" w:eastAsia="宋体"/>
                <w:sz w:val="16"/>
              </w:rPr>
              <w:t>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12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9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18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5E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F9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CB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DA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F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3E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9C62">
            <w:pPr>
              <w:jc w:val="center"/>
            </w:pPr>
            <w:r>
              <w:rPr>
                <w:rFonts w:ascii="宋体" w:hAnsi="宋体" w:eastAsia="宋体"/>
                <w:sz w:val="16"/>
              </w:rPr>
              <w:t>根据问卷调查，教师满意度很高，教学楼建设为教师提供了更好的教学环境，有利于提高教学质量。</w:t>
            </w:r>
          </w:p>
        </w:tc>
      </w:tr>
      <w:tr w14:paraId="22D043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FB3B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0B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246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9D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49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EBB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A51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3FA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9F2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DA6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430D2"/>
        </w:tc>
      </w:tr>
    </w:tbl>
    <w:p w14:paraId="43BAC008">
      <w:r>
        <w:br w:type="page"/>
      </w:r>
    </w:p>
    <w:p w14:paraId="78F8426A">
      <w:pPr>
        <w:spacing w:line="640" w:lineRule="exact"/>
        <w:ind w:firstLine="640"/>
        <w:jc w:val="both"/>
        <w:outlineLvl w:val="2"/>
      </w:pPr>
      <w:r>
        <w:rPr>
          <w:rFonts w:ascii="黑体" w:hAnsi="黑体" w:eastAsia="黑体"/>
          <w:sz w:val="32"/>
        </w:rPr>
        <w:t>十二、其他需说明的事项</w:t>
      </w:r>
    </w:p>
    <w:p w14:paraId="741E279E">
      <w:pPr>
        <w:spacing w:line="580" w:lineRule="exact"/>
        <w:ind w:firstLine="640"/>
        <w:jc w:val="both"/>
      </w:pPr>
      <w:r>
        <w:rPr>
          <w:rFonts w:ascii="仿宋_GB2312" w:hAnsi="仿宋_GB2312" w:eastAsia="仿宋_GB2312"/>
          <w:b w:val="0"/>
          <w:sz w:val="32"/>
        </w:rPr>
        <w:t>本年本部门SM项目5个，全年预算数295.87万元，全年执行数289.13万元。</w:t>
      </w:r>
    </w:p>
    <w:p w14:paraId="53AB7DC8">
      <w:r>
        <w:br w:type="page"/>
      </w:r>
    </w:p>
    <w:p w14:paraId="1D97444C">
      <w:pPr>
        <w:spacing w:line="240" w:lineRule="auto"/>
        <w:jc w:val="center"/>
        <w:outlineLvl w:val="1"/>
      </w:pPr>
      <w:r>
        <w:rPr>
          <w:rFonts w:ascii="黑体" w:hAnsi="黑体" w:eastAsia="黑体"/>
          <w:sz w:val="32"/>
        </w:rPr>
        <w:t>第三部分 专业名词解释</w:t>
      </w:r>
    </w:p>
    <w:p w14:paraId="5494D49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15DFF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896BA4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38AE27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DCA9D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8FF746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3A718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18356D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300A1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44481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F6429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AC4786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C81CD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1BC4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7F4253">
      <w:r>
        <w:br w:type="page"/>
      </w:r>
    </w:p>
    <w:p w14:paraId="2DFA9C95">
      <w:pPr>
        <w:spacing w:line="240" w:lineRule="auto"/>
        <w:jc w:val="center"/>
        <w:outlineLvl w:val="1"/>
      </w:pPr>
      <w:r>
        <w:rPr>
          <w:rFonts w:ascii="黑体" w:hAnsi="黑体" w:eastAsia="黑体"/>
          <w:sz w:val="32"/>
        </w:rPr>
        <w:t>第四部分 部门决算报表（见附表）</w:t>
      </w:r>
    </w:p>
    <w:p w14:paraId="7CE8A204">
      <w:pPr>
        <w:spacing w:line="240" w:lineRule="auto"/>
        <w:ind w:firstLine="640"/>
        <w:jc w:val="both"/>
      </w:pPr>
      <w:r>
        <w:rPr>
          <w:rFonts w:ascii="仿宋_GB2312" w:hAnsi="仿宋_GB2312" w:eastAsia="仿宋_GB2312"/>
          <w:b w:val="0"/>
          <w:sz w:val="32"/>
        </w:rPr>
        <w:t>一、《收入支出决算总表》</w:t>
      </w:r>
    </w:p>
    <w:p w14:paraId="109CEDDF">
      <w:pPr>
        <w:spacing w:line="240" w:lineRule="auto"/>
        <w:ind w:firstLine="640"/>
        <w:jc w:val="both"/>
      </w:pPr>
      <w:r>
        <w:rPr>
          <w:rFonts w:ascii="仿宋_GB2312" w:hAnsi="仿宋_GB2312" w:eastAsia="仿宋_GB2312"/>
          <w:b w:val="0"/>
          <w:sz w:val="32"/>
        </w:rPr>
        <w:t>二、《收入决算表》</w:t>
      </w:r>
    </w:p>
    <w:p w14:paraId="59F4B71A">
      <w:pPr>
        <w:spacing w:line="240" w:lineRule="auto"/>
        <w:ind w:firstLine="640"/>
        <w:jc w:val="both"/>
      </w:pPr>
      <w:r>
        <w:rPr>
          <w:rFonts w:ascii="仿宋_GB2312" w:hAnsi="仿宋_GB2312" w:eastAsia="仿宋_GB2312"/>
          <w:b w:val="0"/>
          <w:sz w:val="32"/>
        </w:rPr>
        <w:t>三、《支出决算表》</w:t>
      </w:r>
    </w:p>
    <w:p w14:paraId="28D1227A">
      <w:pPr>
        <w:spacing w:line="240" w:lineRule="auto"/>
        <w:ind w:firstLine="640"/>
        <w:jc w:val="both"/>
      </w:pPr>
      <w:r>
        <w:rPr>
          <w:rFonts w:ascii="仿宋_GB2312" w:hAnsi="仿宋_GB2312" w:eastAsia="仿宋_GB2312"/>
          <w:b w:val="0"/>
          <w:sz w:val="32"/>
        </w:rPr>
        <w:t>四、《财政拨款收入支出决算总表》</w:t>
      </w:r>
    </w:p>
    <w:p w14:paraId="2DD6DF87">
      <w:pPr>
        <w:spacing w:line="240" w:lineRule="auto"/>
        <w:ind w:firstLine="640"/>
        <w:jc w:val="both"/>
      </w:pPr>
      <w:r>
        <w:rPr>
          <w:rFonts w:ascii="仿宋_GB2312" w:hAnsi="仿宋_GB2312" w:eastAsia="仿宋_GB2312"/>
          <w:b w:val="0"/>
          <w:sz w:val="32"/>
        </w:rPr>
        <w:t>五、《一般公共预算财政拨款支出决算表》</w:t>
      </w:r>
    </w:p>
    <w:p w14:paraId="7F97D9E3">
      <w:pPr>
        <w:spacing w:line="240" w:lineRule="auto"/>
        <w:ind w:firstLine="640"/>
        <w:jc w:val="both"/>
      </w:pPr>
      <w:r>
        <w:rPr>
          <w:rFonts w:ascii="仿宋_GB2312" w:hAnsi="仿宋_GB2312" w:eastAsia="仿宋_GB2312"/>
          <w:b w:val="0"/>
          <w:sz w:val="32"/>
        </w:rPr>
        <w:t>六、《一般公共预算财政拨款基本支出决算表》</w:t>
      </w:r>
    </w:p>
    <w:p w14:paraId="6FA5336E">
      <w:pPr>
        <w:spacing w:line="240" w:lineRule="auto"/>
        <w:ind w:firstLine="640"/>
        <w:jc w:val="both"/>
      </w:pPr>
      <w:r>
        <w:rPr>
          <w:rFonts w:ascii="仿宋_GB2312" w:hAnsi="仿宋_GB2312" w:eastAsia="仿宋_GB2312"/>
          <w:b w:val="0"/>
          <w:sz w:val="32"/>
        </w:rPr>
        <w:t>七、《政府性基金预算财政拨款收入支出决算表》</w:t>
      </w:r>
    </w:p>
    <w:p w14:paraId="7738A77D">
      <w:pPr>
        <w:spacing w:line="240" w:lineRule="auto"/>
        <w:ind w:firstLine="640"/>
        <w:jc w:val="both"/>
      </w:pPr>
      <w:r>
        <w:rPr>
          <w:rFonts w:ascii="仿宋_GB2312" w:hAnsi="仿宋_GB2312" w:eastAsia="仿宋_GB2312"/>
          <w:b w:val="0"/>
          <w:sz w:val="32"/>
        </w:rPr>
        <w:t>八、《国有资本经营预算财政拨款收入支出决算表》</w:t>
      </w:r>
    </w:p>
    <w:p w14:paraId="6E837949">
      <w:pPr>
        <w:spacing w:line="240" w:lineRule="auto"/>
        <w:ind w:firstLine="640"/>
        <w:jc w:val="both"/>
      </w:pPr>
      <w:r>
        <w:rPr>
          <w:rFonts w:ascii="仿宋_GB2312" w:hAnsi="仿宋_GB2312" w:eastAsia="仿宋_GB2312"/>
          <w:b w:val="0"/>
          <w:sz w:val="32"/>
        </w:rPr>
        <w:t>九、《财政拨款“三公”经费支出决算表》</w:t>
      </w:r>
    </w:p>
    <w:p w14:paraId="3B6679BE">
      <w:pPr>
        <w:spacing w:line="240" w:lineRule="auto"/>
        <w:ind w:firstLine="640"/>
        <w:jc w:val="both"/>
      </w:pPr>
    </w:p>
    <w:p w14:paraId="0844C118">
      <w:pPr>
        <w:spacing w:line="240" w:lineRule="auto"/>
        <w:ind w:firstLine="640"/>
        <w:jc w:val="both"/>
      </w:pPr>
    </w:p>
    <w:p w14:paraId="72E9E1A8">
      <w:pPr>
        <w:spacing w:line="240" w:lineRule="auto"/>
        <w:ind w:firstLine="640"/>
        <w:jc w:val="both"/>
      </w:pPr>
    </w:p>
    <w:p w14:paraId="501225B2">
      <w:pPr>
        <w:spacing w:line="240" w:lineRule="auto"/>
        <w:ind w:firstLine="640"/>
        <w:jc w:val="both"/>
      </w:pPr>
    </w:p>
    <w:p w14:paraId="03623C8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28E636-9FA5-417C-BF97-FB72959A3F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754BE3D-3230-4F8F-99F7-032E913916F8}"/>
  </w:font>
  <w:font w:name="仿宋_GB2312">
    <w:panose1 w:val="02010609030101010101"/>
    <w:charset w:val="86"/>
    <w:family w:val="modern"/>
    <w:pitch w:val="default"/>
    <w:sig w:usb0="00000001" w:usb1="080E0000" w:usb2="00000000" w:usb3="00000000" w:csb0="00040000" w:csb1="00000000"/>
    <w:embedRegular r:id="rId3" w:fontKey="{BD8582B6-D3E5-4897-A0C7-DEB8EDC114FA}"/>
  </w:font>
  <w:font w:name="楷体_GB2312">
    <w:panose1 w:val="02010609030101010101"/>
    <w:charset w:val="86"/>
    <w:family w:val="auto"/>
    <w:pitch w:val="default"/>
    <w:sig w:usb0="00000001" w:usb1="080E0000" w:usb2="00000000" w:usb3="00000000" w:csb0="00040000" w:csb1="00000000"/>
    <w:embedRegular r:id="rId4" w:fontKey="{B497CB16-7457-419D-90C8-172978B03E1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869ED"/>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5132BB"/>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6371</Words>
  <Characters>7358</Characters>
  <Lines>0</Lines>
  <Paragraphs>0</Paragraphs>
  <TotalTime>5</TotalTime>
  <ScaleCrop>false</ScaleCrop>
  <LinksUpToDate>false</LinksUpToDate>
  <CharactersWithSpaces>7368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2025-09-11T09:08:07Z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