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新疆巴州社会主义学院2024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908183">
      <w:r>
        <w:br w:type="page"/>
      </w:r>
    </w:p>
    <w:p w14:paraId="3CBF3316">
      <w:pPr>
        <w:spacing w:line="640" w:lineRule="exact"/>
        <w:jc w:val="center"/>
        <w:outlineLvl w:val="1"/>
      </w:pPr>
      <w:r>
        <w:rPr>
          <w:rFonts w:ascii="黑体" w:hAnsi="黑体" w:eastAsia="黑体"/>
          <w:sz w:val="32"/>
        </w:rPr>
        <w:t>第一部分 单位概况</w:t>
      </w:r>
    </w:p>
    <w:p w14:paraId="3A47794E">
      <w:pPr>
        <w:spacing w:line="640" w:lineRule="exact"/>
        <w:ind w:firstLine="640"/>
        <w:jc w:val="both"/>
        <w:outlineLvl w:val="2"/>
      </w:pPr>
      <w:r>
        <w:rPr>
          <w:rFonts w:ascii="黑体" w:hAnsi="黑体" w:eastAsia="黑体"/>
          <w:sz w:val="32"/>
        </w:rPr>
        <w:t>一、主要职能</w:t>
      </w:r>
    </w:p>
    <w:p w14:paraId="57406F28">
      <w:pPr>
        <w:spacing w:line="580" w:lineRule="exact"/>
        <w:ind w:firstLine="640"/>
        <w:jc w:val="both"/>
      </w:pPr>
      <w:r>
        <w:rPr>
          <w:rFonts w:ascii="仿宋_GB2312" w:hAnsi="仿宋_GB2312" w:eastAsia="仿宋_GB2312"/>
          <w:sz w:val="32"/>
        </w:rPr>
        <w:t>巴州社会主义学院是自治州党委领导的具有统一战线性质的高等政治学院，是民主党派和无党派代表人士的“联合党校”，主要任务就是对全州统一战线成员进行政治培训，培训对象主要是“三支队伍”，即统战干部、各民主党派成员、无党派人士和爱国ZJ人士。</w:t>
      </w:r>
    </w:p>
    <w:p w14:paraId="0CA115F8">
      <w:pPr>
        <w:spacing w:line="640" w:lineRule="exact"/>
        <w:ind w:firstLine="640"/>
        <w:jc w:val="both"/>
        <w:outlineLvl w:val="2"/>
      </w:pPr>
      <w:r>
        <w:rPr>
          <w:rFonts w:ascii="黑体" w:hAnsi="黑体" w:eastAsia="黑体"/>
          <w:sz w:val="32"/>
        </w:rPr>
        <w:t>二、机构设置及人员情况</w:t>
      </w:r>
    </w:p>
    <w:p w14:paraId="390E6CF6">
      <w:pPr>
        <w:spacing w:line="580" w:lineRule="exact"/>
        <w:ind w:firstLine="640"/>
        <w:jc w:val="both"/>
      </w:pPr>
      <w:r>
        <w:rPr>
          <w:rFonts w:ascii="仿宋_GB2312" w:hAnsi="仿宋_GB2312" w:eastAsia="仿宋_GB2312"/>
          <w:sz w:val="32"/>
        </w:rPr>
        <w:t>新疆巴州社会主义学院2024年度，实有人数42人，其中：在职人员19人，减少1人；离休人员0人，增加0人；退休人员23人,减少1人。</w:t>
      </w:r>
    </w:p>
    <w:p w14:paraId="29D88EBB">
      <w:pPr>
        <w:spacing w:line="580" w:lineRule="exact"/>
        <w:ind w:firstLine="640"/>
        <w:jc w:val="both"/>
      </w:pPr>
      <w:r>
        <w:rPr>
          <w:rFonts w:ascii="仿宋_GB2312" w:hAnsi="仿宋_GB2312" w:eastAsia="仿宋_GB2312"/>
          <w:sz w:val="32"/>
        </w:rPr>
        <w:t>新疆巴州社会主义学院无下属预算单位，下设3个科室，分别是：办公室、总务处、教务处。</w:t>
      </w:r>
    </w:p>
    <w:p w14:paraId="2704BE8D">
      <w:r>
        <w:br w:type="page"/>
      </w:r>
    </w:p>
    <w:p w14:paraId="2A72EE8B">
      <w:pPr>
        <w:spacing w:line="240" w:lineRule="auto"/>
        <w:jc w:val="center"/>
        <w:outlineLvl w:val="1"/>
      </w:pPr>
      <w:r>
        <w:rPr>
          <w:rFonts w:ascii="黑体" w:hAnsi="黑体" w:eastAsia="黑体"/>
          <w:sz w:val="32"/>
        </w:rPr>
        <w:t>第二部分 部门决算情况说明</w:t>
      </w:r>
    </w:p>
    <w:p w14:paraId="02B13797">
      <w:pPr>
        <w:spacing w:line="640" w:lineRule="exact"/>
        <w:ind w:firstLine="640"/>
        <w:jc w:val="both"/>
        <w:outlineLvl w:val="2"/>
      </w:pPr>
      <w:r>
        <w:rPr>
          <w:rFonts w:ascii="黑体" w:hAnsi="黑体" w:eastAsia="黑体"/>
          <w:sz w:val="32"/>
        </w:rPr>
        <w:t>一、收入支出决算总体情况说明</w:t>
      </w:r>
    </w:p>
    <w:p w14:paraId="56656F42">
      <w:pPr>
        <w:spacing w:line="580" w:lineRule="exact"/>
        <w:ind w:firstLine="640"/>
        <w:jc w:val="both"/>
      </w:pPr>
      <w:r>
        <w:rPr>
          <w:rFonts w:ascii="仿宋_GB2312" w:hAnsi="仿宋_GB2312" w:eastAsia="仿宋_GB2312"/>
          <w:b/>
          <w:sz w:val="32"/>
        </w:rPr>
        <w:t>2024年度收入总计812.31万元，</w:t>
      </w:r>
      <w:r>
        <w:rPr>
          <w:rFonts w:ascii="仿宋_GB2312" w:hAnsi="仿宋_GB2312" w:eastAsia="仿宋_GB2312"/>
          <w:b w:val="0"/>
          <w:sz w:val="32"/>
        </w:rPr>
        <w:t>其中：本年收入合计801.06万元，使用非财政拨款结余（含专用结余）0.00万元，年初结转和结余11.25万元。</w:t>
      </w:r>
    </w:p>
    <w:p w14:paraId="184C8AF2">
      <w:pPr>
        <w:spacing w:line="580" w:lineRule="exact"/>
        <w:ind w:firstLine="640"/>
        <w:jc w:val="both"/>
      </w:pPr>
      <w:r>
        <w:rPr>
          <w:rFonts w:ascii="仿宋_GB2312" w:hAnsi="仿宋_GB2312" w:eastAsia="仿宋_GB2312"/>
          <w:b/>
          <w:sz w:val="32"/>
        </w:rPr>
        <w:t>2024年度支出总计812.31万元，</w:t>
      </w:r>
      <w:r>
        <w:rPr>
          <w:rFonts w:ascii="仿宋_GB2312" w:hAnsi="仿宋_GB2312" w:eastAsia="仿宋_GB2312"/>
          <w:b w:val="0"/>
          <w:sz w:val="32"/>
        </w:rPr>
        <w:t>其中：本年支出合计801.06万元，结余分配0.00万元，年末结转和结余11.25万元。</w:t>
      </w:r>
    </w:p>
    <w:p w14:paraId="2CA9A920">
      <w:pPr>
        <w:spacing w:line="580" w:lineRule="exact"/>
        <w:ind w:firstLine="640"/>
        <w:jc w:val="both"/>
      </w:pPr>
      <w:r>
        <w:rPr>
          <w:rFonts w:ascii="仿宋_GB2312" w:hAnsi="仿宋_GB2312" w:eastAsia="仿宋_GB2312"/>
          <w:b w:val="0"/>
          <w:sz w:val="32"/>
        </w:rPr>
        <w:t>收入支出总体与上年相比，增加119.48万元，增长17.25%，主要原因是：本年增加ZJ人士培训及巴州社会主义学院异地重建项目资金；本年增加智库立项课题经费结转项目资金。</w:t>
      </w:r>
    </w:p>
    <w:p w14:paraId="170CC49C">
      <w:pPr>
        <w:spacing w:line="640" w:lineRule="exact"/>
        <w:ind w:firstLine="640"/>
        <w:jc w:val="both"/>
        <w:outlineLvl w:val="2"/>
      </w:pPr>
      <w:r>
        <w:rPr>
          <w:rFonts w:ascii="黑体" w:hAnsi="黑体" w:eastAsia="黑体"/>
          <w:sz w:val="32"/>
        </w:rPr>
        <w:t>二、收入决算情况说明</w:t>
      </w:r>
    </w:p>
    <w:p w14:paraId="5B314F91">
      <w:pPr>
        <w:spacing w:line="580" w:lineRule="exact"/>
        <w:ind w:firstLine="640"/>
        <w:jc w:val="both"/>
      </w:pPr>
      <w:r>
        <w:rPr>
          <w:rFonts w:ascii="仿宋_GB2312" w:hAnsi="仿宋_GB2312" w:eastAsia="仿宋_GB2312"/>
          <w:b/>
          <w:sz w:val="32"/>
        </w:rPr>
        <w:t>本年收入801.06万元，</w:t>
      </w:r>
      <w:r>
        <w:rPr>
          <w:rFonts w:ascii="仿宋_GB2312" w:hAnsi="仿宋_GB2312" w:eastAsia="仿宋_GB2312"/>
          <w:b w:val="0"/>
          <w:sz w:val="32"/>
        </w:rPr>
        <w:t>其中：财政拨款收入788.97万元，占98.49%；上级补助收入0.00万元，占0.00%；事业收入0.00万元，占0.00%；经营收入0.00万元，占0.00%；附属单位上缴收入0.00万元，占0.00%；其他收入12.09万元，占1.51%。</w:t>
      </w:r>
    </w:p>
    <w:p w14:paraId="5530469A">
      <w:pPr>
        <w:spacing w:line="640" w:lineRule="exact"/>
        <w:ind w:firstLine="640"/>
        <w:jc w:val="both"/>
        <w:outlineLvl w:val="2"/>
      </w:pPr>
      <w:r>
        <w:rPr>
          <w:rFonts w:ascii="黑体" w:hAnsi="黑体" w:eastAsia="黑体"/>
          <w:sz w:val="32"/>
        </w:rPr>
        <w:t>三、支出决算情况说明</w:t>
      </w:r>
    </w:p>
    <w:p w14:paraId="006FE374">
      <w:pPr>
        <w:spacing w:line="580" w:lineRule="exact"/>
        <w:ind w:firstLine="640"/>
        <w:jc w:val="both"/>
      </w:pPr>
      <w:r>
        <w:rPr>
          <w:rFonts w:ascii="仿宋_GB2312" w:hAnsi="仿宋_GB2312" w:eastAsia="仿宋_GB2312"/>
          <w:b/>
          <w:sz w:val="32"/>
        </w:rPr>
        <w:t>本年支出801.06万元，</w:t>
      </w:r>
      <w:r>
        <w:rPr>
          <w:rFonts w:ascii="仿宋_GB2312" w:hAnsi="仿宋_GB2312" w:eastAsia="仿宋_GB2312"/>
          <w:b w:val="0"/>
          <w:sz w:val="32"/>
        </w:rPr>
        <w:t>其中：基本支出467.50万元，占58.36%；项目支出333.57万元，占41.64%；上缴上级支出0.00万元，占0.00%；经营支出0.00万元，占0.00%；对附属单位补助支出0.00万元，占0.00%。</w:t>
      </w:r>
    </w:p>
    <w:p w14:paraId="49002412">
      <w:pPr>
        <w:spacing w:line="640" w:lineRule="exact"/>
        <w:ind w:firstLine="640"/>
        <w:jc w:val="both"/>
        <w:outlineLvl w:val="2"/>
      </w:pPr>
      <w:r>
        <w:rPr>
          <w:rFonts w:ascii="黑体" w:hAnsi="黑体" w:eastAsia="黑体"/>
          <w:sz w:val="32"/>
        </w:rPr>
        <w:t>四、财政拨款收入支出决算总体情况说明</w:t>
      </w:r>
    </w:p>
    <w:p w14:paraId="08E992E2">
      <w:pPr>
        <w:spacing w:line="580" w:lineRule="exact"/>
        <w:ind w:firstLine="640"/>
        <w:jc w:val="both"/>
      </w:pPr>
      <w:r>
        <w:rPr>
          <w:rFonts w:ascii="仿宋_GB2312" w:hAnsi="仿宋_GB2312" w:eastAsia="仿宋_GB2312"/>
          <w:b/>
          <w:sz w:val="32"/>
        </w:rPr>
        <w:t>2024年度财政拨款收入总计788.97万元，</w:t>
      </w:r>
      <w:r>
        <w:rPr>
          <w:rFonts w:ascii="仿宋_GB2312" w:hAnsi="仿宋_GB2312" w:eastAsia="仿宋_GB2312"/>
          <w:b w:val="0"/>
          <w:sz w:val="32"/>
        </w:rPr>
        <w:t>其中：年初财政拨款结转和结余0.00万元，本年财政拨款收入788.97万元。</w:t>
      </w:r>
      <w:r>
        <w:rPr>
          <w:rFonts w:ascii="仿宋_GB2312" w:hAnsi="仿宋_GB2312" w:eastAsia="仿宋_GB2312"/>
          <w:b/>
          <w:sz w:val="32"/>
        </w:rPr>
        <w:t>财政拨款支出总计788.97万元，</w:t>
      </w:r>
      <w:r>
        <w:rPr>
          <w:rFonts w:ascii="仿宋_GB2312" w:hAnsi="仿宋_GB2312" w:eastAsia="仿宋_GB2312"/>
          <w:b w:val="0"/>
          <w:sz w:val="32"/>
        </w:rPr>
        <w:t>其中：年末财政拨款结转和结余0.00万元，本年财政拨款支出788.97万元。</w:t>
      </w:r>
    </w:p>
    <w:p w14:paraId="2CF8AD1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增加133.45万元，增长20.36%，主要原因是：本年增加ZJ人士培训及巴州社会主义学院异地重建项目资金。</w:t>
      </w:r>
      <w:r>
        <w:rPr>
          <w:rFonts w:ascii="仿宋_GB2312" w:hAnsi="仿宋_GB2312" w:eastAsia="仿宋_GB2312"/>
          <w:b/>
          <w:sz w:val="32"/>
        </w:rPr>
        <w:t>与年初预算相比，</w:t>
      </w:r>
      <w:r>
        <w:rPr>
          <w:rFonts w:ascii="仿宋_GB2312" w:hAnsi="仿宋_GB2312" w:eastAsia="仿宋_GB2312"/>
          <w:b w:val="0"/>
          <w:sz w:val="32"/>
        </w:rPr>
        <w:t>年初预算数675.24万元，决算数788.97万元，预决算差异率16.84%，主要原因是：年中追加人员工资、社保、公积金基数调增部分资金，导致预决算存在差异。</w:t>
      </w:r>
    </w:p>
    <w:p w14:paraId="3347D303">
      <w:pPr>
        <w:spacing w:line="640" w:lineRule="exact"/>
        <w:ind w:firstLine="640"/>
        <w:jc w:val="both"/>
        <w:outlineLvl w:val="2"/>
      </w:pPr>
      <w:r>
        <w:rPr>
          <w:rFonts w:ascii="黑体" w:hAnsi="黑体" w:eastAsia="黑体"/>
          <w:sz w:val="32"/>
        </w:rPr>
        <w:t>五、一般公共预算财政拨款支出决算情况说明</w:t>
      </w:r>
    </w:p>
    <w:p w14:paraId="00765332">
      <w:pPr>
        <w:spacing w:line="640" w:lineRule="exact"/>
        <w:ind w:firstLine="640"/>
        <w:jc w:val="both"/>
        <w:outlineLvl w:val="3"/>
      </w:pPr>
      <w:r>
        <w:rPr>
          <w:rFonts w:ascii="楷体_GB2312" w:hAnsi="楷体_GB2312" w:eastAsia="楷体_GB2312"/>
          <w:b/>
          <w:sz w:val="32"/>
        </w:rPr>
        <w:t>（一）一般公共预算财政拨款支出决算总体情况</w:t>
      </w:r>
    </w:p>
    <w:p w14:paraId="5AD3B536">
      <w:pPr>
        <w:spacing w:line="580" w:lineRule="exact"/>
        <w:ind w:firstLine="640"/>
        <w:jc w:val="both"/>
      </w:pPr>
      <w:r>
        <w:rPr>
          <w:rFonts w:ascii="仿宋_GB2312" w:hAnsi="仿宋_GB2312" w:eastAsia="仿宋_GB2312"/>
          <w:b/>
          <w:sz w:val="32"/>
        </w:rPr>
        <w:t>2024年度一般公共预算财政拨款支出788.97万元，</w:t>
      </w:r>
      <w:r>
        <w:rPr>
          <w:rFonts w:ascii="仿宋_GB2312" w:hAnsi="仿宋_GB2312" w:eastAsia="仿宋_GB2312"/>
          <w:b w:val="0"/>
          <w:sz w:val="32"/>
        </w:rPr>
        <w:t>占本年支出合计的98.49%。</w:t>
      </w:r>
      <w:r>
        <w:rPr>
          <w:rFonts w:ascii="仿宋_GB2312" w:hAnsi="仿宋_GB2312" w:eastAsia="仿宋_GB2312"/>
          <w:b/>
          <w:sz w:val="32"/>
        </w:rPr>
        <w:t>与上年相比，</w:t>
      </w:r>
      <w:r>
        <w:rPr>
          <w:rFonts w:ascii="仿宋_GB2312" w:hAnsi="仿宋_GB2312" w:eastAsia="仿宋_GB2312"/>
          <w:b w:val="0"/>
          <w:sz w:val="32"/>
        </w:rPr>
        <w:t>增加133.45万元，增长20.36%，主要原因是：本年增加ZJ人士培训及巴州社会主义学院异地重建项目资金。</w:t>
      </w:r>
      <w:r>
        <w:rPr>
          <w:rFonts w:ascii="仿宋_GB2312" w:hAnsi="仿宋_GB2312" w:eastAsia="仿宋_GB2312"/>
          <w:b/>
          <w:sz w:val="32"/>
        </w:rPr>
        <w:t>与年初预算相比,</w:t>
      </w:r>
      <w:r>
        <w:rPr>
          <w:rFonts w:ascii="仿宋_GB2312" w:hAnsi="仿宋_GB2312" w:eastAsia="仿宋_GB2312"/>
          <w:b w:val="0"/>
          <w:sz w:val="32"/>
        </w:rPr>
        <w:t>年初预算数675.24万元，决算数788.97万元，预决算差异率16.84%，主要原因是：年中追加人员工资、社保、公积金基数调增部分资金，导致预决算存在差异。</w:t>
      </w:r>
    </w:p>
    <w:p w14:paraId="05587722">
      <w:pPr>
        <w:spacing w:line="640" w:lineRule="exact"/>
        <w:ind w:firstLine="640"/>
        <w:jc w:val="both"/>
        <w:outlineLvl w:val="3"/>
      </w:pPr>
      <w:r>
        <w:rPr>
          <w:rFonts w:ascii="楷体_GB2312" w:hAnsi="楷体_GB2312" w:eastAsia="楷体_GB2312"/>
          <w:b/>
          <w:sz w:val="32"/>
        </w:rPr>
        <w:t>（二）一般公共预算财政拨款支出决算结构情况</w:t>
      </w:r>
    </w:p>
    <w:p w14:paraId="285A8120">
      <w:pPr>
        <w:spacing w:line="580" w:lineRule="exact"/>
        <w:ind w:firstLine="640"/>
        <w:jc w:val="both"/>
      </w:pPr>
      <w:r>
        <w:rPr>
          <w:rFonts w:ascii="仿宋_GB2312" w:hAnsi="仿宋_GB2312" w:eastAsia="仿宋_GB2312"/>
          <w:b w:val="0"/>
          <w:sz w:val="32"/>
        </w:rPr>
        <w:t>1.一般公共服务支出(类)98.35万元,占12.47%。</w:t>
      </w:r>
    </w:p>
    <w:p w14:paraId="00915692">
      <w:pPr>
        <w:spacing w:line="580" w:lineRule="exact"/>
        <w:ind w:firstLine="640"/>
        <w:jc w:val="both"/>
      </w:pPr>
      <w:r>
        <w:rPr>
          <w:rFonts w:ascii="仿宋_GB2312" w:hAnsi="仿宋_GB2312" w:eastAsia="仿宋_GB2312"/>
          <w:b w:val="0"/>
          <w:sz w:val="32"/>
        </w:rPr>
        <w:t>2.教育支出(类)575.59万元,占72.95%。</w:t>
      </w:r>
    </w:p>
    <w:p w14:paraId="59FB770C">
      <w:pPr>
        <w:spacing w:line="580" w:lineRule="exact"/>
        <w:ind w:firstLine="640"/>
        <w:jc w:val="both"/>
      </w:pPr>
      <w:r>
        <w:rPr>
          <w:rFonts w:ascii="仿宋_GB2312" w:hAnsi="仿宋_GB2312" w:eastAsia="仿宋_GB2312"/>
          <w:b w:val="0"/>
          <w:sz w:val="32"/>
        </w:rPr>
        <w:t>3.社会保障和就业支出(类)69.05万元,占8.75%。</w:t>
      </w:r>
    </w:p>
    <w:p w14:paraId="49607968">
      <w:pPr>
        <w:spacing w:line="580" w:lineRule="exact"/>
        <w:ind w:firstLine="640"/>
        <w:jc w:val="both"/>
      </w:pPr>
      <w:r>
        <w:rPr>
          <w:rFonts w:ascii="仿宋_GB2312" w:hAnsi="仿宋_GB2312" w:eastAsia="仿宋_GB2312"/>
          <w:b w:val="0"/>
          <w:sz w:val="32"/>
        </w:rPr>
        <w:t>4.卫生健康支出(类)18.18万元,占2.30%。</w:t>
      </w:r>
    </w:p>
    <w:p w14:paraId="200D2D7B">
      <w:pPr>
        <w:spacing w:line="580" w:lineRule="exact"/>
        <w:ind w:firstLine="640"/>
        <w:jc w:val="both"/>
      </w:pPr>
      <w:r>
        <w:rPr>
          <w:rFonts w:ascii="仿宋_GB2312" w:hAnsi="仿宋_GB2312" w:eastAsia="仿宋_GB2312"/>
          <w:b w:val="0"/>
          <w:sz w:val="32"/>
        </w:rPr>
        <w:t>5.住房保障支出(类)27.8万元,占3.52%。</w:t>
      </w:r>
    </w:p>
    <w:p w14:paraId="552639C2">
      <w:pPr>
        <w:spacing w:line="640" w:lineRule="exact"/>
        <w:ind w:firstLine="640"/>
        <w:jc w:val="both"/>
        <w:outlineLvl w:val="3"/>
      </w:pPr>
      <w:r>
        <w:rPr>
          <w:rFonts w:ascii="楷体_GB2312" w:hAnsi="楷体_GB2312" w:eastAsia="楷体_GB2312"/>
          <w:b/>
          <w:sz w:val="32"/>
        </w:rPr>
        <w:t>（三）一般公共预算财政拨款支出决算具体情况</w:t>
      </w:r>
    </w:p>
    <w:p w14:paraId="4F476C62">
      <w:pPr>
        <w:spacing w:line="580" w:lineRule="exact"/>
        <w:ind w:firstLine="640"/>
        <w:jc w:val="both"/>
      </w:pPr>
      <w:r>
        <w:rPr>
          <w:rFonts w:ascii="仿宋_GB2312" w:hAnsi="仿宋_GB2312" w:eastAsia="仿宋_GB2312"/>
          <w:b w:val="0"/>
          <w:sz w:val="32"/>
        </w:rPr>
        <w:t>1.一般公共服务支出(类)统战事务(款)宗教事务(项):支出决算数为98.35万元，比上年决算增加98.35万元，增长100.00%,主要原因是：本年增加ZJ人士培训项目。</w:t>
      </w:r>
    </w:p>
    <w:p w14:paraId="1945E741">
      <w:pPr>
        <w:spacing w:line="580" w:lineRule="exact"/>
        <w:ind w:firstLine="640"/>
        <w:jc w:val="both"/>
      </w:pPr>
      <w:r>
        <w:rPr>
          <w:rFonts w:ascii="仿宋_GB2312" w:hAnsi="仿宋_GB2312" w:eastAsia="仿宋_GB2312"/>
          <w:b w:val="0"/>
          <w:sz w:val="32"/>
        </w:rPr>
        <w:t>2.教育支出(类)进修及培训(款)干部教育(项):支出决算数为574.34万元，比上年决算增加31.64万元，增长5.83%,主要原因是：本年培训班期数和培训学员增加，培训费较上年增加；本年增加巴州社会主义学院异地重建项目。</w:t>
      </w:r>
    </w:p>
    <w:p w14:paraId="45241765">
      <w:pPr>
        <w:spacing w:line="580" w:lineRule="exact"/>
        <w:ind w:firstLine="640"/>
        <w:jc w:val="both"/>
      </w:pPr>
      <w:r>
        <w:rPr>
          <w:rFonts w:ascii="仿宋_GB2312" w:hAnsi="仿宋_GB2312" w:eastAsia="仿宋_GB2312"/>
          <w:b w:val="0"/>
          <w:sz w:val="32"/>
        </w:rPr>
        <w:t>3.教育支出(类)进修及培训(款)培训支出(项):支出决算数为1.25万元，比上年决算增加0.08万元，增长6.84%,主要原因是：本年培训次数增加，导致培训费较上年增加。</w:t>
      </w:r>
    </w:p>
    <w:p w14:paraId="6FE2735B">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4.社会保障和就业支出(类)行政事业单位养老支出(款)行政单位离退休(项):支出决算数为24.06万元，比上年决算增加3.90万元，增长19.35%,主要原因是：本年增加退休人员基础绩效奖，退休费支出增加。</w:t>
      </w:r>
    </w:p>
    <w:p w14:paraId="0BAF63C8">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2.12万元，比上年决算增加2.12万元，增长100.00%,主要原因是：本年功能科目调整，事业单位离退休上年度在行政单位离退休科目列支，本年单独列支，导致经费较上年增加。</w:t>
      </w:r>
    </w:p>
    <w:p w14:paraId="518953A3">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34.7万元，比上年决算增加2.39万元，增长7.40%,主要原因是：本年在职人员工资基数调增，养老缴费基数上涨，相应支出增加。</w:t>
      </w:r>
    </w:p>
    <w:p w14:paraId="3E161C9D">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8.17万元，比上年决算减少6.58万元，下降44.61%,主要原因是：本年新增调出人员较上年减少，职业年金缴费较上年减少。</w:t>
      </w:r>
    </w:p>
    <w:p w14:paraId="18597AAF">
      <w:pPr>
        <w:spacing w:line="580" w:lineRule="exact"/>
        <w:ind w:firstLine="640"/>
        <w:jc w:val="both"/>
      </w:pPr>
      <w:r>
        <w:rPr>
          <w:rFonts w:ascii="仿宋_GB2312" w:hAnsi="仿宋_GB2312" w:eastAsia="仿宋_GB2312"/>
          <w:b w:val="0"/>
          <w:sz w:val="32"/>
        </w:rPr>
        <w:t>8.卫生健康支出(类)行政事业单位医疗(款)行政单位医疗(项):支出决算数为6.86万元，比上年决算增加1.33万元，增长24.05%,主要原因是：本年在职人员工资基数调增，行政医疗缴费基数上涨，相应支出增加。</w:t>
      </w:r>
    </w:p>
    <w:p w14:paraId="7CE1224E">
      <w:pPr>
        <w:spacing w:line="580" w:lineRule="exact"/>
        <w:ind w:firstLine="640"/>
        <w:jc w:val="both"/>
      </w:pPr>
      <w:r>
        <w:rPr>
          <w:rFonts w:ascii="仿宋_GB2312" w:hAnsi="仿宋_GB2312" w:eastAsia="仿宋_GB2312"/>
          <w:b w:val="0"/>
          <w:sz w:val="32"/>
        </w:rPr>
        <w:t>9.卫生健康支出(类)行政事业单位医疗(款)事业单位医疗(项):支出决算数为7.9万元，比上年决算减少2.56万元，下降24.47%,主要原因是：本年在职人员减少，相应事业单位医疗支出减少。</w:t>
      </w:r>
    </w:p>
    <w:p w14:paraId="6182562C">
      <w:pPr>
        <w:spacing w:line="580" w:lineRule="exact"/>
        <w:ind w:firstLine="640"/>
        <w:jc w:val="both"/>
      </w:pPr>
      <w:r>
        <w:rPr>
          <w:rFonts w:ascii="仿宋_GB2312" w:hAnsi="仿宋_GB2312" w:eastAsia="仿宋_GB2312"/>
          <w:b w:val="0"/>
          <w:sz w:val="32"/>
        </w:rPr>
        <w:t>10.卫生健康支出(类)行政事业单位医疗(款)公务员医疗补助(项):支出决算数为2.94万元，比上年决算减少0.32万元，下降9.82%,主要原因是：本年在职人员减少，相应公务员医疗补助较上年减少。</w:t>
      </w:r>
    </w:p>
    <w:p w14:paraId="5BDB7548">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11.卫生健康支出(类)行政事业单位医疗(款)其他行政事业单位医疗支出(项):支出决算数为0.48万元，比上年决算减少0.60万元，下降55.56%,主要原因是：本年在职人员减少，相应其他行政事业单位医疗支出减少。</w:t>
      </w:r>
    </w:p>
    <w:p w14:paraId="737CBBEE">
      <w:pPr>
        <w:spacing w:line="580" w:lineRule="exact"/>
        <w:ind w:firstLine="640"/>
        <w:jc w:val="both"/>
      </w:pPr>
      <w:r>
        <w:rPr>
          <w:rFonts w:ascii="仿宋_GB2312" w:hAnsi="仿宋_GB2312" w:eastAsia="仿宋_GB2312"/>
          <w:b w:val="0"/>
          <w:sz w:val="32"/>
        </w:rPr>
        <w:t>12.住房保障支出(类)住房改革支出(款)住房公积金(项):支出决算数为27.8万元，比上年决算增加3.71万元，增长15.40%,主要原因是：本年在职人员工资基数调增，公积金缴费基数上涨，相应支出增加。</w:t>
      </w:r>
    </w:p>
    <w:p w14:paraId="4222CF08">
      <w:pPr>
        <w:spacing w:line="640" w:lineRule="exact"/>
        <w:ind w:firstLine="640"/>
        <w:jc w:val="both"/>
        <w:outlineLvl w:val="2"/>
      </w:pPr>
      <w:r>
        <w:rPr>
          <w:rFonts w:ascii="黑体" w:hAnsi="黑体" w:eastAsia="黑体"/>
          <w:sz w:val="32"/>
        </w:rPr>
        <w:t>六、一般公共预算财政拨款基本支出决算情况说明</w:t>
      </w:r>
    </w:p>
    <w:p w14:paraId="3DD8E968">
      <w:pPr>
        <w:spacing w:line="580" w:lineRule="exact"/>
        <w:ind w:firstLine="640"/>
        <w:jc w:val="both"/>
      </w:pPr>
      <w:r>
        <w:rPr>
          <w:rFonts w:ascii="仿宋_GB2312" w:hAnsi="仿宋_GB2312" w:eastAsia="仿宋_GB2312"/>
          <w:b w:val="0"/>
          <w:sz w:val="32"/>
        </w:rPr>
        <w:t>2024年度一般公共预算财政拨款基本支出467.50万元，其中：</w:t>
      </w:r>
      <w:r>
        <w:rPr>
          <w:rFonts w:ascii="仿宋_GB2312" w:hAnsi="仿宋_GB2312" w:eastAsia="仿宋_GB2312"/>
          <w:b/>
          <w:sz w:val="32"/>
        </w:rPr>
        <w:t>人员经费385.86万元，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奖励金。</w:t>
      </w:r>
    </w:p>
    <w:p w14:paraId="0C20FB01">
      <w:pPr>
        <w:spacing w:line="580" w:lineRule="exact"/>
        <w:ind w:firstLine="640"/>
        <w:jc w:val="both"/>
      </w:pPr>
      <w:r>
        <w:rPr>
          <w:rFonts w:ascii="仿宋_GB2312" w:hAnsi="仿宋_GB2312" w:eastAsia="仿宋_GB2312"/>
          <w:b/>
          <w:sz w:val="32"/>
        </w:rPr>
        <w:t>公用经费81.64万元，</w:t>
      </w:r>
      <w:r>
        <w:rPr>
          <w:rFonts w:ascii="仿宋_GB2312" w:hAnsi="仿宋_GB2312" w:eastAsia="仿宋_GB2312"/>
          <w:b w:val="0"/>
          <w:sz w:val="32"/>
        </w:rPr>
        <w:t>包括：办公费、水费、电费、邮电费、取暖费、物业管理费、差旅费、租赁费、培训费、劳务费、工会经费、福利费、公务用车运行维护费。</w:t>
      </w:r>
    </w:p>
    <w:p w14:paraId="51582F4C">
      <w:pPr>
        <w:spacing w:line="640" w:lineRule="exact"/>
        <w:ind w:firstLine="640"/>
        <w:jc w:val="both"/>
        <w:outlineLvl w:val="2"/>
      </w:pPr>
      <w:r>
        <w:rPr>
          <w:rFonts w:ascii="黑体" w:hAnsi="黑体" w:eastAsia="黑体"/>
          <w:sz w:val="32"/>
        </w:rPr>
        <w:t>七、政府性基金预算财政拨款收入支出决算情况说明</w:t>
      </w:r>
    </w:p>
    <w:p w14:paraId="03CD443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FD529C">
      <w:pPr>
        <w:spacing w:line="640" w:lineRule="exact"/>
        <w:ind w:firstLine="640"/>
        <w:jc w:val="both"/>
        <w:outlineLvl w:val="2"/>
      </w:pPr>
      <w:r>
        <w:rPr>
          <w:rFonts w:ascii="黑体" w:hAnsi="黑体" w:eastAsia="黑体"/>
          <w:sz w:val="32"/>
        </w:rPr>
        <w:t>八、国有资本经营预算财政拨款收入支出决算情况说明</w:t>
      </w:r>
    </w:p>
    <w:p w14:paraId="604E9AC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FD8A70">
      <w:pPr>
        <w:spacing w:line="640" w:lineRule="exact"/>
        <w:ind w:firstLine="640"/>
        <w:jc w:val="both"/>
        <w:outlineLvl w:val="2"/>
      </w:pPr>
      <w:r>
        <w:rPr>
          <w:rFonts w:ascii="黑体" w:hAnsi="黑体" w:eastAsia="黑体"/>
          <w:sz w:val="32"/>
        </w:rPr>
        <w:t>九、财政拨款“三公”经费支出决算情况说明</w:t>
      </w:r>
    </w:p>
    <w:p w14:paraId="135A65B0">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5.60万元，占100.00%，比上年增加0.00万元，增长0.00%，主要原因是：本单位公务用车运行维护费与上年一致无变化。公务接待费支出0.00万元，占0.00%，比上年增加0.00万元，增长0.00%，主要原因是：2023年与2024年均未安排公务接待费支出。</w:t>
      </w:r>
    </w:p>
    <w:p w14:paraId="2D9296F2">
      <w:pPr>
        <w:spacing w:line="580" w:lineRule="exact"/>
        <w:ind w:firstLine="640"/>
        <w:jc w:val="both"/>
      </w:pPr>
      <w:r>
        <w:rPr>
          <w:rFonts w:ascii="仿宋_GB2312" w:hAnsi="仿宋_GB2312" w:eastAsia="仿宋_GB2312"/>
          <w:b/>
          <w:sz w:val="32"/>
        </w:rPr>
        <w:t>具体情况如下：</w:t>
      </w:r>
    </w:p>
    <w:p w14:paraId="3C525C5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995ECC0">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维修、保险费、燃油费、过路费。公务用车购置数0辆，公务用车保有量3辆。国有资产占用情况中固定资产车辆3辆，与公务用车保有量差异原因是：本单位固定资产车辆与公务用车保有量一致无差异。</w:t>
      </w:r>
    </w:p>
    <w:p w14:paraId="69B06A8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4A29B0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4AD8F430">
      <w:pPr>
        <w:spacing w:line="640" w:lineRule="exact"/>
        <w:ind w:firstLine="640"/>
        <w:jc w:val="both"/>
        <w:outlineLvl w:val="2"/>
      </w:pPr>
      <w:r>
        <w:rPr>
          <w:rFonts w:ascii="黑体" w:hAnsi="黑体" w:eastAsia="黑体"/>
          <w:sz w:val="32"/>
        </w:rPr>
        <w:t>十、其他重要事项的情况说明</w:t>
      </w:r>
    </w:p>
    <w:p w14:paraId="427C8EDD">
      <w:pPr>
        <w:spacing w:line="640" w:lineRule="exact"/>
        <w:ind w:firstLine="640"/>
        <w:jc w:val="both"/>
        <w:outlineLvl w:val="3"/>
      </w:pPr>
      <w:r>
        <w:rPr>
          <w:rFonts w:ascii="楷体_GB2312" w:hAnsi="楷体_GB2312" w:eastAsia="楷体_GB2312"/>
          <w:b/>
          <w:sz w:val="32"/>
        </w:rPr>
        <w:t>（一）机关运行经费及公用经费支出情况</w:t>
      </w:r>
    </w:p>
    <w:p w14:paraId="5BC28D1D">
      <w:pPr>
        <w:spacing w:line="580" w:lineRule="exact"/>
        <w:ind w:firstLine="640"/>
        <w:jc w:val="both"/>
      </w:pPr>
      <w:r>
        <w:rPr>
          <w:rFonts w:ascii="仿宋_GB2312" w:hAnsi="仿宋_GB2312" w:eastAsia="仿宋_GB2312"/>
          <w:b w:val="0"/>
          <w:sz w:val="32"/>
        </w:rPr>
        <w:t>2024年度新疆巴州社会主义学院（事业单位）公用经费支出81.64万元，比上年增加27.50万元，增长50.79%，主要原因是：本年增加办公费、培训费、劳务费，相应公用经费增加。</w:t>
      </w:r>
    </w:p>
    <w:p w14:paraId="1C336FC8">
      <w:pPr>
        <w:spacing w:line="640" w:lineRule="exact"/>
        <w:ind w:firstLine="640"/>
        <w:jc w:val="both"/>
        <w:outlineLvl w:val="3"/>
      </w:pPr>
      <w:r>
        <w:rPr>
          <w:rFonts w:ascii="楷体_GB2312" w:hAnsi="楷体_GB2312" w:eastAsia="楷体_GB2312"/>
          <w:b/>
          <w:sz w:val="32"/>
        </w:rPr>
        <w:t>（二）政府采购情况</w:t>
      </w:r>
    </w:p>
    <w:p w14:paraId="51EA1391">
      <w:pPr>
        <w:spacing w:line="580" w:lineRule="exact"/>
        <w:ind w:firstLine="640"/>
        <w:jc w:val="both"/>
      </w:pPr>
      <w:r>
        <w:rPr>
          <w:rFonts w:ascii="仿宋_GB2312" w:hAnsi="仿宋_GB2312" w:eastAsia="仿宋_GB2312"/>
          <w:b w:val="0"/>
          <w:sz w:val="32"/>
        </w:rPr>
        <w:t>2024年度政府采购支出总额5.35万元，其中：政府采购货物支出2.75万元、政府采购工程支出0.00万元、政府采购服务支出2.60万元。</w:t>
      </w:r>
    </w:p>
    <w:p w14:paraId="2B2A0FA8">
      <w:pPr>
        <w:spacing w:line="580" w:lineRule="exact"/>
        <w:ind w:firstLine="640"/>
        <w:jc w:val="both"/>
      </w:pPr>
      <w:r>
        <w:rPr>
          <w:rFonts w:ascii="仿宋_GB2312" w:hAnsi="仿宋_GB2312" w:eastAsia="仿宋_GB2312"/>
          <w:b w:val="0"/>
          <w:sz w:val="32"/>
        </w:rPr>
        <w:t>授予中小企业合同金额4.09万元，占政府采购支出总额的76.45%，其中：授予小微企业合同金额3.97万元，占政府采购支出总额的74.21%。</w:t>
      </w:r>
    </w:p>
    <w:p w14:paraId="40C32E1B">
      <w:pPr>
        <w:spacing w:line="640" w:lineRule="exact"/>
        <w:ind w:firstLine="640"/>
        <w:jc w:val="both"/>
        <w:outlineLvl w:val="3"/>
      </w:pPr>
      <w:r>
        <w:rPr>
          <w:rFonts w:ascii="楷体_GB2312" w:hAnsi="楷体_GB2312" w:eastAsia="楷体_GB2312"/>
          <w:b/>
          <w:sz w:val="32"/>
        </w:rPr>
        <w:t>（三）国有资产占用情况说明</w:t>
      </w:r>
    </w:p>
    <w:p w14:paraId="3582FE34">
      <w:pPr>
        <w:spacing w:line="580" w:lineRule="exact"/>
        <w:ind w:firstLine="640"/>
        <w:jc w:val="both"/>
      </w:pPr>
      <w:r>
        <w:rPr>
          <w:rFonts w:ascii="仿宋_GB2312" w:hAnsi="仿宋_GB2312" w:eastAsia="仿宋_GB2312"/>
          <w:b w:val="0"/>
          <w:sz w:val="32"/>
        </w:rPr>
        <w:t>截至2024年12月31日，房屋8,190.94平方米，价值2,667.62万元。车辆3辆，价值29.54万元，其中：副部（省）级及以上领导用车0辆、主要负责人用车2辆、机要通信用车0辆、应急保障用车0辆、执法执勤用车0辆、特种专业技术用车0辆、离退休干部服务用车0辆、其他用车1辆，其他用车主要是：一般公务用车。单价100万元（含）以上设备（不含车辆）0台（套）。</w:t>
      </w:r>
    </w:p>
    <w:p w14:paraId="7F7A6F1D">
      <w:pPr>
        <w:spacing w:line="640" w:lineRule="exact"/>
        <w:ind w:firstLine="640"/>
        <w:jc w:val="both"/>
        <w:outlineLvl w:val="2"/>
      </w:pPr>
      <w:r>
        <w:rPr>
          <w:rFonts w:ascii="黑体" w:hAnsi="黑体" w:eastAsia="黑体"/>
          <w:sz w:val="32"/>
        </w:rPr>
        <w:t>十一、预算绩效的情况说明</w:t>
      </w:r>
    </w:p>
    <w:p w14:paraId="374CA034">
      <w:pPr>
        <w:spacing w:line="580" w:lineRule="exact"/>
        <w:ind w:firstLine="640"/>
        <w:jc w:val="both"/>
      </w:pPr>
      <w:r>
        <w:rPr>
          <w:rFonts w:ascii="仿宋_GB2312" w:hAnsi="仿宋_GB2312" w:eastAsia="仿宋_GB2312"/>
          <w:b w:val="0"/>
          <w:sz w:val="32"/>
        </w:rPr>
        <w:t>根据预算绩效管理要求，本单位预算绩效评价项目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328.13</w:t>
      </w:r>
      <w:r>
        <w:rPr>
          <w:rFonts w:ascii="仿宋_GB2312" w:hAnsi="仿宋_GB2312" w:eastAsia="仿宋_GB2312"/>
          <w:b w:val="0"/>
          <w:sz w:val="32"/>
        </w:rPr>
        <w:t>万元，全年执行数</w:t>
      </w:r>
      <w:r>
        <w:rPr>
          <w:rFonts w:hint="eastAsia" w:ascii="仿宋_GB2312" w:hAnsi="仿宋_GB2312" w:eastAsia="仿宋_GB2312"/>
          <w:b w:val="0"/>
          <w:sz w:val="32"/>
        </w:rPr>
        <w:t>321.48</w:t>
      </w:r>
      <w:r>
        <w:rPr>
          <w:rFonts w:ascii="仿宋_GB2312" w:hAnsi="仿宋_GB2312" w:eastAsia="仿宋_GB2312"/>
          <w:b w:val="0"/>
          <w:sz w:val="32"/>
        </w:rPr>
        <w:t>万元。预算绩效管理取得的成效：一是本单位以绩效目标实现为导向，加强制度建设，提升预算执行质量，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和评价报告。</w:t>
      </w:r>
    </w:p>
    <w:p w14:paraId="69BC10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2D4BE4AC">
        <w:tblPrEx>
          <w:tblCellMar>
            <w:top w:w="0" w:type="dxa"/>
            <w:left w:w="108" w:type="dxa"/>
            <w:bottom w:w="0" w:type="dxa"/>
            <w:right w:w="108" w:type="dxa"/>
          </w:tblCellMar>
        </w:tblPrEx>
        <w:tc>
          <w:tcPr>
            <w:tcW w:w="8848" w:type="dxa"/>
            <w:gridSpan w:val="14"/>
            <w:vAlign w:val="center"/>
          </w:tcPr>
          <w:p w14:paraId="70505220">
            <w:pPr>
              <w:jc w:val="center"/>
            </w:pPr>
            <w:r>
              <w:rPr>
                <w:rFonts w:ascii="宋体" w:hAnsi="宋体" w:eastAsia="宋体"/>
                <w:sz w:val="24"/>
              </w:rPr>
              <w:t>项目支出绩效自评表</w:t>
            </w:r>
          </w:p>
        </w:tc>
      </w:tr>
      <w:tr w14:paraId="65B131CA">
        <w:tblPrEx>
          <w:tblCellMar>
            <w:top w:w="0" w:type="dxa"/>
            <w:left w:w="108" w:type="dxa"/>
            <w:bottom w:w="0" w:type="dxa"/>
            <w:right w:w="108" w:type="dxa"/>
          </w:tblCellMar>
        </w:tblPrEx>
        <w:tc>
          <w:tcPr>
            <w:tcW w:w="8848" w:type="dxa"/>
            <w:gridSpan w:val="14"/>
            <w:vAlign w:val="center"/>
          </w:tcPr>
          <w:p w14:paraId="02E1835B">
            <w:pPr>
              <w:jc w:val="center"/>
            </w:pPr>
            <w:r>
              <w:rPr>
                <w:rFonts w:ascii="宋体" w:hAnsi="宋体" w:eastAsia="宋体"/>
                <w:sz w:val="24"/>
              </w:rPr>
              <w:t>(2024年度)</w:t>
            </w:r>
          </w:p>
        </w:tc>
      </w:tr>
      <w:tr w14:paraId="3DDB3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9E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AFA0F6">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BE031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C0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401535">
            <w:pPr>
              <w:jc w:val="center"/>
            </w:pPr>
            <w:r>
              <w:rPr>
                <w:rFonts w:ascii="宋体" w:hAnsi="宋体" w:eastAsia="宋体"/>
                <w:sz w:val="16"/>
              </w:rPr>
              <w:t>新疆巴州社会主义学院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19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0946A">
            <w:pPr>
              <w:jc w:val="center"/>
            </w:pPr>
            <w:r>
              <w:rPr>
                <w:rFonts w:ascii="宋体" w:hAnsi="宋体" w:eastAsia="宋体"/>
                <w:sz w:val="16"/>
              </w:rPr>
              <w:t>新疆巴州社会主义学院</w:t>
            </w:r>
          </w:p>
        </w:tc>
      </w:tr>
      <w:tr w14:paraId="1FA581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8D16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56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FB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86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B05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87B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DD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5449">
            <w:pPr>
              <w:jc w:val="center"/>
            </w:pPr>
            <w:r>
              <w:rPr>
                <w:rFonts w:ascii="宋体" w:hAnsi="宋体" w:eastAsia="宋体"/>
                <w:sz w:val="16"/>
              </w:rPr>
              <w:t>得分</w:t>
            </w:r>
          </w:p>
        </w:tc>
      </w:tr>
      <w:tr w14:paraId="1B6AEE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8B0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7A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78E5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022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421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B66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20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DBFE">
            <w:pPr>
              <w:jc w:val="center"/>
            </w:pPr>
            <w:r>
              <w:rPr>
                <w:rFonts w:ascii="宋体" w:hAnsi="宋体" w:eastAsia="宋体"/>
                <w:sz w:val="16"/>
              </w:rPr>
              <w:t>10.00</w:t>
            </w:r>
          </w:p>
        </w:tc>
      </w:tr>
      <w:tr w14:paraId="32FAB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5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3B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F3C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C17E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3477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15C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F1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9B7D">
            <w:pPr>
              <w:jc w:val="center"/>
            </w:pPr>
            <w:r>
              <w:rPr>
                <w:rFonts w:ascii="宋体" w:hAnsi="宋体" w:eastAsia="宋体"/>
                <w:sz w:val="16"/>
              </w:rPr>
              <w:t>-</w:t>
            </w:r>
          </w:p>
        </w:tc>
      </w:tr>
      <w:tr w14:paraId="57115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7B2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2EB8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86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37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DAA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9A0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3D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19F6">
            <w:pPr>
              <w:jc w:val="center"/>
            </w:pPr>
            <w:r>
              <w:rPr>
                <w:rFonts w:ascii="宋体" w:hAnsi="宋体" w:eastAsia="宋体"/>
                <w:sz w:val="16"/>
              </w:rPr>
              <w:t>-</w:t>
            </w:r>
          </w:p>
        </w:tc>
      </w:tr>
      <w:tr w14:paraId="10FB78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D5DE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C3861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98D8C">
            <w:pPr>
              <w:jc w:val="center"/>
            </w:pPr>
            <w:r>
              <w:rPr>
                <w:rFonts w:ascii="宋体" w:hAnsi="宋体" w:eastAsia="宋体"/>
                <w:sz w:val="16"/>
              </w:rPr>
              <w:t>总体目标完成情况</w:t>
            </w:r>
          </w:p>
        </w:tc>
      </w:tr>
      <w:tr w14:paraId="69ADD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F6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C8F77">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轮台县阳霞镇乌尊布拉克村工作队1个，第一书记1人，派驻工作队4人，合理合规使用为民办实事经费，确保为民办实事经费使用的安全性、规范性和实效性，确保为民办实事工作经费落实到实处，达到提高居民文化生活水平，有效提升群众获得感和满意度。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9AE6A">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轮台县阳霞镇乌尊布拉克村工作队1个，第一书记1人，派驻工作队4人，已完成工作队本年度慰问困难群众煤炭、米面油及生活用品，确保为民办实事工作经费落实到实处，达到提高居民文化生活水平，有效提升群众获得感和满意度。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r>
      <w:tr w14:paraId="74F6C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D48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86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D1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79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559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3B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C88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70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72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CC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611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F2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C92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0FD6">
            <w:pPr>
              <w:jc w:val="center"/>
            </w:pPr>
            <w:r>
              <w:rPr>
                <w:rFonts w:ascii="宋体" w:hAnsi="宋体" w:eastAsia="宋体"/>
                <w:sz w:val="16"/>
              </w:rPr>
              <w:t>偏差原因分析及改进措施</w:t>
            </w:r>
          </w:p>
        </w:tc>
      </w:tr>
      <w:tr w14:paraId="0D3631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DAF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E0F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4BD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47AF">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CE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9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B0B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9D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3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12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B8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82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C663">
            <w:pPr>
              <w:jc w:val="center"/>
            </w:pPr>
          </w:p>
        </w:tc>
      </w:tr>
      <w:tr w14:paraId="0BDDB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DF1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18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65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73C3">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4CA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A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CC9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F8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E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8C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998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6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7C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1D2A">
            <w:pPr>
              <w:jc w:val="center"/>
            </w:pPr>
          </w:p>
        </w:tc>
      </w:tr>
      <w:tr w14:paraId="519C5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03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4E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CA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2E06">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FAAC">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7F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68A7">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EE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7E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E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C298">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A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2B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0F4C">
            <w:pPr>
              <w:jc w:val="center"/>
            </w:pPr>
          </w:p>
        </w:tc>
      </w:tr>
      <w:tr w14:paraId="2E3CD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6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FD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DD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BA11">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4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2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49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E3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8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C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6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6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41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6257">
            <w:pPr>
              <w:jc w:val="center"/>
            </w:pPr>
          </w:p>
        </w:tc>
      </w:tr>
      <w:tr w14:paraId="21F6F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99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AA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90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105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86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5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2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626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B0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3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7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8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14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8A19">
            <w:pPr>
              <w:jc w:val="center"/>
            </w:pPr>
          </w:p>
        </w:tc>
      </w:tr>
      <w:tr w14:paraId="6DD27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E4D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025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5A8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D21D">
            <w:pPr>
              <w:jc w:val="center"/>
            </w:pPr>
            <w:r>
              <w:rPr>
                <w:rFonts w:ascii="宋体" w:hAnsi="宋体" w:eastAsia="宋体"/>
                <w:sz w:val="16"/>
              </w:rPr>
              <w:t>阳霞镇乌尊布拉克村为民办事经费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5A8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0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6F8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2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A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47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3DC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71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E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FF7D">
            <w:pPr>
              <w:jc w:val="center"/>
            </w:pPr>
          </w:p>
        </w:tc>
      </w:tr>
      <w:tr w14:paraId="0CB3F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67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7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B8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D11E">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960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8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B4D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8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E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BC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5B6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C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36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4EA5">
            <w:pPr>
              <w:jc w:val="center"/>
            </w:pPr>
          </w:p>
        </w:tc>
      </w:tr>
      <w:tr w14:paraId="5F90A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9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85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AD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1BAB">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ED5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2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63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B4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72E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E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5542">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F1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F5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0611">
            <w:pPr>
              <w:jc w:val="center"/>
            </w:pPr>
          </w:p>
        </w:tc>
      </w:tr>
      <w:tr w14:paraId="61388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46B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04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51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8B71">
            <w:pPr>
              <w:jc w:val="center"/>
            </w:pPr>
            <w:r>
              <w:rPr>
                <w:rFonts w:ascii="宋体" w:hAnsi="宋体" w:eastAsia="宋体"/>
                <w:sz w:val="16"/>
              </w:rPr>
              <w:t>帮扶村民满意度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89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0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DF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C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79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FC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B6B7">
            <w:pPr>
              <w:jc w:val="center"/>
            </w:pPr>
            <w:r>
              <w:rPr>
                <w:rFonts w:ascii="宋体" w:hAnsi="宋体" w:eastAsia="宋体"/>
                <w:sz w:val="16"/>
              </w:rPr>
              <w:t>=95.77%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F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2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4C56">
            <w:pPr>
              <w:jc w:val="center"/>
            </w:pPr>
          </w:p>
        </w:tc>
      </w:tr>
      <w:tr w14:paraId="1C417F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BA03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BAF2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F44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35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8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49D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F792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1A7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23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EC7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1CFE0"/>
        </w:tc>
      </w:tr>
    </w:tbl>
    <w:p w14:paraId="7D22A4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4E696E9">
        <w:tblPrEx>
          <w:tblCellMar>
            <w:top w:w="0" w:type="dxa"/>
            <w:left w:w="108" w:type="dxa"/>
            <w:bottom w:w="0" w:type="dxa"/>
            <w:right w:w="108" w:type="dxa"/>
          </w:tblCellMar>
        </w:tblPrEx>
        <w:tc>
          <w:tcPr>
            <w:tcW w:w="8848" w:type="dxa"/>
            <w:gridSpan w:val="14"/>
            <w:vAlign w:val="center"/>
          </w:tcPr>
          <w:p w14:paraId="53E00309">
            <w:pPr>
              <w:jc w:val="center"/>
            </w:pPr>
            <w:r>
              <w:rPr>
                <w:rFonts w:ascii="宋体" w:hAnsi="宋体" w:eastAsia="宋体"/>
                <w:sz w:val="24"/>
              </w:rPr>
              <w:t>项目支出绩效自评表</w:t>
            </w:r>
          </w:p>
        </w:tc>
      </w:tr>
      <w:tr w14:paraId="7FFBEC1E">
        <w:tblPrEx>
          <w:tblCellMar>
            <w:top w:w="0" w:type="dxa"/>
            <w:left w:w="108" w:type="dxa"/>
            <w:bottom w:w="0" w:type="dxa"/>
            <w:right w:w="108" w:type="dxa"/>
          </w:tblCellMar>
        </w:tblPrEx>
        <w:tc>
          <w:tcPr>
            <w:tcW w:w="8848" w:type="dxa"/>
            <w:gridSpan w:val="14"/>
            <w:vAlign w:val="center"/>
          </w:tcPr>
          <w:p w14:paraId="39E86A96">
            <w:pPr>
              <w:jc w:val="center"/>
            </w:pPr>
            <w:r>
              <w:rPr>
                <w:rFonts w:ascii="宋体" w:hAnsi="宋体" w:eastAsia="宋体"/>
                <w:sz w:val="24"/>
              </w:rPr>
              <w:t>(2024年度)</w:t>
            </w:r>
          </w:p>
        </w:tc>
      </w:tr>
      <w:tr w14:paraId="4150B7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69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1B2547">
            <w:pPr>
              <w:jc w:val="center"/>
            </w:pPr>
            <w:r>
              <w:rPr>
                <w:rFonts w:ascii="宋体" w:hAnsi="宋体" w:eastAsia="宋体"/>
                <w:sz w:val="16"/>
              </w:rPr>
              <w:t>巴州社会主义学院异地重建项目</w:t>
            </w:r>
          </w:p>
        </w:tc>
      </w:tr>
      <w:tr w14:paraId="2EFC3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43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A2EDF">
            <w:pPr>
              <w:jc w:val="center"/>
            </w:pPr>
            <w:r>
              <w:rPr>
                <w:rFonts w:ascii="宋体" w:hAnsi="宋体" w:eastAsia="宋体"/>
                <w:sz w:val="16"/>
              </w:rPr>
              <w:t>新疆巴州社会主义学院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23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6AF7E5">
            <w:pPr>
              <w:jc w:val="center"/>
            </w:pPr>
            <w:r>
              <w:rPr>
                <w:rFonts w:ascii="宋体" w:hAnsi="宋体" w:eastAsia="宋体"/>
                <w:sz w:val="16"/>
              </w:rPr>
              <w:t>新疆巴州社会主义学院</w:t>
            </w:r>
          </w:p>
        </w:tc>
      </w:tr>
      <w:tr w14:paraId="13BEE6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B726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64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18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6A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69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B9A0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D6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BDBB">
            <w:pPr>
              <w:jc w:val="center"/>
            </w:pPr>
            <w:r>
              <w:rPr>
                <w:rFonts w:ascii="宋体" w:hAnsi="宋体" w:eastAsia="宋体"/>
                <w:sz w:val="16"/>
              </w:rPr>
              <w:t>得分</w:t>
            </w:r>
          </w:p>
        </w:tc>
      </w:tr>
      <w:tr w14:paraId="3750C8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6EA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E3F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CB519">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05AA2">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22B29">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415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C62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CDC3">
            <w:pPr>
              <w:jc w:val="center"/>
            </w:pPr>
            <w:r>
              <w:rPr>
                <w:rFonts w:ascii="宋体" w:hAnsi="宋体" w:eastAsia="宋体"/>
                <w:sz w:val="16"/>
              </w:rPr>
              <w:t>10.00</w:t>
            </w:r>
          </w:p>
        </w:tc>
      </w:tr>
      <w:tr w14:paraId="4EB67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2F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E4C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A42D">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80C2">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18C42">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9B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5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5A68">
            <w:pPr>
              <w:jc w:val="center"/>
            </w:pPr>
            <w:r>
              <w:rPr>
                <w:rFonts w:ascii="宋体" w:hAnsi="宋体" w:eastAsia="宋体"/>
                <w:sz w:val="16"/>
              </w:rPr>
              <w:t>-</w:t>
            </w:r>
          </w:p>
        </w:tc>
      </w:tr>
      <w:tr w14:paraId="0E306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B4E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848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C2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FA6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528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E09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96B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F60A">
            <w:pPr>
              <w:jc w:val="center"/>
            </w:pPr>
            <w:r>
              <w:rPr>
                <w:rFonts w:ascii="宋体" w:hAnsi="宋体" w:eastAsia="宋体"/>
                <w:sz w:val="16"/>
              </w:rPr>
              <w:t>-</w:t>
            </w:r>
          </w:p>
        </w:tc>
      </w:tr>
      <w:tr w14:paraId="34DA3B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DE5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DF0D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BF74F4">
            <w:pPr>
              <w:jc w:val="center"/>
            </w:pPr>
            <w:r>
              <w:rPr>
                <w:rFonts w:ascii="宋体" w:hAnsi="宋体" w:eastAsia="宋体"/>
                <w:sz w:val="16"/>
              </w:rPr>
              <w:t>总体目标完成情况</w:t>
            </w:r>
          </w:p>
        </w:tc>
      </w:tr>
      <w:tr w14:paraId="445D8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D3B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95F72">
            <w:pPr>
              <w:jc w:val="both"/>
            </w:pPr>
            <w:r>
              <w:rPr>
                <w:rFonts w:ascii="宋体" w:hAnsi="宋体" w:eastAsia="宋体"/>
                <w:sz w:val="16"/>
              </w:rPr>
              <w:t>为贯彻落实自治区党委组织部《2013</w:t>
            </w:r>
            <w:bookmarkStart w:id="0" w:name="_GoBack"/>
            <w:r>
              <w:rPr>
                <w:rFonts w:ascii="宋体" w:hAnsi="宋体" w:eastAsia="宋体"/>
                <w:sz w:val="16"/>
              </w:rPr>
              <w:t>-</w:t>
            </w:r>
            <w:bookmarkEnd w:id="0"/>
            <w:r>
              <w:rPr>
                <w:rFonts w:ascii="宋体" w:hAnsi="宋体" w:eastAsia="宋体"/>
                <w:sz w:val="16"/>
              </w:rPr>
              <w:t>2017年自治区干部教育培训规划》有关精神，新建巴州社会主义教学楼。巴州社会主义学院异地重建项目及其附属工程总投资3000万元，该工程于2019年6月竣工验收，2019年10月工程结算，已付新疆双雄集团公司2563.02万元，本次共支付巴州社会主义学院异地重建项目部分工程款82.63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6878E0">
            <w:pPr>
              <w:jc w:val="both"/>
            </w:pPr>
            <w:r>
              <w:rPr>
                <w:rFonts w:ascii="宋体" w:hAnsi="宋体" w:eastAsia="宋体"/>
                <w:sz w:val="16"/>
              </w:rPr>
              <w:t>为贯彻落实自治区党委组织部《2013-2017年自治区干部教育培训规划》有关精神，新建巴州社会主义教学楼，本次共支付异地重建项目部分工程款82.63万元，教学楼建设为教师提供了更好的教学环境，有利于提高教学质量。</w:t>
            </w:r>
          </w:p>
        </w:tc>
      </w:tr>
      <w:tr w14:paraId="7EFAE0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DD2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7B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55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A4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783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21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85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71C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C18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1E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F27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C6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E19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5221">
            <w:pPr>
              <w:jc w:val="center"/>
            </w:pPr>
            <w:r>
              <w:rPr>
                <w:rFonts w:ascii="宋体" w:hAnsi="宋体" w:eastAsia="宋体"/>
                <w:sz w:val="16"/>
              </w:rPr>
              <w:t>偏差原因分析及改进措施</w:t>
            </w:r>
          </w:p>
        </w:tc>
      </w:tr>
      <w:tr w14:paraId="3AED5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765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0AA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0C2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6C9B">
            <w:pPr>
              <w:jc w:val="center"/>
            </w:pPr>
            <w:r>
              <w:rPr>
                <w:rFonts w:ascii="宋体" w:hAnsi="宋体" w:eastAsia="宋体"/>
                <w:sz w:val="16"/>
              </w:rPr>
              <w:t>资金支付企业数量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4D1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0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65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E0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3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30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939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0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1A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75E8">
            <w:pPr>
              <w:jc w:val="center"/>
            </w:pPr>
          </w:p>
        </w:tc>
      </w:tr>
      <w:tr w14:paraId="5DBFA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E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1B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93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09F9">
            <w:pPr>
              <w:jc w:val="center"/>
            </w:pPr>
            <w:r>
              <w:rPr>
                <w:rFonts w:ascii="宋体" w:hAnsi="宋体" w:eastAsia="宋体"/>
                <w:sz w:val="16"/>
              </w:rPr>
              <w:t>资金支付工程欠款次数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B09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3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AA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4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3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DE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5C3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C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67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A088">
            <w:pPr>
              <w:jc w:val="center"/>
            </w:pPr>
          </w:p>
        </w:tc>
      </w:tr>
      <w:tr w14:paraId="1B683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5E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37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49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ECEA">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F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1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7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7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D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70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2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5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87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1B5B">
            <w:pPr>
              <w:jc w:val="center"/>
            </w:pPr>
          </w:p>
        </w:tc>
      </w:tr>
      <w:tr w14:paraId="73EFF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93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1A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BC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9EAC">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E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0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B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6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7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C5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8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B0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6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EE31">
            <w:pPr>
              <w:jc w:val="center"/>
            </w:pPr>
          </w:p>
        </w:tc>
      </w:tr>
      <w:tr w14:paraId="498D8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49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3F0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9B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B977">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7BCE">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8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54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05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F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CF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181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E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39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CEC7">
            <w:pPr>
              <w:jc w:val="center"/>
            </w:pPr>
          </w:p>
        </w:tc>
      </w:tr>
      <w:tr w14:paraId="73DF8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D8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81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F9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6ECB">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B72B">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8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F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AD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8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F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DE7F">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7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3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0744">
            <w:pPr>
              <w:jc w:val="center"/>
            </w:pPr>
          </w:p>
        </w:tc>
      </w:tr>
      <w:tr w14:paraId="39873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1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9E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B5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3CE3">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2A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4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36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F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4B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1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E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B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7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6E44">
            <w:pPr>
              <w:jc w:val="center"/>
            </w:pPr>
            <w:r>
              <w:rPr>
                <w:rFonts w:ascii="宋体" w:hAnsi="宋体" w:eastAsia="宋体"/>
                <w:sz w:val="16"/>
              </w:rPr>
              <w:t>根据问卷调查，教师满意度很高，教学楼建设为教师提供了更好的教学环境，有利于提高教学质量。</w:t>
            </w:r>
          </w:p>
        </w:tc>
      </w:tr>
      <w:tr w14:paraId="187401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3A49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68C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5BA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35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9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D5EC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0D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BC6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57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68B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5253F4"/>
        </w:tc>
      </w:tr>
    </w:tbl>
    <w:p w14:paraId="1B673D2D">
      <w:r>
        <w:br w:type="page"/>
      </w:r>
    </w:p>
    <w:p w14:paraId="30A24119">
      <w:pPr>
        <w:spacing w:line="640" w:lineRule="exact"/>
        <w:ind w:firstLine="640"/>
        <w:jc w:val="both"/>
        <w:outlineLvl w:val="2"/>
      </w:pPr>
      <w:r>
        <w:rPr>
          <w:rFonts w:ascii="黑体" w:hAnsi="黑体" w:eastAsia="黑体"/>
          <w:sz w:val="32"/>
        </w:rPr>
        <w:t>十二、其他需说明的事项</w:t>
      </w:r>
    </w:p>
    <w:p w14:paraId="12957DB0">
      <w:pPr>
        <w:spacing w:line="580" w:lineRule="exact"/>
        <w:ind w:firstLine="640"/>
        <w:jc w:val="both"/>
      </w:pPr>
      <w:r>
        <w:rPr>
          <w:rFonts w:ascii="仿宋_GB2312" w:hAnsi="仿宋_GB2312" w:eastAsia="仿宋_GB2312"/>
          <w:b w:val="0"/>
          <w:sz w:val="32"/>
        </w:rPr>
        <w:t>本年度本单位整体绩效自评表由主管部门编报并公开。</w:t>
      </w:r>
    </w:p>
    <w:p w14:paraId="0654E415">
      <w:pPr>
        <w:spacing w:line="580" w:lineRule="exact"/>
        <w:ind w:firstLine="640"/>
        <w:jc w:val="both"/>
      </w:pPr>
      <w:r>
        <w:rPr>
          <w:rFonts w:ascii="仿宋_GB2312" w:hAnsi="仿宋_GB2312" w:eastAsia="仿宋_GB2312"/>
          <w:b w:val="0"/>
          <w:sz w:val="32"/>
        </w:rPr>
        <w:t>本年本单位SM项目2个，全年预算数233.50万元，全年执行数226.85万元。</w:t>
      </w:r>
    </w:p>
    <w:p w14:paraId="020824E1">
      <w:r>
        <w:br w:type="page"/>
      </w:r>
    </w:p>
    <w:p w14:paraId="7767D663">
      <w:pPr>
        <w:spacing w:line="240" w:lineRule="auto"/>
        <w:jc w:val="center"/>
        <w:outlineLvl w:val="1"/>
      </w:pPr>
      <w:r>
        <w:rPr>
          <w:rFonts w:ascii="黑体" w:hAnsi="黑体" w:eastAsia="黑体"/>
          <w:sz w:val="32"/>
        </w:rPr>
        <w:t>第三部分 专业名词解释</w:t>
      </w:r>
    </w:p>
    <w:p w14:paraId="24250A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43BC3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DAE76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E62C05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D603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AC3217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09C25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1597C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33D7E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05EE32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56B9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59E10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E4638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E387C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8EEDB9">
      <w:r>
        <w:br w:type="page"/>
      </w:r>
    </w:p>
    <w:p w14:paraId="4591EBCE">
      <w:pPr>
        <w:spacing w:line="240" w:lineRule="auto"/>
        <w:jc w:val="center"/>
        <w:outlineLvl w:val="1"/>
      </w:pPr>
      <w:r>
        <w:rPr>
          <w:rFonts w:ascii="黑体" w:hAnsi="黑体" w:eastAsia="黑体"/>
          <w:sz w:val="32"/>
        </w:rPr>
        <w:t>第四部分 部门决算报表（见附表）</w:t>
      </w:r>
    </w:p>
    <w:p w14:paraId="4978C76C">
      <w:pPr>
        <w:spacing w:line="240" w:lineRule="auto"/>
        <w:ind w:firstLine="640"/>
        <w:jc w:val="both"/>
      </w:pPr>
      <w:r>
        <w:rPr>
          <w:rFonts w:ascii="仿宋_GB2312" w:hAnsi="仿宋_GB2312" w:eastAsia="仿宋_GB2312"/>
          <w:b w:val="0"/>
          <w:sz w:val="32"/>
        </w:rPr>
        <w:t>一、《收入支出决算总表》</w:t>
      </w:r>
    </w:p>
    <w:p w14:paraId="2B71B949">
      <w:pPr>
        <w:spacing w:line="240" w:lineRule="auto"/>
        <w:ind w:firstLine="640"/>
        <w:jc w:val="both"/>
      </w:pPr>
      <w:r>
        <w:rPr>
          <w:rFonts w:ascii="仿宋_GB2312" w:hAnsi="仿宋_GB2312" w:eastAsia="仿宋_GB2312"/>
          <w:b w:val="0"/>
          <w:sz w:val="32"/>
        </w:rPr>
        <w:t>二、《收入决算表》</w:t>
      </w:r>
    </w:p>
    <w:p w14:paraId="33D136EC">
      <w:pPr>
        <w:spacing w:line="240" w:lineRule="auto"/>
        <w:ind w:firstLine="640"/>
        <w:jc w:val="both"/>
      </w:pPr>
      <w:r>
        <w:rPr>
          <w:rFonts w:ascii="仿宋_GB2312" w:hAnsi="仿宋_GB2312" w:eastAsia="仿宋_GB2312"/>
          <w:b w:val="0"/>
          <w:sz w:val="32"/>
        </w:rPr>
        <w:t>三、《支出决算表》</w:t>
      </w:r>
    </w:p>
    <w:p w14:paraId="633BE771">
      <w:pPr>
        <w:spacing w:line="240" w:lineRule="auto"/>
        <w:ind w:firstLine="640"/>
        <w:jc w:val="both"/>
      </w:pPr>
      <w:r>
        <w:rPr>
          <w:rFonts w:ascii="仿宋_GB2312" w:hAnsi="仿宋_GB2312" w:eastAsia="仿宋_GB2312"/>
          <w:b w:val="0"/>
          <w:sz w:val="32"/>
        </w:rPr>
        <w:t>四、《财政拨款收入支出决算总表》</w:t>
      </w:r>
    </w:p>
    <w:p w14:paraId="080502B6">
      <w:pPr>
        <w:spacing w:line="240" w:lineRule="auto"/>
        <w:ind w:firstLine="640"/>
        <w:jc w:val="both"/>
      </w:pPr>
      <w:r>
        <w:rPr>
          <w:rFonts w:ascii="仿宋_GB2312" w:hAnsi="仿宋_GB2312" w:eastAsia="仿宋_GB2312"/>
          <w:b w:val="0"/>
          <w:sz w:val="32"/>
        </w:rPr>
        <w:t>五、《一般公共预算财政拨款支出决算表》</w:t>
      </w:r>
    </w:p>
    <w:p w14:paraId="122424A9">
      <w:pPr>
        <w:spacing w:line="240" w:lineRule="auto"/>
        <w:ind w:firstLine="640"/>
        <w:jc w:val="both"/>
      </w:pPr>
      <w:r>
        <w:rPr>
          <w:rFonts w:ascii="仿宋_GB2312" w:hAnsi="仿宋_GB2312" w:eastAsia="仿宋_GB2312"/>
          <w:b w:val="0"/>
          <w:sz w:val="32"/>
        </w:rPr>
        <w:t>六、《一般公共预算财政拨款基本支出决算表》</w:t>
      </w:r>
    </w:p>
    <w:p w14:paraId="289C9D44">
      <w:pPr>
        <w:spacing w:line="240" w:lineRule="auto"/>
        <w:ind w:firstLine="640"/>
        <w:jc w:val="both"/>
      </w:pPr>
      <w:r>
        <w:rPr>
          <w:rFonts w:ascii="仿宋_GB2312" w:hAnsi="仿宋_GB2312" w:eastAsia="仿宋_GB2312"/>
          <w:b w:val="0"/>
          <w:sz w:val="32"/>
        </w:rPr>
        <w:t>七、《政府性基金预算财政拨款收入支出决算表》</w:t>
      </w:r>
    </w:p>
    <w:p w14:paraId="44D0B9CA">
      <w:pPr>
        <w:spacing w:line="240" w:lineRule="auto"/>
        <w:ind w:firstLine="640"/>
        <w:jc w:val="both"/>
      </w:pPr>
      <w:r>
        <w:rPr>
          <w:rFonts w:ascii="仿宋_GB2312" w:hAnsi="仿宋_GB2312" w:eastAsia="仿宋_GB2312"/>
          <w:b w:val="0"/>
          <w:sz w:val="32"/>
        </w:rPr>
        <w:t>八、《国有资本经营预算财政拨款收入支出决算表》</w:t>
      </w:r>
    </w:p>
    <w:p w14:paraId="4A3BA587">
      <w:pPr>
        <w:spacing w:line="240" w:lineRule="auto"/>
        <w:ind w:firstLine="640"/>
        <w:jc w:val="both"/>
      </w:pPr>
      <w:r>
        <w:rPr>
          <w:rFonts w:ascii="仿宋_GB2312" w:hAnsi="仿宋_GB2312" w:eastAsia="仿宋_GB2312"/>
          <w:b w:val="0"/>
          <w:sz w:val="32"/>
        </w:rPr>
        <w:t>九、《财政拨款“三公”经费支出决算表》</w:t>
      </w:r>
    </w:p>
    <w:p w14:paraId="767F3EC4">
      <w:pPr>
        <w:spacing w:line="240" w:lineRule="auto"/>
        <w:ind w:firstLine="640"/>
        <w:jc w:val="both"/>
      </w:pPr>
    </w:p>
    <w:p w14:paraId="7469C161">
      <w:pPr>
        <w:spacing w:line="240" w:lineRule="auto"/>
        <w:ind w:firstLine="640"/>
        <w:jc w:val="both"/>
      </w:pPr>
    </w:p>
    <w:p w14:paraId="50D00621">
      <w:pPr>
        <w:spacing w:line="240" w:lineRule="auto"/>
        <w:ind w:firstLine="640"/>
        <w:jc w:val="both"/>
      </w:pPr>
    </w:p>
    <w:p w14:paraId="0CA0F348">
      <w:pPr>
        <w:spacing w:line="240" w:lineRule="auto"/>
        <w:ind w:firstLine="640"/>
        <w:jc w:val="both"/>
      </w:pPr>
    </w:p>
    <w:p w14:paraId="071486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983B1D-8139-460C-B5CF-FFDEEB73A4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C9DB873-FA58-4053-AD50-D221958A84EC}"/>
  </w:font>
  <w:font w:name="仿宋_GB2312">
    <w:altName w:val="仿宋"/>
    <w:panose1 w:val="02010609030101010101"/>
    <w:charset w:val="86"/>
    <w:family w:val="modern"/>
    <w:pitch w:val="default"/>
    <w:sig w:usb0="00000000" w:usb1="00000000" w:usb2="00000000" w:usb3="00000000" w:csb0="00040000" w:csb1="00000000"/>
    <w:embedRegular r:id="rId3" w:fontKey="{2533E8DE-2AE6-477A-A50A-24F13AA35FD7}"/>
  </w:font>
  <w:font w:name="楷体_GB2312">
    <w:altName w:val="楷体"/>
    <w:panose1 w:val="00000000000000000000"/>
    <w:charset w:val="00"/>
    <w:family w:val="auto"/>
    <w:pitch w:val="default"/>
    <w:sig w:usb0="00000000" w:usb1="00000000" w:usb2="00000000" w:usb3="00000000" w:csb0="00000000" w:csb1="00000000"/>
    <w:embedRegular r:id="rId4" w:fontKey="{FD0E30F1-E076-4EE4-801D-2B659C522517}"/>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B2684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4958</Words>
  <Characters>5672</Characters>
  <Lines>0</Lines>
  <Paragraphs>0</Paragraphs>
  <TotalTime>1</TotalTime>
  <ScaleCrop>false</ScaleCrop>
  <LinksUpToDate>false</LinksUpToDate>
  <CharactersWithSpaces>5680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2025-09-11T05:02:02Z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